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5D" w:rsidRPr="00905A16" w:rsidRDefault="00C2555D" w:rsidP="00C2555D">
      <w:pPr>
        <w:pStyle w:val="NoSpacing"/>
        <w:jc w:val="center"/>
        <w:rPr>
          <w:b/>
          <w:sz w:val="24"/>
          <w:szCs w:val="24"/>
        </w:rPr>
      </w:pPr>
      <w:bookmarkStart w:id="0" w:name="_GoBack"/>
      <w:bookmarkEnd w:id="0"/>
      <w:r w:rsidRPr="00905A16">
        <w:rPr>
          <w:b/>
          <w:sz w:val="24"/>
          <w:szCs w:val="24"/>
        </w:rPr>
        <w:t>NATIONAL ASSEMBLY</w:t>
      </w:r>
    </w:p>
    <w:p w:rsidR="00C2555D" w:rsidRPr="00905A16" w:rsidRDefault="00C2555D" w:rsidP="00C2555D">
      <w:pPr>
        <w:pStyle w:val="NoSpacing"/>
        <w:jc w:val="center"/>
        <w:rPr>
          <w:b/>
          <w:sz w:val="24"/>
          <w:szCs w:val="24"/>
        </w:rPr>
      </w:pPr>
    </w:p>
    <w:p w:rsidR="00C2555D" w:rsidRPr="00905A16" w:rsidRDefault="00C2555D" w:rsidP="00C2555D">
      <w:pPr>
        <w:pStyle w:val="NoSpacing"/>
        <w:jc w:val="center"/>
        <w:rPr>
          <w:b/>
          <w:sz w:val="24"/>
          <w:szCs w:val="24"/>
        </w:rPr>
      </w:pPr>
      <w:r>
        <w:rPr>
          <w:b/>
          <w:sz w:val="24"/>
          <w:szCs w:val="24"/>
        </w:rPr>
        <w:t xml:space="preserve">WRITTEN </w:t>
      </w:r>
      <w:r w:rsidRPr="00905A16">
        <w:rPr>
          <w:b/>
          <w:sz w:val="24"/>
          <w:szCs w:val="24"/>
        </w:rPr>
        <w:t>REPLY</w:t>
      </w:r>
    </w:p>
    <w:p w:rsidR="00C2555D" w:rsidRPr="00905A16" w:rsidRDefault="00C2555D" w:rsidP="00C2555D">
      <w:pPr>
        <w:pStyle w:val="NoSpacing"/>
        <w:jc w:val="center"/>
        <w:rPr>
          <w:b/>
          <w:sz w:val="24"/>
          <w:szCs w:val="24"/>
        </w:rPr>
      </w:pPr>
    </w:p>
    <w:p w:rsidR="00C2555D" w:rsidRPr="00CF007C" w:rsidRDefault="00C2555D" w:rsidP="00C2555D">
      <w:pPr>
        <w:pStyle w:val="NoSpacing"/>
        <w:ind w:left="-709"/>
        <w:jc w:val="center"/>
        <w:rPr>
          <w:b/>
          <w:sz w:val="24"/>
          <w:szCs w:val="24"/>
        </w:rPr>
      </w:pPr>
      <w:r w:rsidRPr="00905A16">
        <w:rPr>
          <w:b/>
          <w:sz w:val="24"/>
          <w:szCs w:val="24"/>
        </w:rPr>
        <w:t xml:space="preserve">QUESTION </w:t>
      </w:r>
      <w:r>
        <w:rPr>
          <w:b/>
          <w:sz w:val="24"/>
          <w:szCs w:val="24"/>
        </w:rPr>
        <w:t xml:space="preserve">3464 / </w:t>
      </w:r>
      <w:r w:rsidRPr="00137F3D">
        <w:rPr>
          <w:b/>
          <w:sz w:val="24"/>
          <w:szCs w:val="24"/>
        </w:rPr>
        <w:t>N</w:t>
      </w:r>
      <w:r>
        <w:rPr>
          <w:b/>
          <w:sz w:val="24"/>
          <w:szCs w:val="24"/>
        </w:rPr>
        <w:t>W4125</w:t>
      </w:r>
      <w:r w:rsidRPr="00301E25">
        <w:rPr>
          <w:b/>
          <w:color w:val="000000"/>
          <w:sz w:val="24"/>
          <w:szCs w:val="24"/>
        </w:rPr>
        <w:t>E</w:t>
      </w:r>
      <w:r w:rsidRPr="00137F3D">
        <w:rPr>
          <w:b/>
          <w:sz w:val="24"/>
          <w:szCs w:val="24"/>
        </w:rPr>
        <w:tab/>
      </w:r>
    </w:p>
    <w:p w:rsidR="00C2555D" w:rsidRPr="00905A16" w:rsidRDefault="00C2555D" w:rsidP="00C2555D">
      <w:pPr>
        <w:pStyle w:val="NoSpacing"/>
        <w:jc w:val="center"/>
        <w:rPr>
          <w:b/>
          <w:color w:val="000000"/>
          <w:sz w:val="24"/>
          <w:szCs w:val="24"/>
        </w:rPr>
      </w:pPr>
    </w:p>
    <w:p w:rsidR="00C2555D" w:rsidRDefault="00C2555D" w:rsidP="00C2555D">
      <w:pPr>
        <w:autoSpaceDE w:val="0"/>
        <w:autoSpaceDN w:val="0"/>
        <w:adjustRightInd w:val="0"/>
        <w:jc w:val="center"/>
        <w:rPr>
          <w:b/>
          <w:color w:val="000000"/>
          <w:sz w:val="24"/>
          <w:szCs w:val="24"/>
        </w:rPr>
      </w:pPr>
      <w:r w:rsidRPr="00905A16">
        <w:rPr>
          <w:b/>
          <w:color w:val="000000"/>
          <w:sz w:val="24"/>
          <w:szCs w:val="24"/>
        </w:rPr>
        <w:t>MINISTER OF AGRICULTURE, FORESTRY AND FISHERIES:</w:t>
      </w:r>
    </w:p>
    <w:p w:rsidR="00C2555D" w:rsidRPr="00C2555D" w:rsidRDefault="00C2555D" w:rsidP="00C2555D">
      <w:pPr>
        <w:spacing w:before="100" w:beforeAutospacing="1" w:after="100" w:afterAutospacing="1"/>
        <w:ind w:left="993" w:hanging="851"/>
        <w:jc w:val="center"/>
        <w:rPr>
          <w:b/>
          <w:bCs/>
          <w:sz w:val="24"/>
          <w:szCs w:val="24"/>
          <w:lang w:val="af-ZA"/>
        </w:rPr>
      </w:pPr>
      <w:r w:rsidRPr="00C2555D">
        <w:rPr>
          <w:b/>
          <w:bCs/>
          <w:sz w:val="24"/>
          <w:szCs w:val="24"/>
          <w:lang w:val="af-ZA"/>
        </w:rPr>
        <w:t>Ms A Steyn (DA) to ask the Minister of Agriculture, Forestry and Fisheries:</w:t>
      </w:r>
    </w:p>
    <w:p w:rsidR="00C2555D" w:rsidRDefault="00C2555D" w:rsidP="00C2555D">
      <w:pPr>
        <w:spacing w:before="100" w:beforeAutospacing="1" w:after="100" w:afterAutospacing="1" w:line="240" w:lineRule="auto"/>
        <w:ind w:left="709" w:hanging="709"/>
        <w:jc w:val="both"/>
        <w:rPr>
          <w:b/>
          <w:bCs/>
          <w:sz w:val="22"/>
          <w:szCs w:val="22"/>
          <w:u w:val="single"/>
        </w:rPr>
      </w:pPr>
      <w:r w:rsidRPr="00277C2B">
        <w:rPr>
          <w:b/>
          <w:bCs/>
          <w:sz w:val="22"/>
          <w:szCs w:val="22"/>
          <w:u w:val="single"/>
        </w:rPr>
        <w:t>QUESTION</w:t>
      </w:r>
    </w:p>
    <w:p w:rsidR="00C2555D" w:rsidRPr="00C2555D" w:rsidRDefault="00C2555D" w:rsidP="00C2555D">
      <w:pPr>
        <w:pStyle w:val="Bodytextnarrative"/>
        <w:numPr>
          <w:ilvl w:val="0"/>
          <w:numId w:val="2"/>
        </w:numPr>
        <w:rPr>
          <w:sz w:val="24"/>
          <w:szCs w:val="24"/>
        </w:rPr>
      </w:pPr>
      <w:r w:rsidRPr="00C2555D">
        <w:rPr>
          <w:sz w:val="24"/>
          <w:szCs w:val="24"/>
        </w:rPr>
        <w:t xml:space="preserve">Whether his department has been involved in any projects in the </w:t>
      </w:r>
      <w:proofErr w:type="spellStart"/>
      <w:r w:rsidRPr="00C2555D">
        <w:rPr>
          <w:sz w:val="24"/>
          <w:szCs w:val="24"/>
        </w:rPr>
        <w:t>Tsolwana</w:t>
      </w:r>
      <w:proofErr w:type="spellEnd"/>
      <w:r w:rsidRPr="00C2555D">
        <w:rPr>
          <w:sz w:val="24"/>
          <w:szCs w:val="24"/>
        </w:rPr>
        <w:t xml:space="preserve"> Local Municipality in the Eastern Cape since 2009; if so, (a) on which farms, (b) what total amount has been spent on each farm, (c) what was the money spent on in each case and (d) who was the service provider in each case? NW4125E</w:t>
      </w:r>
    </w:p>
    <w:p w:rsidR="00C2555D" w:rsidRPr="00716FBA" w:rsidRDefault="00C2555D" w:rsidP="00C2555D">
      <w:pPr>
        <w:tabs>
          <w:tab w:val="left" w:pos="1134"/>
        </w:tabs>
        <w:spacing w:before="100" w:beforeAutospacing="1" w:after="100" w:afterAutospacing="1" w:line="240" w:lineRule="auto"/>
        <w:jc w:val="both"/>
        <w:rPr>
          <w:b/>
          <w:bCs/>
          <w:sz w:val="24"/>
          <w:szCs w:val="24"/>
          <w:u w:val="single"/>
        </w:rPr>
      </w:pPr>
      <w:r w:rsidRPr="00716FBA">
        <w:rPr>
          <w:b/>
          <w:bCs/>
          <w:sz w:val="24"/>
          <w:szCs w:val="24"/>
          <w:u w:val="single"/>
        </w:rPr>
        <w:t>REPLY</w:t>
      </w:r>
    </w:p>
    <w:p w:rsidR="00C2555D" w:rsidRPr="00C2555D" w:rsidRDefault="00C2555D" w:rsidP="00C2555D">
      <w:pPr>
        <w:pStyle w:val="ListParagraph"/>
        <w:numPr>
          <w:ilvl w:val="0"/>
          <w:numId w:val="3"/>
        </w:numPr>
        <w:spacing w:before="100" w:beforeAutospacing="1" w:after="100" w:afterAutospacing="1" w:line="360" w:lineRule="auto"/>
        <w:jc w:val="both"/>
        <w:outlineLvl w:val="0"/>
        <w:rPr>
          <w:rFonts w:ascii="Arial" w:eastAsia="Calibri" w:hAnsi="Arial" w:cs="Arial"/>
          <w:b/>
          <w:bCs/>
          <w:color w:val="000000"/>
          <w:u w:val="single"/>
        </w:rPr>
      </w:pPr>
      <w:r>
        <w:rPr>
          <w:rFonts w:ascii="Arial" w:eastAsia="Calibri" w:hAnsi="Arial" w:cs="Arial"/>
          <w:bCs/>
          <w:color w:val="000000"/>
        </w:rPr>
        <w:t>The table below illustrate the projects that were supported by the Eastern Cape Department of Rural Development and Agrarian reform using both CASP conditional grant and equitable share from 2009 to 2015.</w:t>
      </w:r>
    </w:p>
    <w:tbl>
      <w:tblPr>
        <w:tblW w:w="1338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70"/>
        <w:gridCol w:w="1297"/>
        <w:gridCol w:w="816"/>
        <w:gridCol w:w="1217"/>
        <w:gridCol w:w="1440"/>
        <w:gridCol w:w="1544"/>
        <w:gridCol w:w="1530"/>
        <w:gridCol w:w="2716"/>
      </w:tblGrid>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rPr>
            </w:pPr>
            <w:r w:rsidRPr="00C2555D">
              <w:rPr>
                <w:rFonts w:eastAsia="Times New Roman"/>
                <w:b/>
                <w:bCs/>
                <w:sz w:val="24"/>
                <w:szCs w:val="24"/>
                <w:lang w:val="en-US"/>
              </w:rPr>
              <w:t>Year</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Project Name</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LM</w:t>
            </w:r>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Ward</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Fund source</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Amount spent</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SERVICE PROVIDER</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Ownership</w:t>
            </w:r>
          </w:p>
        </w:tc>
        <w:tc>
          <w:tcPr>
            <w:tcW w:w="2716"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jc w:val="both"/>
              <w:rPr>
                <w:rFonts w:eastAsia="Times New Roman"/>
                <w:b/>
                <w:bCs/>
                <w:sz w:val="24"/>
                <w:szCs w:val="24"/>
                <w:lang w:val="en-US"/>
              </w:rPr>
            </w:pPr>
            <w:r w:rsidRPr="00C2555D">
              <w:rPr>
                <w:rFonts w:eastAsia="Times New Roman"/>
                <w:b/>
                <w:bCs/>
                <w:sz w:val="24"/>
                <w:szCs w:val="24"/>
                <w:lang w:val="en-US"/>
              </w:rPr>
              <w:t>Type of infrastructure</w:t>
            </w:r>
          </w:p>
        </w:tc>
      </w:tr>
      <w:tr w:rsidR="00C2555D" w:rsidRPr="00C2555D" w:rsidTr="00C2555D">
        <w:trPr>
          <w:trHeight w:val="33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2009</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Thembalethu</w:t>
            </w:r>
            <w:proofErr w:type="spellEnd"/>
            <w:r w:rsidRPr="00C2555D">
              <w:rPr>
                <w:rFonts w:eastAsia="Times New Roman"/>
                <w:bCs/>
                <w:sz w:val="24"/>
                <w:szCs w:val="24"/>
                <w:lang w:val="en-US"/>
              </w:rPr>
              <w:t xml:space="preserve"> Shearing Shed</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3</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478 126.00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rsidP="00C2555D">
            <w:pPr>
              <w:numPr>
                <w:ilvl w:val="0"/>
                <w:numId w:val="4"/>
              </w:num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A. Smiles builders</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Shearing shed constructed</w:t>
            </w:r>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2010</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Thornhill Dip </w:t>
            </w:r>
            <w:r w:rsidRPr="00C2555D">
              <w:rPr>
                <w:rFonts w:eastAsia="Times New Roman"/>
                <w:bCs/>
                <w:sz w:val="24"/>
                <w:szCs w:val="24"/>
                <w:lang w:val="en-US"/>
              </w:rPr>
              <w:lastRenderedPageBreak/>
              <w:t>Tank</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lastRenderedPageBreak/>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R 75 </w:t>
            </w:r>
            <w:r w:rsidRPr="00C2555D">
              <w:rPr>
                <w:rFonts w:eastAsia="Times New Roman"/>
                <w:bCs/>
                <w:sz w:val="24"/>
                <w:szCs w:val="24"/>
                <w:lang w:val="en-US"/>
              </w:rPr>
              <w:lastRenderedPageBreak/>
              <w:t>605.41</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lastRenderedPageBreak/>
              <w:t>Onthandazo</w:t>
            </w:r>
            <w:proofErr w:type="spellEnd"/>
            <w:r w:rsidRPr="00C2555D">
              <w:rPr>
                <w:rFonts w:eastAsia="Times New Roman"/>
                <w:bCs/>
                <w:sz w:val="24"/>
                <w:szCs w:val="24"/>
                <w:lang w:val="en-US"/>
              </w:rPr>
              <w:t xml:space="preserve"> </w:t>
            </w:r>
            <w:r w:rsidRPr="00C2555D">
              <w:rPr>
                <w:rFonts w:eastAsia="Times New Roman"/>
                <w:bCs/>
                <w:sz w:val="24"/>
                <w:szCs w:val="24"/>
                <w:lang w:val="en-US"/>
              </w:rPr>
              <w:lastRenderedPageBreak/>
              <w:t>trading</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lastRenderedPageBreak/>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Dipping Facility </w:t>
            </w:r>
            <w:r w:rsidRPr="00C2555D">
              <w:rPr>
                <w:rFonts w:eastAsia="Times New Roman"/>
                <w:bCs/>
                <w:sz w:val="24"/>
                <w:szCs w:val="24"/>
                <w:lang w:val="en-US"/>
              </w:rPr>
              <w:lastRenderedPageBreak/>
              <w:t>developed</w:t>
            </w:r>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lastRenderedPageBreak/>
              <w:t>2010</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Thornhill Animal handling Facility</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181 418.47</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SA &amp; DA construction</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Animal Handling Facility developed</w:t>
            </w:r>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2010</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Thornhill fencing – </w:t>
            </w:r>
            <w:proofErr w:type="spellStart"/>
            <w:r w:rsidRPr="00C2555D">
              <w:rPr>
                <w:rFonts w:eastAsia="Times New Roman"/>
                <w:bCs/>
                <w:sz w:val="24"/>
                <w:szCs w:val="24"/>
                <w:lang w:val="en-US"/>
              </w:rPr>
              <w:t>nguni</w:t>
            </w:r>
            <w:proofErr w:type="spellEnd"/>
            <w:r w:rsidRPr="00C2555D">
              <w:rPr>
                <w:rFonts w:eastAsia="Times New Roman"/>
                <w:bCs/>
                <w:sz w:val="24"/>
                <w:szCs w:val="24"/>
                <w:lang w:val="en-US"/>
              </w:rPr>
              <w:t xml:space="preserve"> project</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755 727.00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Hyman master fence</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Fencing grazing camps</w:t>
            </w:r>
          </w:p>
        </w:tc>
      </w:tr>
      <w:tr w:rsidR="00C2555D" w:rsidRPr="00C2555D" w:rsidTr="00C2555D">
        <w:trPr>
          <w:trHeight w:val="528"/>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2010</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Mittford</w:t>
            </w:r>
            <w:proofErr w:type="spellEnd"/>
            <w:r w:rsidRPr="00C2555D">
              <w:rPr>
                <w:rFonts w:eastAsia="Times New Roman"/>
                <w:bCs/>
                <w:sz w:val="24"/>
                <w:szCs w:val="24"/>
                <w:lang w:val="en-US"/>
              </w:rPr>
              <w:t xml:space="preserve"> Dip Tank</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35 963.87</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 SA &amp; DA construction</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Dipping Facility renovated</w:t>
            </w:r>
          </w:p>
        </w:tc>
      </w:tr>
      <w:tr w:rsidR="00C2555D" w:rsidRPr="00C2555D" w:rsidTr="00C2555D">
        <w:trPr>
          <w:trHeight w:val="345"/>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2010</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Mitford broiler house</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177 929.00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Odwa</w:t>
            </w:r>
            <w:proofErr w:type="spellEnd"/>
            <w:r w:rsidRPr="00C2555D">
              <w:rPr>
                <w:rFonts w:eastAsia="Times New Roman"/>
                <w:bCs/>
                <w:sz w:val="24"/>
                <w:szCs w:val="24"/>
                <w:lang w:val="en-US"/>
              </w:rPr>
              <w:t xml:space="preserve"> &amp; </w:t>
            </w:r>
            <w:proofErr w:type="spellStart"/>
            <w:r w:rsidRPr="00C2555D">
              <w:rPr>
                <w:rFonts w:eastAsia="Times New Roman"/>
                <w:bCs/>
                <w:sz w:val="24"/>
                <w:szCs w:val="24"/>
                <w:lang w:val="en-US"/>
              </w:rPr>
              <w:t>Solie</w:t>
            </w:r>
            <w:proofErr w:type="spellEnd"/>
            <w:r w:rsidRPr="00C2555D">
              <w:rPr>
                <w:rFonts w:eastAsia="Times New Roman"/>
                <w:bCs/>
                <w:sz w:val="24"/>
                <w:szCs w:val="24"/>
                <w:lang w:val="en-US"/>
              </w:rPr>
              <w:t xml:space="preserve"> construction</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Communal</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Broiler poultry facility (250 birds)</w:t>
            </w:r>
          </w:p>
        </w:tc>
      </w:tr>
      <w:tr w:rsidR="00C2555D" w:rsidRPr="00C2555D" w:rsidTr="00C2555D">
        <w:trPr>
          <w:trHeight w:val="345"/>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2010</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Malote</w:t>
            </w:r>
            <w:proofErr w:type="spellEnd"/>
            <w:r w:rsidRPr="00C2555D">
              <w:rPr>
                <w:rFonts w:eastAsia="Times New Roman"/>
                <w:bCs/>
                <w:sz w:val="24"/>
                <w:szCs w:val="24"/>
                <w:lang w:val="en-US"/>
              </w:rPr>
              <w:t xml:space="preserve"> Stock Water</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466 471.68</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SA &amp; DA construction</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LRAD Farm</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Boreholes and stock water systems developed</w:t>
            </w:r>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2010</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Malote</w:t>
            </w:r>
            <w:proofErr w:type="spellEnd"/>
            <w:r w:rsidRPr="00C2555D">
              <w:rPr>
                <w:rFonts w:eastAsia="Times New Roman"/>
                <w:bCs/>
                <w:sz w:val="24"/>
                <w:szCs w:val="24"/>
                <w:lang w:val="en-US"/>
              </w:rPr>
              <w:t xml:space="preserve"> Fencing</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393 567.90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DDX BUILDERS</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LRAD Farm</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Fencing 13km </w:t>
            </w:r>
            <w:proofErr w:type="spellStart"/>
            <w:r w:rsidRPr="00C2555D">
              <w:rPr>
                <w:rFonts w:eastAsia="Times New Roman"/>
                <w:bCs/>
                <w:sz w:val="24"/>
                <w:szCs w:val="24"/>
                <w:lang w:val="en-US"/>
              </w:rPr>
              <w:t>errected</w:t>
            </w:r>
            <w:proofErr w:type="spellEnd"/>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2012</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Bambanani</w:t>
            </w:r>
            <w:proofErr w:type="spellEnd"/>
            <w:r w:rsidRPr="00C2555D">
              <w:rPr>
                <w:rFonts w:eastAsia="Times New Roman"/>
                <w:bCs/>
                <w:sz w:val="24"/>
                <w:szCs w:val="24"/>
                <w:lang w:val="en-US"/>
              </w:rPr>
              <w:t xml:space="preserve"> Youth Development</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Tsolwlana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3</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CASP</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250 027.21</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97 Grey </w:t>
            </w:r>
            <w:proofErr w:type="spellStart"/>
            <w:r w:rsidRPr="00C2555D">
              <w:rPr>
                <w:rFonts w:eastAsia="Times New Roman"/>
                <w:bCs/>
                <w:sz w:val="24"/>
                <w:szCs w:val="24"/>
                <w:lang w:val="en-US"/>
              </w:rPr>
              <w:t>str</w:t>
            </w:r>
            <w:proofErr w:type="spellEnd"/>
            <w:r w:rsidRPr="00C2555D">
              <w:rPr>
                <w:rFonts w:eastAsia="Times New Roman"/>
                <w:bCs/>
                <w:sz w:val="24"/>
                <w:szCs w:val="24"/>
                <w:lang w:val="en-US"/>
              </w:rPr>
              <w:t xml:space="preserve"> ( contractors</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Irrigation system developed</w:t>
            </w:r>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2015</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Thornhill </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Tsolwlana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Equitable share</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75 000.00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KDC trading</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Dip tank renovation material supplied</w:t>
            </w:r>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2015</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Baccles</w:t>
            </w:r>
            <w:proofErr w:type="spellEnd"/>
            <w:r w:rsidRPr="00C2555D">
              <w:rPr>
                <w:rFonts w:eastAsia="Times New Roman"/>
                <w:bCs/>
                <w:sz w:val="24"/>
                <w:szCs w:val="24"/>
                <w:lang w:val="en-US"/>
              </w:rPr>
              <w:t xml:space="preserve"> Farm</w:t>
            </w:r>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Tsolwlana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Equitable share</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75 000.00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KDC trading</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Dip tank renovation material supplied</w:t>
            </w:r>
          </w:p>
        </w:tc>
      </w:tr>
      <w:tr w:rsidR="00C2555D" w:rsidRPr="00C2555D" w:rsidTr="00C2555D">
        <w:trPr>
          <w:trHeight w:val="300"/>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2015</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Tendergate</w:t>
            </w:r>
            <w:proofErr w:type="spellEnd"/>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Tsolwlana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Equitable share</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75 000.00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KDC trading</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Dip tank renovation material supplied</w:t>
            </w:r>
          </w:p>
        </w:tc>
      </w:tr>
      <w:tr w:rsidR="00C2555D" w:rsidRPr="00C2555D" w:rsidTr="00C2555D">
        <w:trPr>
          <w:trHeight w:val="289"/>
        </w:trPr>
        <w:tc>
          <w:tcPr>
            <w:tcW w:w="674"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2015</w:t>
            </w:r>
          </w:p>
        </w:tc>
        <w:tc>
          <w:tcPr>
            <w:tcW w:w="20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Springgrove</w:t>
            </w:r>
            <w:proofErr w:type="spellEnd"/>
          </w:p>
        </w:tc>
        <w:tc>
          <w:tcPr>
            <w:tcW w:w="117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proofErr w:type="spellStart"/>
            <w:r w:rsidRPr="00C2555D">
              <w:rPr>
                <w:rFonts w:eastAsia="Times New Roman"/>
                <w:bCs/>
                <w:sz w:val="24"/>
                <w:szCs w:val="24"/>
                <w:lang w:val="en-US"/>
              </w:rPr>
              <w:t>Tsolwlana</w:t>
            </w:r>
            <w:proofErr w:type="spellEnd"/>
          </w:p>
        </w:tc>
        <w:tc>
          <w:tcPr>
            <w:tcW w:w="72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5</w:t>
            </w:r>
          </w:p>
        </w:tc>
        <w:tc>
          <w:tcPr>
            <w:tcW w:w="10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Equitable share</w:t>
            </w:r>
          </w:p>
        </w:tc>
        <w:tc>
          <w:tcPr>
            <w:tcW w:w="144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R 75 000.00</w:t>
            </w:r>
          </w:p>
        </w:tc>
        <w:tc>
          <w:tcPr>
            <w:tcW w:w="1980"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KDC trading</w:t>
            </w:r>
          </w:p>
        </w:tc>
        <w:tc>
          <w:tcPr>
            <w:tcW w:w="1530" w:type="dxa"/>
            <w:tcBorders>
              <w:top w:val="single" w:sz="4" w:space="0" w:color="auto"/>
              <w:left w:val="single" w:sz="4" w:space="0" w:color="auto"/>
              <w:bottom w:val="single" w:sz="4" w:space="0" w:color="auto"/>
              <w:right w:val="single" w:sz="4" w:space="0" w:color="auto"/>
            </w:tcBorders>
            <w:noWrap/>
            <w:hideMark/>
          </w:tcPr>
          <w:p w:rsidR="00C2555D" w:rsidRPr="00C2555D" w:rsidRDefault="00C2555D">
            <w:pPr>
              <w:tabs>
                <w:tab w:val="left" w:pos="720"/>
                <w:tab w:val="left" w:pos="2880"/>
                <w:tab w:val="center" w:pos="4153"/>
                <w:tab w:val="right" w:pos="8306"/>
              </w:tabs>
              <w:spacing w:after="0" w:line="240" w:lineRule="auto"/>
              <w:rPr>
                <w:rFonts w:eastAsia="Times New Roman"/>
                <w:bCs/>
                <w:sz w:val="24"/>
                <w:szCs w:val="24"/>
                <w:lang w:val="en-US"/>
              </w:rPr>
            </w:pPr>
            <w:r w:rsidRPr="00C2555D">
              <w:rPr>
                <w:rFonts w:eastAsia="Times New Roman"/>
                <w:bCs/>
                <w:sz w:val="24"/>
                <w:szCs w:val="24"/>
                <w:lang w:val="en-US"/>
              </w:rPr>
              <w:t xml:space="preserve">Communal </w:t>
            </w:r>
          </w:p>
        </w:tc>
        <w:tc>
          <w:tcPr>
            <w:tcW w:w="2716" w:type="dxa"/>
            <w:tcBorders>
              <w:top w:val="single" w:sz="4" w:space="0" w:color="auto"/>
              <w:left w:val="single" w:sz="4" w:space="0" w:color="auto"/>
              <w:bottom w:val="single" w:sz="4" w:space="0" w:color="auto"/>
              <w:right w:val="single" w:sz="4" w:space="0" w:color="auto"/>
            </w:tcBorders>
            <w:hideMark/>
          </w:tcPr>
          <w:p w:rsidR="00C2555D" w:rsidRPr="00C2555D" w:rsidRDefault="00C2555D">
            <w:pPr>
              <w:spacing w:after="0" w:line="240" w:lineRule="auto"/>
              <w:rPr>
                <w:rFonts w:eastAsia="Times New Roman"/>
                <w:sz w:val="24"/>
                <w:szCs w:val="24"/>
                <w:lang w:val="en-US"/>
              </w:rPr>
            </w:pPr>
            <w:r w:rsidRPr="00C2555D">
              <w:rPr>
                <w:rFonts w:eastAsia="Times New Roman"/>
                <w:bCs/>
                <w:sz w:val="24"/>
                <w:szCs w:val="24"/>
                <w:lang w:val="en-US"/>
              </w:rPr>
              <w:t>Dip tank renovation material supplied</w:t>
            </w:r>
          </w:p>
        </w:tc>
      </w:tr>
    </w:tbl>
    <w:p w:rsidR="00C2555D" w:rsidRPr="00C2555D" w:rsidRDefault="00C2555D" w:rsidP="00C2555D">
      <w:pPr>
        <w:pStyle w:val="Header"/>
        <w:tabs>
          <w:tab w:val="left" w:pos="720"/>
        </w:tabs>
        <w:rPr>
          <w:rFonts w:cs="Arial"/>
          <w:b/>
          <w:noProof/>
          <w:color w:val="FFFFFF"/>
          <w:sz w:val="24"/>
          <w:szCs w:val="24"/>
        </w:rPr>
      </w:pPr>
      <w:r w:rsidRPr="00C2555D">
        <w:rPr>
          <w:rFonts w:cs="Arial"/>
          <w:b/>
          <w:noProof/>
          <w:color w:val="FFFFFF"/>
          <w:sz w:val="24"/>
          <w:szCs w:val="24"/>
        </w:rPr>
        <w:t xml:space="preserve">– </w:t>
      </w:r>
      <w:r w:rsidRPr="00C2555D">
        <w:rPr>
          <w:rFonts w:cs="Arial"/>
          <w:b/>
          <w:noProof/>
          <w:color w:val="FFFFFF"/>
          <w:sz w:val="24"/>
          <w:szCs w:val="24"/>
        </w:rPr>
        <w:fldChar w:fldCharType="begin"/>
      </w:r>
      <w:r w:rsidRPr="00C2555D">
        <w:rPr>
          <w:rFonts w:cs="Arial"/>
          <w:b/>
          <w:noProof/>
          <w:color w:val="FFFFFF"/>
          <w:sz w:val="24"/>
          <w:szCs w:val="24"/>
        </w:rPr>
        <w:instrText xml:space="preserve"> PAGE  \* Arabic  \* MERGEFORMAT </w:instrText>
      </w:r>
      <w:r w:rsidRPr="00C2555D">
        <w:rPr>
          <w:rFonts w:cs="Arial"/>
          <w:b/>
          <w:noProof/>
          <w:color w:val="FFFFFF"/>
          <w:sz w:val="24"/>
          <w:szCs w:val="24"/>
        </w:rPr>
        <w:fldChar w:fldCharType="separate"/>
      </w:r>
      <w:r w:rsidRPr="00C2555D">
        <w:rPr>
          <w:rFonts w:cs="Arial"/>
          <w:b/>
          <w:noProof/>
          <w:color w:val="FFFFFF"/>
          <w:sz w:val="24"/>
          <w:szCs w:val="24"/>
        </w:rPr>
        <w:t>2</w:t>
      </w:r>
      <w:r w:rsidRPr="00C2555D">
        <w:rPr>
          <w:rFonts w:cs="Arial"/>
          <w:b/>
          <w:noProof/>
          <w:color w:val="FFFFFF"/>
          <w:sz w:val="24"/>
          <w:szCs w:val="24"/>
        </w:rPr>
        <w:fldChar w:fldCharType="end"/>
      </w:r>
      <w:r w:rsidRPr="00C2555D">
        <w:rPr>
          <w:rFonts w:cs="Arial"/>
          <w:b/>
          <w:noProof/>
          <w:color w:val="FFFFFF"/>
          <w:sz w:val="24"/>
          <w:szCs w:val="24"/>
        </w:rPr>
        <w:t xml:space="preserve"> –</w:t>
      </w:r>
    </w:p>
    <w:p w:rsidR="00C2555D" w:rsidRPr="00C2555D" w:rsidRDefault="003016FC" w:rsidP="00C2555D">
      <w:pPr>
        <w:rPr>
          <w:sz w:val="24"/>
          <w:szCs w:val="24"/>
        </w:rPr>
      </w:pPr>
      <w:r>
        <w:rPr>
          <w:sz w:val="24"/>
          <w:szCs w:val="24"/>
        </w:rPr>
        <w:t xml:space="preserve">1 (a) </w:t>
      </w:r>
      <w:r w:rsidR="00C2555D" w:rsidRPr="00C2555D">
        <w:rPr>
          <w:sz w:val="24"/>
          <w:szCs w:val="24"/>
        </w:rPr>
        <w:t>The province is requested to send coordinates for the farms, upon receipt, they will be made available.</w:t>
      </w:r>
    </w:p>
    <w:p w:rsidR="00DD6CEB" w:rsidRPr="00C2555D" w:rsidRDefault="00DD6CEB">
      <w:pPr>
        <w:rPr>
          <w:sz w:val="24"/>
          <w:szCs w:val="24"/>
        </w:rPr>
      </w:pPr>
    </w:p>
    <w:sectPr w:rsidR="00DD6CEB" w:rsidRPr="00C2555D" w:rsidSect="00C255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97486"/>
    <w:multiLevelType w:val="hybridMultilevel"/>
    <w:tmpl w:val="097052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4F9F5D97"/>
    <w:multiLevelType w:val="hybridMultilevel"/>
    <w:tmpl w:val="99DC18AC"/>
    <w:lvl w:ilvl="0" w:tplc="DB46985C">
      <w:start w:val="1"/>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
    <w:nsid w:val="60555A56"/>
    <w:multiLevelType w:val="hybridMultilevel"/>
    <w:tmpl w:val="2FAAD3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628B4CA9"/>
    <w:multiLevelType w:val="hybridMultilevel"/>
    <w:tmpl w:val="E1BA2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5D"/>
    <w:rsid w:val="00143932"/>
    <w:rsid w:val="003016FC"/>
    <w:rsid w:val="00757F39"/>
    <w:rsid w:val="00C2555D"/>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D4BEF-AF77-44D0-A0A1-937E1C54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5D"/>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55D"/>
    <w:pPr>
      <w:spacing w:after="0" w:line="240" w:lineRule="auto"/>
    </w:pPr>
    <w:rPr>
      <w:rFonts w:ascii="Arial" w:eastAsia="Calibri" w:hAnsi="Arial" w:cs="Arial"/>
      <w:sz w:val="20"/>
      <w:szCs w:val="20"/>
      <w:lang w:val="en-ZA"/>
    </w:rPr>
  </w:style>
  <w:style w:type="paragraph" w:customStyle="1" w:styleId="Bodytextnarrative">
    <w:name w:val="Body text_narrative"/>
    <w:basedOn w:val="Normal"/>
    <w:uiPriority w:val="99"/>
    <w:rsid w:val="00C2555D"/>
    <w:pPr>
      <w:spacing w:after="0"/>
      <w:ind w:left="425"/>
    </w:pPr>
  </w:style>
  <w:style w:type="paragraph" w:styleId="Header">
    <w:name w:val="header"/>
    <w:basedOn w:val="Normal"/>
    <w:link w:val="HeaderChar"/>
    <w:uiPriority w:val="99"/>
    <w:semiHidden/>
    <w:unhideWhenUsed/>
    <w:rsid w:val="00C2555D"/>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semiHidden/>
    <w:rsid w:val="00C2555D"/>
    <w:rPr>
      <w:rFonts w:ascii="Arial" w:eastAsia="Calibri" w:hAnsi="Arial" w:cs="Times New Roman"/>
      <w:sz w:val="20"/>
      <w:szCs w:val="20"/>
      <w:lang w:val="en-ZA"/>
    </w:rPr>
  </w:style>
  <w:style w:type="paragraph" w:styleId="ListParagraph">
    <w:name w:val="List Paragraph"/>
    <w:basedOn w:val="Normal"/>
    <w:uiPriority w:val="34"/>
    <w:qFormat/>
    <w:rsid w:val="00C2555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02044">
      <w:bodyDiv w:val="1"/>
      <w:marLeft w:val="0"/>
      <w:marRight w:val="0"/>
      <w:marTop w:val="0"/>
      <w:marBottom w:val="0"/>
      <w:divBdr>
        <w:top w:val="none" w:sz="0" w:space="0" w:color="auto"/>
        <w:left w:val="none" w:sz="0" w:space="0" w:color="auto"/>
        <w:bottom w:val="none" w:sz="0" w:space="0" w:color="auto"/>
        <w:right w:val="none" w:sz="0" w:space="0" w:color="auto"/>
      </w:divBdr>
    </w:div>
    <w:div w:id="10074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2</cp:revision>
  <dcterms:created xsi:type="dcterms:W3CDTF">2015-10-05T06:43:00Z</dcterms:created>
  <dcterms:modified xsi:type="dcterms:W3CDTF">2015-10-05T06:43:00Z</dcterms:modified>
</cp:coreProperties>
</file>