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6E72C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6E72C9" w:rsidP="006E72C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6E72C9" w:rsidP="006E72C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E6E88">
        <w:rPr>
          <w:rFonts w:ascii="Arial" w:eastAsia="Calibri" w:hAnsi="Arial" w:cs="Arial"/>
          <w:b/>
          <w:bCs/>
          <w:lang w:val="en-GB"/>
        </w:rPr>
        <w:t>345</w:t>
      </w:r>
    </w:p>
    <w:p w:rsidR="002E7253" w:rsidRPr="006E72C9" w:rsidRDefault="002E7253" w:rsidP="006E72C9">
      <w:pPr>
        <w:spacing w:after="200" w:line="276" w:lineRule="auto"/>
        <w:rPr>
          <w:rFonts w:ascii="Arial" w:eastAsia="Calibri" w:hAnsi="Arial" w:cs="Arial"/>
          <w:b/>
          <w:bCs/>
          <w:lang w:val="en-GB"/>
        </w:rPr>
      </w:pPr>
      <w:r w:rsidRPr="006E72C9">
        <w:rPr>
          <w:rFonts w:ascii="Arial" w:eastAsia="Calibri" w:hAnsi="Arial" w:cs="Arial"/>
          <w:b/>
          <w:bCs/>
          <w:lang w:val="en-GB"/>
        </w:rPr>
        <w:t xml:space="preserve">DATE OF QUESTION: </w:t>
      </w:r>
      <w:r w:rsidR="00BE6E88" w:rsidRPr="006E72C9">
        <w:rPr>
          <w:rFonts w:ascii="Arial" w:eastAsia="Calibri" w:hAnsi="Arial" w:cs="Arial"/>
          <w:b/>
          <w:bCs/>
          <w:lang w:val="en-GB"/>
        </w:rPr>
        <w:t>26</w:t>
      </w:r>
      <w:r w:rsidR="006E72C9" w:rsidRPr="006E72C9">
        <w:rPr>
          <w:rFonts w:ascii="Arial" w:eastAsia="Calibri" w:hAnsi="Arial" w:cs="Arial"/>
          <w:b/>
          <w:bCs/>
          <w:lang w:val="en-GB"/>
        </w:rPr>
        <w:t xml:space="preserve"> JULY </w:t>
      </w:r>
      <w:r w:rsidRPr="006E72C9">
        <w:rPr>
          <w:rFonts w:ascii="Arial" w:eastAsia="Calibri" w:hAnsi="Arial" w:cs="Arial"/>
          <w:b/>
          <w:bCs/>
          <w:lang w:val="en-GB"/>
        </w:rPr>
        <w:t>201</w:t>
      </w:r>
      <w:r w:rsidR="00121378" w:rsidRPr="006E72C9">
        <w:rPr>
          <w:rFonts w:ascii="Arial" w:eastAsia="Calibri" w:hAnsi="Arial" w:cs="Arial"/>
          <w:b/>
          <w:bCs/>
          <w:lang w:val="en-GB"/>
        </w:rPr>
        <w:t>9</w:t>
      </w:r>
    </w:p>
    <w:p w:rsidR="00D463C8" w:rsidRPr="006E72C9" w:rsidRDefault="00791471" w:rsidP="006E72C9">
      <w:pPr>
        <w:spacing w:before="100" w:beforeAutospacing="1" w:after="100" w:afterAutospacing="1" w:line="276" w:lineRule="auto"/>
        <w:outlineLvl w:val="0"/>
        <w:rPr>
          <w:rFonts w:ascii="Arial" w:eastAsia="Calibri" w:hAnsi="Arial" w:cs="Arial"/>
          <w:b/>
          <w:bCs/>
          <w:lang w:val="en-GB"/>
        </w:rPr>
      </w:pPr>
      <w:r w:rsidRPr="006E72C9">
        <w:rPr>
          <w:rFonts w:ascii="Arial" w:eastAsia="Calibri" w:hAnsi="Arial" w:cs="Arial"/>
          <w:b/>
          <w:bCs/>
          <w:lang w:val="en-GB"/>
        </w:rPr>
        <w:t xml:space="preserve">DATE OF SUBMISSION: </w:t>
      </w:r>
      <w:r w:rsidR="00BE6E88" w:rsidRPr="006E72C9">
        <w:rPr>
          <w:rFonts w:ascii="Arial" w:eastAsia="Calibri" w:hAnsi="Arial" w:cs="Arial"/>
          <w:b/>
          <w:bCs/>
          <w:lang w:val="en-GB"/>
        </w:rPr>
        <w:t>12</w:t>
      </w:r>
      <w:r w:rsidR="00294A6E" w:rsidRPr="006E72C9">
        <w:rPr>
          <w:rFonts w:ascii="Arial" w:eastAsia="Calibri" w:hAnsi="Arial" w:cs="Arial"/>
          <w:b/>
          <w:bCs/>
          <w:lang w:val="en-GB"/>
        </w:rPr>
        <w:t xml:space="preserve"> AUGUST</w:t>
      </w:r>
      <w:r w:rsidR="00A0329A" w:rsidRPr="006E72C9">
        <w:rPr>
          <w:rFonts w:ascii="Arial" w:eastAsia="Calibri" w:hAnsi="Arial" w:cs="Arial"/>
          <w:b/>
          <w:bCs/>
          <w:lang w:val="en-GB"/>
        </w:rPr>
        <w:t xml:space="preserve"> </w:t>
      </w:r>
      <w:r w:rsidR="00D463C8" w:rsidRPr="006E72C9">
        <w:rPr>
          <w:rFonts w:ascii="Arial" w:eastAsia="Calibri" w:hAnsi="Arial" w:cs="Arial"/>
          <w:b/>
          <w:bCs/>
          <w:lang w:val="en-GB"/>
        </w:rPr>
        <w:t>201</w:t>
      </w:r>
      <w:r w:rsidR="00121378" w:rsidRPr="006E72C9">
        <w:rPr>
          <w:rFonts w:ascii="Arial" w:eastAsia="Calibri" w:hAnsi="Arial" w:cs="Arial"/>
          <w:b/>
          <w:bCs/>
          <w:lang w:val="en-GB"/>
        </w:rPr>
        <w:t>9</w:t>
      </w:r>
    </w:p>
    <w:p w:rsidR="00BE6E88" w:rsidRPr="00BE6E88" w:rsidRDefault="00BE6E88" w:rsidP="00BE6E88">
      <w:pPr>
        <w:spacing w:before="120" w:after="120" w:line="360" w:lineRule="auto"/>
        <w:jc w:val="both"/>
        <w:rPr>
          <w:rFonts w:ascii="Arial" w:hAnsi="Arial" w:cs="Arial"/>
          <w:b/>
          <w:bCs/>
          <w:lang w:val="en-ZA"/>
        </w:rPr>
      </w:pPr>
      <w:r w:rsidRPr="00BE6E88">
        <w:rPr>
          <w:rFonts w:ascii="Arial" w:hAnsi="Arial" w:cs="Arial"/>
          <w:b/>
          <w:bCs/>
          <w:lang w:val="en-ZA"/>
        </w:rPr>
        <w:t>Mr N S Matiase (EFF) to ask the Minister of Justice and Correctional Services</w:t>
      </w:r>
      <w:r w:rsidRPr="00BE6E88">
        <w:rPr>
          <w:rFonts w:ascii="Arial" w:hAnsi="Arial" w:cs="Arial"/>
          <w:b/>
          <w:bCs/>
          <w:lang w:val="en-ZA"/>
        </w:rPr>
        <w:fldChar w:fldCharType="begin"/>
      </w:r>
      <w:r w:rsidRPr="00BE6E88">
        <w:rPr>
          <w:rFonts w:ascii="Arial" w:hAnsi="Arial" w:cs="Arial"/>
          <w:b/>
          <w:bCs/>
          <w:lang w:val="en-ZA"/>
        </w:rPr>
        <w:instrText xml:space="preserve"> XE "Justice and Correctional Services" </w:instrText>
      </w:r>
      <w:r w:rsidRPr="00BE6E88">
        <w:rPr>
          <w:rFonts w:ascii="Arial" w:hAnsi="Arial" w:cs="Arial"/>
          <w:b/>
          <w:bCs/>
          <w:lang w:val="en-ZA"/>
        </w:rPr>
        <w:fldChar w:fldCharType="end"/>
      </w:r>
      <w:r w:rsidRPr="00BE6E88">
        <w:rPr>
          <w:rFonts w:ascii="Arial" w:hAnsi="Arial" w:cs="Arial"/>
          <w:b/>
          <w:bCs/>
          <w:lang w:val="en-ZA"/>
        </w:rPr>
        <w:t>:</w:t>
      </w:r>
    </w:p>
    <w:p w:rsidR="00BE6E88" w:rsidRDefault="00BE6E88" w:rsidP="00BE6E88">
      <w:pPr>
        <w:spacing w:before="120" w:after="120" w:line="360" w:lineRule="auto"/>
        <w:jc w:val="both"/>
        <w:rPr>
          <w:rFonts w:ascii="Arial" w:hAnsi="Arial" w:cs="Arial"/>
          <w:lang w:val="en-ZA"/>
        </w:rPr>
      </w:pPr>
      <w:r w:rsidRPr="00BE6E88">
        <w:rPr>
          <w:rFonts w:ascii="Arial" w:hAnsi="Arial" w:cs="Arial"/>
          <w:lang w:val="en-ZA"/>
        </w:rPr>
        <w:t>Whether, with reference to the reply to question 1606 on 12 July 2017 regarding the Constitutional Court ruling in 2011 that the practice of repossessing homes without having the claims tested by a judge is illegal, Legal Aid South Africa and Lungelo Letho Human Rights Foundation have been successful in ensuring that the illegal repossession of the house of Mr Ernest Mashaba does not take place; if not, why not; if so, what are the relevant details?</w:t>
      </w:r>
    </w:p>
    <w:p w:rsidR="00BE6E88" w:rsidRPr="00BE6E88" w:rsidRDefault="00BE6E88" w:rsidP="00BE6E88">
      <w:pPr>
        <w:spacing w:before="120" w:after="120" w:line="360" w:lineRule="auto"/>
        <w:ind w:left="360"/>
        <w:jc w:val="right"/>
        <w:rPr>
          <w:rFonts w:ascii="Arial" w:hAnsi="Arial" w:cs="Arial"/>
          <w:b/>
          <w:lang w:val="en-ZA"/>
        </w:rPr>
      </w:pPr>
      <w:r w:rsidRPr="00BE6E88">
        <w:rPr>
          <w:rFonts w:ascii="Arial" w:hAnsi="Arial" w:cs="Arial"/>
          <w:b/>
          <w:lang w:val="en-ZA"/>
        </w:rPr>
        <w:t>NW1316E</w:t>
      </w:r>
    </w:p>
    <w:p w:rsidR="00294A6E" w:rsidRPr="00E771E1" w:rsidRDefault="00294A6E" w:rsidP="00E771E1">
      <w:pPr>
        <w:spacing w:before="120" w:after="120" w:line="360" w:lineRule="auto"/>
        <w:ind w:left="360"/>
        <w:jc w:val="right"/>
        <w:rPr>
          <w:rFonts w:ascii="Arial" w:hAnsi="Arial" w:cs="Arial"/>
          <w:b/>
          <w:lang w:val="en-ZA"/>
        </w:rPr>
      </w:pPr>
    </w:p>
    <w:p w:rsidR="00E771E1" w:rsidRPr="00B53930" w:rsidRDefault="00E771E1" w:rsidP="00B53930">
      <w:pPr>
        <w:spacing w:before="120" w:after="120" w:line="360" w:lineRule="auto"/>
        <w:ind w:left="360"/>
        <w:jc w:val="right"/>
        <w:rPr>
          <w:rFonts w:ascii="Arial" w:hAnsi="Arial" w:cs="Arial"/>
          <w:b/>
          <w:lang w:val="en-ZA"/>
        </w:rPr>
      </w:pPr>
    </w:p>
    <w:p w:rsidR="00983C6B" w:rsidRPr="008C0966"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453807" w:rsidRDefault="00453807" w:rsidP="006E72C9">
      <w:pPr>
        <w:spacing w:line="360" w:lineRule="auto"/>
        <w:jc w:val="both"/>
        <w:rPr>
          <w:rFonts w:ascii="Arial" w:hAnsi="Arial" w:cs="Arial"/>
        </w:rPr>
      </w:pPr>
      <w:r w:rsidRPr="00453807">
        <w:rPr>
          <w:rFonts w:ascii="Arial" w:hAnsi="Arial" w:cs="Arial"/>
        </w:rPr>
        <w:t>In July 2017</w:t>
      </w:r>
      <w:r>
        <w:rPr>
          <w:rFonts w:ascii="Arial" w:hAnsi="Arial" w:cs="Arial"/>
        </w:rPr>
        <w:t>,</w:t>
      </w:r>
      <w:r w:rsidRPr="00453807">
        <w:rPr>
          <w:rFonts w:ascii="Arial" w:hAnsi="Arial" w:cs="Arial"/>
        </w:rPr>
        <w:t xml:space="preserve"> </w:t>
      </w:r>
      <w:r>
        <w:rPr>
          <w:rFonts w:ascii="Arial" w:hAnsi="Arial" w:cs="Arial"/>
        </w:rPr>
        <w:t>t</w:t>
      </w:r>
      <w:r w:rsidRPr="00453807">
        <w:rPr>
          <w:rFonts w:ascii="Arial" w:hAnsi="Arial" w:cs="Arial"/>
        </w:rPr>
        <w:t xml:space="preserve">he Impact Litigation Unit of Legal Aid South Africa made contact with Lungelo Lethu Human Rights Foundations </w:t>
      </w:r>
      <w:r w:rsidR="00B45546">
        <w:rPr>
          <w:rFonts w:ascii="Arial" w:hAnsi="Arial" w:cs="Arial"/>
        </w:rPr>
        <w:t xml:space="preserve">(LLHRF) </w:t>
      </w:r>
      <w:r w:rsidRPr="00453807">
        <w:rPr>
          <w:rFonts w:ascii="Arial" w:hAnsi="Arial" w:cs="Arial"/>
        </w:rPr>
        <w:t>who were assisting Mr Mashaba</w:t>
      </w:r>
      <w:r w:rsidR="006E44F3">
        <w:rPr>
          <w:rFonts w:ascii="Arial" w:hAnsi="Arial" w:cs="Arial"/>
        </w:rPr>
        <w:t xml:space="preserve"> in order to start the process to apply for legal aid</w:t>
      </w:r>
      <w:r w:rsidRPr="00453807">
        <w:rPr>
          <w:rFonts w:ascii="Arial" w:hAnsi="Arial" w:cs="Arial"/>
        </w:rPr>
        <w:t>. We were informed that legal counsel, Advocate Douglas Shaw was already instructed to act on behalf of Mr Mashaba and 243 other persons in the</w:t>
      </w:r>
      <w:r w:rsidR="00924145">
        <w:rPr>
          <w:rFonts w:ascii="Arial" w:hAnsi="Arial" w:cs="Arial"/>
        </w:rPr>
        <w:t xml:space="preserve"> same </w:t>
      </w:r>
      <w:r w:rsidRPr="00453807">
        <w:rPr>
          <w:rFonts w:ascii="Arial" w:hAnsi="Arial" w:cs="Arial"/>
        </w:rPr>
        <w:t xml:space="preserve">position </w:t>
      </w:r>
      <w:r w:rsidR="00924145">
        <w:rPr>
          <w:rFonts w:ascii="Arial" w:hAnsi="Arial" w:cs="Arial"/>
        </w:rPr>
        <w:t xml:space="preserve">as </w:t>
      </w:r>
      <w:r w:rsidRPr="00453807">
        <w:rPr>
          <w:rFonts w:ascii="Arial" w:hAnsi="Arial" w:cs="Arial"/>
        </w:rPr>
        <w:t>Mr Mashaba. Further</w:t>
      </w:r>
      <w:r w:rsidR="006E44F3">
        <w:rPr>
          <w:rFonts w:ascii="Arial" w:hAnsi="Arial" w:cs="Arial"/>
        </w:rPr>
        <w:t>,</w:t>
      </w:r>
      <w:r w:rsidRPr="00453807">
        <w:rPr>
          <w:rFonts w:ascii="Arial" w:hAnsi="Arial" w:cs="Arial"/>
        </w:rPr>
        <w:t xml:space="preserve"> that counsel is considering a Class Action against 4 major banks and that Advocate Alexandra Benjamin is </w:t>
      </w:r>
      <w:r w:rsidR="006E44F3">
        <w:rPr>
          <w:rFonts w:ascii="Arial" w:hAnsi="Arial" w:cs="Arial"/>
        </w:rPr>
        <w:t>acting as amicus</w:t>
      </w:r>
      <w:r w:rsidR="00B45546">
        <w:rPr>
          <w:rFonts w:ascii="Arial" w:hAnsi="Arial" w:cs="Arial"/>
        </w:rPr>
        <w:t xml:space="preserve">.  </w:t>
      </w:r>
    </w:p>
    <w:p w:rsidR="00924145" w:rsidRPr="00453807" w:rsidRDefault="00924145" w:rsidP="006E72C9">
      <w:pPr>
        <w:spacing w:line="360" w:lineRule="auto"/>
        <w:jc w:val="both"/>
        <w:rPr>
          <w:rFonts w:ascii="Arial" w:hAnsi="Arial" w:cs="Arial"/>
        </w:rPr>
      </w:pPr>
    </w:p>
    <w:p w:rsidR="00453807" w:rsidRDefault="00453807" w:rsidP="006E72C9">
      <w:pPr>
        <w:spacing w:line="360" w:lineRule="auto"/>
        <w:jc w:val="both"/>
        <w:rPr>
          <w:rFonts w:ascii="Arial" w:hAnsi="Arial" w:cs="Arial"/>
        </w:rPr>
      </w:pPr>
      <w:r w:rsidRPr="00924145">
        <w:rPr>
          <w:rFonts w:ascii="Arial" w:hAnsi="Arial" w:cs="Arial"/>
        </w:rPr>
        <w:t>We further reiterated that should they require legal assistance herein they can contact Legal Aid South Africa</w:t>
      </w:r>
      <w:r w:rsidR="006E44F3" w:rsidRPr="00924145">
        <w:rPr>
          <w:rFonts w:ascii="Arial" w:hAnsi="Arial" w:cs="Arial"/>
        </w:rPr>
        <w:t xml:space="preserve">. </w:t>
      </w:r>
      <w:r w:rsidR="00924145">
        <w:rPr>
          <w:rFonts w:ascii="Arial" w:hAnsi="Arial" w:cs="Arial"/>
        </w:rPr>
        <w:t xml:space="preserve">We have not received any further requests for assistance from Mr Mashaba or </w:t>
      </w:r>
      <w:r w:rsidR="00311E5A" w:rsidRPr="00453807">
        <w:rPr>
          <w:rFonts w:ascii="Arial" w:hAnsi="Arial" w:cs="Arial"/>
        </w:rPr>
        <w:t>Lungelo</w:t>
      </w:r>
      <w:r w:rsidR="003B21EF">
        <w:rPr>
          <w:rFonts w:ascii="Arial" w:hAnsi="Arial" w:cs="Arial"/>
        </w:rPr>
        <w:t xml:space="preserve"> Lethu Human Rights Foundations</w:t>
      </w:r>
      <w:r w:rsidR="00311E5A">
        <w:rPr>
          <w:rFonts w:ascii="Arial" w:hAnsi="Arial" w:cs="Arial"/>
        </w:rPr>
        <w:t xml:space="preserve"> (</w:t>
      </w:r>
      <w:r w:rsidR="00924145">
        <w:rPr>
          <w:rFonts w:ascii="Arial" w:hAnsi="Arial" w:cs="Arial"/>
        </w:rPr>
        <w:t>LLHRF</w:t>
      </w:r>
      <w:r w:rsidR="00311E5A">
        <w:rPr>
          <w:rFonts w:ascii="Arial" w:hAnsi="Arial" w:cs="Arial"/>
        </w:rPr>
        <w:t>)</w:t>
      </w:r>
      <w:r w:rsidR="00924145">
        <w:rPr>
          <w:rFonts w:ascii="Arial" w:hAnsi="Arial" w:cs="Arial"/>
        </w:rPr>
        <w:t xml:space="preserve">. </w:t>
      </w:r>
    </w:p>
    <w:p w:rsidR="00311E5A" w:rsidRDefault="00311E5A" w:rsidP="006E72C9">
      <w:pPr>
        <w:spacing w:line="360" w:lineRule="auto"/>
        <w:jc w:val="both"/>
        <w:rPr>
          <w:rFonts w:ascii="Arial" w:hAnsi="Arial" w:cs="Arial"/>
        </w:rPr>
      </w:pPr>
    </w:p>
    <w:p w:rsidR="00311E5A" w:rsidRPr="00311E5A" w:rsidRDefault="00311E5A" w:rsidP="006E72C9">
      <w:pPr>
        <w:spacing w:line="360" w:lineRule="auto"/>
        <w:jc w:val="both"/>
        <w:rPr>
          <w:rFonts w:ascii="Arial" w:hAnsi="Arial" w:cs="Arial"/>
        </w:rPr>
      </w:pPr>
      <w:r w:rsidRPr="00311E5A">
        <w:rPr>
          <w:rFonts w:ascii="Arial" w:hAnsi="Arial" w:cs="Arial"/>
        </w:rPr>
        <w:t>Legal Aid SA has in the past been involved in the litigation to protect the rights of the poor people who are set to lose their home due to foreclosure o</w:t>
      </w:r>
      <w:r w:rsidR="003B21EF">
        <w:rPr>
          <w:rFonts w:ascii="Arial" w:hAnsi="Arial" w:cs="Arial"/>
        </w:rPr>
        <w:t>f</w:t>
      </w:r>
      <w:r w:rsidRPr="00311E5A">
        <w:rPr>
          <w:rFonts w:ascii="Arial" w:hAnsi="Arial" w:cs="Arial"/>
        </w:rPr>
        <w:t xml:space="preserve"> the bond. </w:t>
      </w:r>
    </w:p>
    <w:p w:rsidR="00311E5A" w:rsidRPr="00311E5A" w:rsidRDefault="00311E5A" w:rsidP="006E72C9">
      <w:pPr>
        <w:spacing w:line="360" w:lineRule="auto"/>
        <w:jc w:val="both"/>
        <w:rPr>
          <w:rFonts w:ascii="Arial" w:hAnsi="Arial" w:cs="Arial"/>
        </w:rPr>
      </w:pPr>
      <w:r w:rsidRPr="00311E5A">
        <w:rPr>
          <w:rFonts w:ascii="Arial" w:hAnsi="Arial" w:cs="Arial"/>
        </w:rPr>
        <w:t> </w:t>
      </w:r>
    </w:p>
    <w:p w:rsidR="00311E5A" w:rsidRDefault="00390F27" w:rsidP="006E72C9">
      <w:pPr>
        <w:spacing w:line="360" w:lineRule="auto"/>
        <w:jc w:val="both"/>
        <w:rPr>
          <w:rFonts w:ascii="Arial" w:hAnsi="Arial" w:cs="Arial"/>
        </w:rPr>
      </w:pPr>
      <w:r>
        <w:rPr>
          <w:rFonts w:ascii="Arial" w:hAnsi="Arial" w:cs="Arial"/>
        </w:rPr>
        <w:t xml:space="preserve">In the following two (2) </w:t>
      </w:r>
      <w:r w:rsidR="00311E5A" w:rsidRPr="00311E5A">
        <w:rPr>
          <w:rFonts w:ascii="Arial" w:hAnsi="Arial" w:cs="Arial"/>
        </w:rPr>
        <w:t xml:space="preserve">cases Legal Aid SA was admitted as an amicus. </w:t>
      </w:r>
    </w:p>
    <w:p w:rsidR="00311E5A" w:rsidRPr="00311E5A" w:rsidRDefault="00311E5A" w:rsidP="006E72C9">
      <w:pPr>
        <w:spacing w:line="360" w:lineRule="auto"/>
        <w:jc w:val="both"/>
        <w:rPr>
          <w:rFonts w:ascii="Arial" w:hAnsi="Arial" w:cs="Arial"/>
        </w:rPr>
      </w:pPr>
    </w:p>
    <w:p w:rsidR="00311E5A" w:rsidRPr="00390F27" w:rsidRDefault="00311E5A" w:rsidP="006E72C9">
      <w:pPr>
        <w:numPr>
          <w:ilvl w:val="0"/>
          <w:numId w:val="32"/>
        </w:numPr>
        <w:spacing w:line="360" w:lineRule="auto"/>
        <w:ind w:left="284" w:hanging="284"/>
        <w:jc w:val="both"/>
        <w:rPr>
          <w:rFonts w:ascii="Arial" w:hAnsi="Arial" w:cs="Arial"/>
          <w:b/>
        </w:rPr>
      </w:pPr>
      <w:r w:rsidRPr="00390F27">
        <w:rPr>
          <w:rFonts w:ascii="Arial" w:hAnsi="Arial" w:cs="Arial"/>
          <w:b/>
        </w:rPr>
        <w:t>ABSA vs Mokebe</w:t>
      </w:r>
    </w:p>
    <w:p w:rsidR="00311E5A" w:rsidRDefault="00311E5A" w:rsidP="006E72C9">
      <w:pPr>
        <w:spacing w:line="360" w:lineRule="auto"/>
        <w:ind w:left="720"/>
        <w:jc w:val="both"/>
        <w:rPr>
          <w:rFonts w:ascii="Arial" w:hAnsi="Arial" w:cs="Arial"/>
        </w:rPr>
      </w:pPr>
    </w:p>
    <w:p w:rsidR="00311E5A" w:rsidRDefault="003B21EF" w:rsidP="006E72C9">
      <w:pPr>
        <w:spacing w:line="360" w:lineRule="auto"/>
        <w:contextualSpacing/>
        <w:jc w:val="both"/>
        <w:rPr>
          <w:rFonts w:ascii="Arial" w:hAnsi="Arial" w:cs="Arial"/>
        </w:rPr>
      </w:pPr>
      <w:r>
        <w:rPr>
          <w:rFonts w:ascii="Arial" w:hAnsi="Arial" w:cs="Arial"/>
        </w:rPr>
        <w:t>Firstly,</w:t>
      </w:r>
      <w:r w:rsidR="00A8097C">
        <w:rPr>
          <w:rFonts w:ascii="Arial" w:hAnsi="Arial" w:cs="Arial"/>
        </w:rPr>
        <w:t xml:space="preserve"> </w:t>
      </w:r>
      <w:r w:rsidR="00311E5A" w:rsidRPr="00311E5A">
        <w:rPr>
          <w:rFonts w:ascii="Arial" w:hAnsi="Arial" w:cs="Arial"/>
          <w:b/>
        </w:rPr>
        <w:t xml:space="preserve">Absa Bank Limited v Mokebe and Other Related Cases 2018 (6) SA 492 (GJ) </w:t>
      </w:r>
      <w:r w:rsidR="00311E5A" w:rsidRPr="00311E5A">
        <w:rPr>
          <w:rFonts w:ascii="Arial" w:hAnsi="Arial" w:cs="Arial"/>
        </w:rPr>
        <w:t xml:space="preserve">is </w:t>
      </w:r>
      <w:r w:rsidR="00311E5A">
        <w:rPr>
          <w:rFonts w:ascii="Arial" w:hAnsi="Arial" w:cs="Arial"/>
          <w:bCs/>
        </w:rPr>
        <w:t xml:space="preserve">a landmark </w:t>
      </w:r>
      <w:r w:rsidR="00311E5A" w:rsidRPr="00390F27">
        <w:rPr>
          <w:rFonts w:ascii="Arial" w:hAnsi="Arial" w:cs="Arial"/>
          <w:bCs/>
        </w:rPr>
        <w:t>ruling in</w:t>
      </w:r>
      <w:r w:rsidR="00311E5A">
        <w:rPr>
          <w:rFonts w:ascii="Arial" w:hAnsi="Arial" w:cs="Arial"/>
          <w:bCs/>
        </w:rPr>
        <w:t xml:space="preserve"> the </w:t>
      </w:r>
      <w:r w:rsidR="00311E5A" w:rsidRPr="00311E5A">
        <w:rPr>
          <w:rFonts w:ascii="Arial" w:hAnsi="Arial" w:cs="Arial"/>
          <w:bCs/>
        </w:rPr>
        <w:t>protection of the Constitutional right to housing set out in section 26 of the Constitution. Legal Aid South Africa made a submission which was accepted by the full court that the monetary judgment, special execution order and the setting of a reserve price should be heard and adjudicated upon simultaneously to reduce litigation costs which may be incurred by the indigent and poor if those applications were to be heard separately in 2 or 3 separate applications. [para 26]</w:t>
      </w:r>
      <w:r w:rsidR="00390F27">
        <w:rPr>
          <w:rFonts w:ascii="Arial" w:hAnsi="Arial" w:cs="Arial"/>
          <w:bCs/>
        </w:rPr>
        <w:t xml:space="preserve">. </w:t>
      </w:r>
      <w:r w:rsidR="00311E5A" w:rsidRPr="00311E5A">
        <w:rPr>
          <w:rFonts w:ascii="Arial" w:hAnsi="Arial" w:cs="Arial"/>
          <w:bCs/>
        </w:rPr>
        <w:t>This court for the first time made a ruling that courts have a discretion when considering the monetary judgment and special execution order to set a reserve price in terms of the Rules of Court.  This means that the risk of selling the repossessed house on auction for trifling amounts and at far less than the market value has been reduced tremendously as a result of this judgment. Any reduction in the reserve price would have to be motivated to the Court that set the original reserve price. This procedure has been documented in the Practice Directives of this Court.</w:t>
      </w:r>
      <w:r w:rsidR="00311E5A" w:rsidRPr="00311E5A">
        <w:rPr>
          <w:rFonts w:ascii="Arial" w:hAnsi="Arial" w:cs="Arial"/>
        </w:rPr>
        <w:t xml:space="preserve"> </w:t>
      </w:r>
    </w:p>
    <w:p w:rsidR="00311E5A" w:rsidRPr="00311E5A" w:rsidRDefault="00311E5A" w:rsidP="006E72C9">
      <w:pPr>
        <w:spacing w:line="360" w:lineRule="auto"/>
        <w:ind w:left="720"/>
        <w:contextualSpacing/>
        <w:jc w:val="both"/>
        <w:rPr>
          <w:rFonts w:ascii="Arial" w:hAnsi="Arial" w:cs="Arial"/>
        </w:rPr>
      </w:pPr>
    </w:p>
    <w:p w:rsidR="00311E5A" w:rsidRPr="00390F27" w:rsidRDefault="00311E5A" w:rsidP="006E72C9">
      <w:pPr>
        <w:numPr>
          <w:ilvl w:val="0"/>
          <w:numId w:val="32"/>
        </w:numPr>
        <w:spacing w:line="360" w:lineRule="auto"/>
        <w:ind w:left="426" w:hanging="426"/>
        <w:contextualSpacing/>
        <w:jc w:val="both"/>
        <w:rPr>
          <w:rFonts w:ascii="Arial" w:hAnsi="Arial" w:cs="Arial"/>
          <w:b/>
        </w:rPr>
      </w:pPr>
      <w:r w:rsidRPr="00390F27">
        <w:rPr>
          <w:rFonts w:ascii="Arial" w:hAnsi="Arial" w:cs="Arial"/>
          <w:b/>
        </w:rPr>
        <w:t>Std. Bank vs Hendricks</w:t>
      </w:r>
    </w:p>
    <w:p w:rsidR="00700731" w:rsidRDefault="00700731" w:rsidP="006E72C9">
      <w:pPr>
        <w:spacing w:line="360" w:lineRule="auto"/>
        <w:ind w:left="720"/>
        <w:contextualSpacing/>
        <w:jc w:val="both"/>
        <w:rPr>
          <w:rFonts w:ascii="Arial" w:hAnsi="Arial" w:cs="Arial"/>
        </w:rPr>
      </w:pPr>
    </w:p>
    <w:p w:rsidR="00700731" w:rsidRPr="00311E5A" w:rsidRDefault="003B21EF" w:rsidP="006E72C9">
      <w:pPr>
        <w:spacing w:line="360" w:lineRule="auto"/>
        <w:contextualSpacing/>
        <w:jc w:val="both"/>
        <w:rPr>
          <w:rFonts w:ascii="Arial" w:hAnsi="Arial" w:cs="Arial"/>
        </w:rPr>
      </w:pPr>
      <w:r>
        <w:rPr>
          <w:rFonts w:ascii="Arial" w:hAnsi="Arial" w:cs="Arial"/>
          <w:bCs/>
        </w:rPr>
        <w:t xml:space="preserve">Secondly, </w:t>
      </w:r>
      <w:r w:rsidR="00A8097C" w:rsidRPr="00A8097C">
        <w:rPr>
          <w:rFonts w:ascii="Arial" w:hAnsi="Arial" w:cs="Arial"/>
          <w:bCs/>
        </w:rPr>
        <w:t xml:space="preserve">the matter of </w:t>
      </w:r>
      <w:r w:rsidR="00A8097C" w:rsidRPr="00A8097C">
        <w:rPr>
          <w:rFonts w:ascii="Arial" w:hAnsi="Arial" w:cs="Arial"/>
          <w:b/>
          <w:bCs/>
        </w:rPr>
        <w:t>Standard Bank of South Africa v Hendricks and another and related matters 2019 (2) SA 620 (WCC)</w:t>
      </w:r>
      <w:r>
        <w:rPr>
          <w:rFonts w:ascii="Arial" w:hAnsi="Arial" w:cs="Arial"/>
          <w:b/>
          <w:bCs/>
        </w:rPr>
        <w:t>.</w:t>
      </w:r>
      <w:r w:rsidR="00A8097C" w:rsidRPr="00A8097C">
        <w:rPr>
          <w:rFonts w:ascii="Arial" w:hAnsi="Arial" w:cs="Arial"/>
          <w:bCs/>
        </w:rPr>
        <w:t xml:space="preserve"> </w:t>
      </w:r>
      <w:r w:rsidR="00700731">
        <w:rPr>
          <w:rFonts w:ascii="Arial" w:hAnsi="Arial" w:cs="Arial"/>
        </w:rPr>
        <w:t xml:space="preserve">The matter dealt with seven Foreclosure matters where the Standard Bank and Absa Bank sought an order of execution against immovable property which was the primary resident of the judgement debtor.  Legal Aid South Africa </w:t>
      </w:r>
      <w:r w:rsidR="00A8097C">
        <w:rPr>
          <w:rFonts w:ascii="Arial" w:hAnsi="Arial" w:cs="Arial"/>
        </w:rPr>
        <w:t>made important</w:t>
      </w:r>
      <w:r w:rsidR="00700731">
        <w:rPr>
          <w:rFonts w:ascii="Arial" w:hAnsi="Arial" w:cs="Arial"/>
        </w:rPr>
        <w:t xml:space="preserve"> </w:t>
      </w:r>
      <w:r>
        <w:rPr>
          <w:rFonts w:ascii="Arial" w:hAnsi="Arial" w:cs="Arial"/>
        </w:rPr>
        <w:t xml:space="preserve">submissions </w:t>
      </w:r>
      <w:r w:rsidR="00A8097C">
        <w:rPr>
          <w:rFonts w:ascii="Arial" w:hAnsi="Arial" w:cs="Arial"/>
        </w:rPr>
        <w:t>where the proposed practice directive of Western Cape was developed to align with the Practice Directive in Gauteng to include the necessary factors for consideration in Foreclosure applications which was in line with Mokebe’s decision.  The Full Court followed the Mokebe’s decision on the question</w:t>
      </w:r>
      <w:r>
        <w:rPr>
          <w:rFonts w:ascii="Arial" w:hAnsi="Arial" w:cs="Arial"/>
        </w:rPr>
        <w:t xml:space="preserve"> of</w:t>
      </w:r>
      <w:r w:rsidR="00A8097C">
        <w:rPr>
          <w:rFonts w:ascii="Arial" w:hAnsi="Arial" w:cs="Arial"/>
        </w:rPr>
        <w:t xml:space="preserve"> whether or not a reserve price should be set.  The court further held setting a reserve price outweighs any prejudice that may arise and that only in exceptional circumstances that the court should exercise its discretion to not make such an order. </w:t>
      </w:r>
    </w:p>
    <w:sectPr w:rsidR="00700731" w:rsidRPr="00311E5A"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DF" w:rsidRDefault="00E103DF" w:rsidP="00913892">
      <w:r>
        <w:separator/>
      </w:r>
    </w:p>
  </w:endnote>
  <w:endnote w:type="continuationSeparator" w:id="0">
    <w:p w:rsidR="00E103DF" w:rsidRDefault="00E103D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103DF" w:rsidRPr="00E103D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DF" w:rsidRDefault="00E103DF" w:rsidP="00913892">
      <w:r>
        <w:separator/>
      </w:r>
    </w:p>
  </w:footnote>
  <w:footnote w:type="continuationSeparator" w:id="0">
    <w:p w:rsidR="00E103DF" w:rsidRDefault="00E103D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C1B7804"/>
    <w:multiLevelType w:val="hybridMultilevel"/>
    <w:tmpl w:val="5816B6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4"/>
  </w:num>
  <w:num w:numId="6">
    <w:abstractNumId w:val="2"/>
  </w:num>
  <w:num w:numId="7">
    <w:abstractNumId w:val="30"/>
  </w:num>
  <w:num w:numId="8">
    <w:abstractNumId w:val="8"/>
  </w:num>
  <w:num w:numId="9">
    <w:abstractNumId w:val="13"/>
  </w:num>
  <w:num w:numId="10">
    <w:abstractNumId w:val="25"/>
  </w:num>
  <w:num w:numId="11">
    <w:abstractNumId w:val="1"/>
  </w:num>
  <w:num w:numId="12">
    <w:abstractNumId w:val="18"/>
  </w:num>
  <w:num w:numId="13">
    <w:abstractNumId w:val="11"/>
  </w:num>
  <w:num w:numId="14">
    <w:abstractNumId w:val="14"/>
  </w:num>
  <w:num w:numId="15">
    <w:abstractNumId w:val="7"/>
  </w:num>
  <w:num w:numId="16">
    <w:abstractNumId w:val="12"/>
  </w:num>
  <w:num w:numId="17">
    <w:abstractNumId w:val="27"/>
  </w:num>
  <w:num w:numId="18">
    <w:abstractNumId w:val="19"/>
  </w:num>
  <w:num w:numId="19">
    <w:abstractNumId w:val="16"/>
  </w:num>
  <w:num w:numId="20">
    <w:abstractNumId w:val="26"/>
  </w:num>
  <w:num w:numId="21">
    <w:abstractNumId w:val="21"/>
  </w:num>
  <w:num w:numId="22">
    <w:abstractNumId w:val="22"/>
  </w:num>
  <w:num w:numId="23">
    <w:abstractNumId w:val="6"/>
  </w:num>
  <w:num w:numId="24">
    <w:abstractNumId w:val="23"/>
  </w:num>
  <w:num w:numId="25">
    <w:abstractNumId w:val="4"/>
  </w:num>
  <w:num w:numId="26">
    <w:abstractNumId w:val="5"/>
  </w:num>
  <w:num w:numId="27">
    <w:abstractNumId w:val="29"/>
  </w:num>
  <w:num w:numId="28">
    <w:abstractNumId w:val="9"/>
  </w:num>
  <w:num w:numId="29">
    <w:abstractNumId w:val="17"/>
  </w:num>
  <w:num w:numId="30">
    <w:abstractNumId w:val="28"/>
  </w:num>
  <w:num w:numId="31">
    <w:abstractNumId w:val="1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6"/>
    <w:rsid w:val="0004105D"/>
    <w:rsid w:val="0004190C"/>
    <w:rsid w:val="00046588"/>
    <w:rsid w:val="00052CE2"/>
    <w:rsid w:val="00070401"/>
    <w:rsid w:val="00072E1B"/>
    <w:rsid w:val="0007655F"/>
    <w:rsid w:val="00084622"/>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564B3"/>
    <w:rsid w:val="001702F2"/>
    <w:rsid w:val="001774BC"/>
    <w:rsid w:val="001848C4"/>
    <w:rsid w:val="00192D26"/>
    <w:rsid w:val="00194B05"/>
    <w:rsid w:val="001A6D2A"/>
    <w:rsid w:val="001B00F0"/>
    <w:rsid w:val="001E1BE7"/>
    <w:rsid w:val="001F445E"/>
    <w:rsid w:val="00203F6A"/>
    <w:rsid w:val="00213182"/>
    <w:rsid w:val="0021549B"/>
    <w:rsid w:val="0023481D"/>
    <w:rsid w:val="00262407"/>
    <w:rsid w:val="00271AE5"/>
    <w:rsid w:val="002857B6"/>
    <w:rsid w:val="00286311"/>
    <w:rsid w:val="00294A6E"/>
    <w:rsid w:val="002A0DB1"/>
    <w:rsid w:val="002B2B31"/>
    <w:rsid w:val="002B6D18"/>
    <w:rsid w:val="002C719B"/>
    <w:rsid w:val="002D5BF7"/>
    <w:rsid w:val="002D7BBD"/>
    <w:rsid w:val="002E7253"/>
    <w:rsid w:val="002F0095"/>
    <w:rsid w:val="002F74EA"/>
    <w:rsid w:val="00311E5A"/>
    <w:rsid w:val="0031652F"/>
    <w:rsid w:val="003224A0"/>
    <w:rsid w:val="00322BA4"/>
    <w:rsid w:val="00343B24"/>
    <w:rsid w:val="00346942"/>
    <w:rsid w:val="00361E4B"/>
    <w:rsid w:val="0037187E"/>
    <w:rsid w:val="003767D7"/>
    <w:rsid w:val="00381B64"/>
    <w:rsid w:val="00386CA6"/>
    <w:rsid w:val="00390F27"/>
    <w:rsid w:val="003A07DD"/>
    <w:rsid w:val="003A64C5"/>
    <w:rsid w:val="003B21EF"/>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3807"/>
    <w:rsid w:val="004572CE"/>
    <w:rsid w:val="00465448"/>
    <w:rsid w:val="00465A51"/>
    <w:rsid w:val="004B6B6B"/>
    <w:rsid w:val="004F6FEC"/>
    <w:rsid w:val="00515B6A"/>
    <w:rsid w:val="005160F8"/>
    <w:rsid w:val="0054211D"/>
    <w:rsid w:val="00567640"/>
    <w:rsid w:val="00572F09"/>
    <w:rsid w:val="005835BC"/>
    <w:rsid w:val="005856A7"/>
    <w:rsid w:val="00585897"/>
    <w:rsid w:val="005A035C"/>
    <w:rsid w:val="005E365A"/>
    <w:rsid w:val="00612214"/>
    <w:rsid w:val="00625CD7"/>
    <w:rsid w:val="00630932"/>
    <w:rsid w:val="00635C5D"/>
    <w:rsid w:val="00653FE5"/>
    <w:rsid w:val="00670788"/>
    <w:rsid w:val="0067545A"/>
    <w:rsid w:val="006959E4"/>
    <w:rsid w:val="006B0F80"/>
    <w:rsid w:val="006C0567"/>
    <w:rsid w:val="006C3165"/>
    <w:rsid w:val="006D21F9"/>
    <w:rsid w:val="006D7E71"/>
    <w:rsid w:val="006E44F3"/>
    <w:rsid w:val="006E72C9"/>
    <w:rsid w:val="006F2454"/>
    <w:rsid w:val="006F63D7"/>
    <w:rsid w:val="00700731"/>
    <w:rsid w:val="00720D4C"/>
    <w:rsid w:val="00724689"/>
    <w:rsid w:val="007261FA"/>
    <w:rsid w:val="00740A5A"/>
    <w:rsid w:val="00745638"/>
    <w:rsid w:val="007540CF"/>
    <w:rsid w:val="00755C22"/>
    <w:rsid w:val="00757E02"/>
    <w:rsid w:val="00760BFE"/>
    <w:rsid w:val="00777A77"/>
    <w:rsid w:val="0078425B"/>
    <w:rsid w:val="00791471"/>
    <w:rsid w:val="007961D4"/>
    <w:rsid w:val="007A5752"/>
    <w:rsid w:val="007C0AC3"/>
    <w:rsid w:val="007E7201"/>
    <w:rsid w:val="007F2B0B"/>
    <w:rsid w:val="00846897"/>
    <w:rsid w:val="00865132"/>
    <w:rsid w:val="008769EF"/>
    <w:rsid w:val="00881381"/>
    <w:rsid w:val="00882C01"/>
    <w:rsid w:val="00892846"/>
    <w:rsid w:val="008A1398"/>
    <w:rsid w:val="008A1837"/>
    <w:rsid w:val="008C0966"/>
    <w:rsid w:val="008C1A56"/>
    <w:rsid w:val="008C5767"/>
    <w:rsid w:val="008D4373"/>
    <w:rsid w:val="008E312C"/>
    <w:rsid w:val="008E78E6"/>
    <w:rsid w:val="008F6A5A"/>
    <w:rsid w:val="009025C1"/>
    <w:rsid w:val="00905C38"/>
    <w:rsid w:val="00913892"/>
    <w:rsid w:val="0092193B"/>
    <w:rsid w:val="009229AD"/>
    <w:rsid w:val="00924145"/>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0329A"/>
    <w:rsid w:val="00A21211"/>
    <w:rsid w:val="00A42301"/>
    <w:rsid w:val="00A4711C"/>
    <w:rsid w:val="00A64328"/>
    <w:rsid w:val="00A6432A"/>
    <w:rsid w:val="00A66729"/>
    <w:rsid w:val="00A7136B"/>
    <w:rsid w:val="00A8097C"/>
    <w:rsid w:val="00AA2AB0"/>
    <w:rsid w:val="00AA39AC"/>
    <w:rsid w:val="00AB3AF9"/>
    <w:rsid w:val="00AD7B7A"/>
    <w:rsid w:val="00AF5D91"/>
    <w:rsid w:val="00B13369"/>
    <w:rsid w:val="00B170EA"/>
    <w:rsid w:val="00B26AB3"/>
    <w:rsid w:val="00B40A2F"/>
    <w:rsid w:val="00B45546"/>
    <w:rsid w:val="00B46E62"/>
    <w:rsid w:val="00B5021D"/>
    <w:rsid w:val="00B53930"/>
    <w:rsid w:val="00B553A6"/>
    <w:rsid w:val="00B8345D"/>
    <w:rsid w:val="00B958BA"/>
    <w:rsid w:val="00BA3361"/>
    <w:rsid w:val="00BA3A67"/>
    <w:rsid w:val="00BA61AF"/>
    <w:rsid w:val="00BB53A8"/>
    <w:rsid w:val="00BC7AFB"/>
    <w:rsid w:val="00BD6D36"/>
    <w:rsid w:val="00BE6E88"/>
    <w:rsid w:val="00BF0672"/>
    <w:rsid w:val="00BF0809"/>
    <w:rsid w:val="00BF738D"/>
    <w:rsid w:val="00C10297"/>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341C9"/>
    <w:rsid w:val="00D463C8"/>
    <w:rsid w:val="00D50C5D"/>
    <w:rsid w:val="00D56B43"/>
    <w:rsid w:val="00D65FCF"/>
    <w:rsid w:val="00D74CDB"/>
    <w:rsid w:val="00D764A0"/>
    <w:rsid w:val="00D76DA7"/>
    <w:rsid w:val="00D80139"/>
    <w:rsid w:val="00D86E52"/>
    <w:rsid w:val="00D93903"/>
    <w:rsid w:val="00DA495F"/>
    <w:rsid w:val="00DA4E1A"/>
    <w:rsid w:val="00DB11B2"/>
    <w:rsid w:val="00DC255C"/>
    <w:rsid w:val="00DC592F"/>
    <w:rsid w:val="00DC7CDA"/>
    <w:rsid w:val="00DE1284"/>
    <w:rsid w:val="00DF2638"/>
    <w:rsid w:val="00E103DF"/>
    <w:rsid w:val="00E1080E"/>
    <w:rsid w:val="00E17F42"/>
    <w:rsid w:val="00E44AFC"/>
    <w:rsid w:val="00E55AFD"/>
    <w:rsid w:val="00E55D3E"/>
    <w:rsid w:val="00E771E1"/>
    <w:rsid w:val="00EA4D5C"/>
    <w:rsid w:val="00EA53D2"/>
    <w:rsid w:val="00EA7A64"/>
    <w:rsid w:val="00EB54FA"/>
    <w:rsid w:val="00EC5379"/>
    <w:rsid w:val="00ED5CF6"/>
    <w:rsid w:val="00EE1177"/>
    <w:rsid w:val="00EE6CD5"/>
    <w:rsid w:val="00EF081C"/>
    <w:rsid w:val="00EF32C9"/>
    <w:rsid w:val="00F20EAD"/>
    <w:rsid w:val="00F220CD"/>
    <w:rsid w:val="00F26B86"/>
    <w:rsid w:val="00F31805"/>
    <w:rsid w:val="00F36003"/>
    <w:rsid w:val="00F475A6"/>
    <w:rsid w:val="00F55893"/>
    <w:rsid w:val="00F63F57"/>
    <w:rsid w:val="00F646C9"/>
    <w:rsid w:val="00F739F4"/>
    <w:rsid w:val="00F7723B"/>
    <w:rsid w:val="00F845F2"/>
    <w:rsid w:val="00F86709"/>
    <w:rsid w:val="00F91926"/>
    <w:rsid w:val="00F95D9E"/>
    <w:rsid w:val="00FA26A6"/>
    <w:rsid w:val="00FA4D8E"/>
    <w:rsid w:val="00FA74AE"/>
    <w:rsid w:val="00FD32ED"/>
    <w:rsid w:val="00FE25AE"/>
    <w:rsid w:val="00FE5837"/>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4912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2019-08-30T09:21:00Z</dcterms:created>
  <dcterms:modified xsi:type="dcterms:W3CDTF">2019-08-30T09:21:00Z</dcterms:modified>
</cp:coreProperties>
</file>