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394AA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394AA8" w:rsidP="00394AA8">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394AA8" w:rsidP="00394AA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QUESTION</w:t>
      </w:r>
      <w:r>
        <w:rPr>
          <w:rFonts w:ascii="Arial" w:eastAsia="Calibri" w:hAnsi="Arial" w:cs="Arial"/>
          <w:b/>
          <w:bCs/>
          <w:lang w:val="en-GB"/>
        </w:rPr>
        <w:t xml:space="preserve"> NO: </w:t>
      </w:r>
      <w:r w:rsidR="00B67C80" w:rsidRPr="008C0966">
        <w:rPr>
          <w:rFonts w:ascii="Arial" w:eastAsia="Calibri" w:hAnsi="Arial" w:cs="Arial"/>
          <w:b/>
          <w:bCs/>
          <w:lang w:val="en-GB"/>
        </w:rPr>
        <w:t xml:space="preserve"> </w:t>
      </w:r>
      <w:r w:rsidR="00114EE0">
        <w:rPr>
          <w:rFonts w:ascii="Arial" w:eastAsia="Calibri" w:hAnsi="Arial" w:cs="Arial"/>
          <w:b/>
          <w:bCs/>
          <w:lang w:val="en-GB"/>
        </w:rPr>
        <w:t>3</w:t>
      </w:r>
      <w:r w:rsidR="00E43272">
        <w:rPr>
          <w:rFonts w:ascii="Arial" w:eastAsia="Calibri" w:hAnsi="Arial" w:cs="Arial"/>
          <w:b/>
          <w:bCs/>
          <w:lang w:val="en-GB"/>
        </w:rPr>
        <w:t>449</w:t>
      </w:r>
    </w:p>
    <w:p w:rsidR="00B67C80" w:rsidRPr="00394AA8" w:rsidRDefault="00B67C80" w:rsidP="00394AA8">
      <w:pPr>
        <w:spacing w:after="200" w:line="276" w:lineRule="auto"/>
        <w:rPr>
          <w:rFonts w:ascii="Arial" w:eastAsia="Calibri" w:hAnsi="Arial" w:cs="Arial"/>
          <w:b/>
          <w:bCs/>
          <w:lang w:val="en-GB"/>
        </w:rPr>
      </w:pPr>
      <w:r w:rsidRPr="00394AA8">
        <w:rPr>
          <w:rFonts w:ascii="Arial" w:eastAsia="Calibri" w:hAnsi="Arial" w:cs="Arial"/>
          <w:b/>
          <w:bCs/>
          <w:lang w:val="en-GB"/>
        </w:rPr>
        <w:t xml:space="preserve">DATE OF QUESTION: </w:t>
      </w:r>
      <w:r w:rsidR="00D255F6" w:rsidRPr="00394AA8">
        <w:rPr>
          <w:rFonts w:ascii="Arial" w:eastAsia="Calibri" w:hAnsi="Arial" w:cs="Arial"/>
          <w:b/>
          <w:bCs/>
          <w:lang w:val="en-GB"/>
        </w:rPr>
        <w:t>09</w:t>
      </w:r>
      <w:r w:rsidR="00394AA8" w:rsidRPr="00394AA8">
        <w:rPr>
          <w:rFonts w:ascii="Arial" w:eastAsia="Calibri" w:hAnsi="Arial" w:cs="Arial"/>
          <w:b/>
          <w:bCs/>
          <w:lang w:val="en-GB"/>
        </w:rPr>
        <w:t xml:space="preserve"> NOVEMBER </w:t>
      </w:r>
      <w:r w:rsidRPr="00394AA8">
        <w:rPr>
          <w:rFonts w:ascii="Arial" w:eastAsia="Calibri" w:hAnsi="Arial" w:cs="Arial"/>
          <w:b/>
          <w:bCs/>
          <w:lang w:val="en-GB"/>
        </w:rPr>
        <w:t>2018</w:t>
      </w:r>
    </w:p>
    <w:p w:rsidR="00B67C80" w:rsidRPr="00394AA8" w:rsidRDefault="00B67C80" w:rsidP="00394AA8">
      <w:pPr>
        <w:spacing w:before="100" w:beforeAutospacing="1" w:after="100" w:afterAutospacing="1" w:line="276" w:lineRule="auto"/>
        <w:outlineLvl w:val="0"/>
        <w:rPr>
          <w:rFonts w:ascii="Arial" w:eastAsia="Calibri" w:hAnsi="Arial" w:cs="Arial"/>
          <w:b/>
          <w:bCs/>
          <w:lang w:val="en-GB"/>
        </w:rPr>
      </w:pPr>
      <w:r w:rsidRPr="00394AA8">
        <w:rPr>
          <w:rFonts w:ascii="Arial" w:eastAsia="Calibri" w:hAnsi="Arial" w:cs="Arial"/>
          <w:b/>
          <w:bCs/>
          <w:lang w:val="en-GB"/>
        </w:rPr>
        <w:t xml:space="preserve">DATE OF SUBMISSION: </w:t>
      </w:r>
      <w:r w:rsidR="00346374" w:rsidRPr="00394AA8">
        <w:rPr>
          <w:rFonts w:ascii="Arial" w:eastAsia="Calibri" w:hAnsi="Arial" w:cs="Arial"/>
          <w:b/>
          <w:bCs/>
          <w:lang w:val="en-GB"/>
        </w:rPr>
        <w:t>23</w:t>
      </w:r>
      <w:r w:rsidRPr="00394AA8">
        <w:rPr>
          <w:rFonts w:ascii="Arial" w:eastAsia="Calibri" w:hAnsi="Arial" w:cs="Arial"/>
          <w:b/>
          <w:bCs/>
          <w:lang w:val="en-GB"/>
        </w:rPr>
        <w:t xml:space="preserve"> NOVEMBER 2018</w:t>
      </w:r>
    </w:p>
    <w:p w:rsidR="00E43272" w:rsidRPr="00E43272" w:rsidRDefault="00E43272" w:rsidP="00E43272">
      <w:pPr>
        <w:pStyle w:val="Default"/>
        <w:spacing w:before="120" w:after="120" w:line="360" w:lineRule="auto"/>
        <w:jc w:val="both"/>
        <w:rPr>
          <w:rFonts w:ascii="Arial" w:hAnsi="Arial" w:cs="Arial"/>
          <w:b/>
        </w:rPr>
      </w:pPr>
      <w:r w:rsidRPr="00E43272">
        <w:rPr>
          <w:rFonts w:ascii="Arial" w:hAnsi="Arial" w:cs="Arial"/>
          <w:b/>
        </w:rPr>
        <w:t>Mr T R Majola (DA) to ask the Minister of Justice and Correctional Services:</w:t>
      </w:r>
    </w:p>
    <w:p w:rsidR="00E43272" w:rsidRPr="00E43272" w:rsidRDefault="00E43272" w:rsidP="00E43272">
      <w:pPr>
        <w:pStyle w:val="Default"/>
        <w:numPr>
          <w:ilvl w:val="0"/>
          <w:numId w:val="44"/>
        </w:numPr>
        <w:spacing w:before="120" w:after="120" w:line="360" w:lineRule="auto"/>
        <w:jc w:val="both"/>
        <w:rPr>
          <w:rFonts w:ascii="Arial" w:hAnsi="Arial" w:cs="Arial"/>
        </w:rPr>
      </w:pPr>
      <w:r w:rsidRPr="00E43272">
        <w:rPr>
          <w:rFonts w:ascii="Arial" w:hAnsi="Arial" w:cs="Arial"/>
        </w:rPr>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E43272" w:rsidRDefault="00E43272" w:rsidP="00E43272">
      <w:pPr>
        <w:pStyle w:val="Default"/>
        <w:numPr>
          <w:ilvl w:val="0"/>
          <w:numId w:val="44"/>
        </w:numPr>
        <w:spacing w:before="120" w:after="120" w:line="360" w:lineRule="auto"/>
        <w:jc w:val="both"/>
        <w:rPr>
          <w:rFonts w:ascii="Arial" w:hAnsi="Arial" w:cs="Arial"/>
        </w:rPr>
      </w:pPr>
      <w:r w:rsidRPr="00E43272">
        <w:rPr>
          <w:rFonts w:ascii="Arial" w:hAnsi="Arial" w:cs="Arial"/>
        </w:rPr>
        <w:t>whether any artworks under his department’s curatorship have gone missing (a) in each of the past five financial years and (b) since 1 April 2018; if so, what are the relevant details</w:t>
      </w:r>
      <w:r>
        <w:rPr>
          <w:rFonts w:ascii="Arial" w:hAnsi="Arial" w:cs="Arial"/>
        </w:rPr>
        <w:t>?</w:t>
      </w:r>
    </w:p>
    <w:p w:rsidR="00E43272" w:rsidRPr="00E43272" w:rsidRDefault="00E43272" w:rsidP="00E43272">
      <w:pPr>
        <w:pStyle w:val="Default"/>
        <w:spacing w:before="120" w:after="120" w:line="360" w:lineRule="auto"/>
        <w:jc w:val="right"/>
        <w:rPr>
          <w:rFonts w:ascii="Arial" w:eastAsia="Times New Roman" w:hAnsi="Arial" w:cs="Arial"/>
          <w:b/>
          <w:color w:val="auto"/>
          <w:lang w:eastAsia="en-US"/>
        </w:rPr>
      </w:pPr>
      <w:r w:rsidRPr="00E43272">
        <w:rPr>
          <w:rFonts w:ascii="Arial" w:eastAsia="Times New Roman" w:hAnsi="Arial" w:cs="Arial"/>
          <w:b/>
          <w:color w:val="auto"/>
          <w:lang w:eastAsia="en-US"/>
        </w:rPr>
        <w:t>NW3938E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8C5806" w:rsidRDefault="008C5806" w:rsidP="00346374">
      <w:pPr>
        <w:pStyle w:val="Default"/>
        <w:spacing w:before="120" w:after="120" w:line="360" w:lineRule="auto"/>
        <w:rPr>
          <w:rFonts w:ascii="Arial" w:hAnsi="Arial" w:cs="Arial"/>
          <w:b/>
        </w:rPr>
      </w:pPr>
    </w:p>
    <w:p w:rsidR="00172191" w:rsidRDefault="00172191" w:rsidP="00DA650B">
      <w:pPr>
        <w:pStyle w:val="Default"/>
        <w:numPr>
          <w:ilvl w:val="0"/>
          <w:numId w:val="46"/>
        </w:numPr>
        <w:spacing w:line="360" w:lineRule="auto"/>
        <w:jc w:val="both"/>
        <w:rPr>
          <w:rFonts w:ascii="Arial" w:hAnsi="Arial" w:cs="Arial"/>
        </w:rPr>
      </w:pPr>
      <w:r>
        <w:rPr>
          <w:rFonts w:ascii="Arial" w:hAnsi="Arial" w:cs="Arial"/>
        </w:rPr>
        <w:t xml:space="preserve">(a) </w:t>
      </w:r>
      <w:r w:rsidR="00262F8D" w:rsidRPr="00DA650B">
        <w:rPr>
          <w:rFonts w:ascii="Arial" w:hAnsi="Arial" w:cs="Arial"/>
        </w:rPr>
        <w:t>The D</w:t>
      </w:r>
      <w:r w:rsidR="00DA650B">
        <w:rPr>
          <w:rFonts w:ascii="Arial" w:hAnsi="Arial" w:cs="Arial"/>
        </w:rPr>
        <w:t xml:space="preserve">epartment of </w:t>
      </w:r>
      <w:r w:rsidR="00262F8D" w:rsidRPr="00DA650B">
        <w:rPr>
          <w:rFonts w:ascii="Arial" w:hAnsi="Arial" w:cs="Arial"/>
        </w:rPr>
        <w:t>J</w:t>
      </w:r>
      <w:r w:rsidR="00DA650B">
        <w:rPr>
          <w:rFonts w:ascii="Arial" w:hAnsi="Arial" w:cs="Arial"/>
        </w:rPr>
        <w:t xml:space="preserve">ustice and </w:t>
      </w:r>
      <w:r w:rsidR="00262F8D" w:rsidRPr="00DA650B">
        <w:rPr>
          <w:rFonts w:ascii="Arial" w:hAnsi="Arial" w:cs="Arial"/>
        </w:rPr>
        <w:t>C</w:t>
      </w:r>
      <w:r w:rsidR="00DA650B">
        <w:rPr>
          <w:rFonts w:ascii="Arial" w:hAnsi="Arial" w:cs="Arial"/>
        </w:rPr>
        <w:t xml:space="preserve">onstitutional </w:t>
      </w:r>
      <w:r w:rsidR="00262F8D" w:rsidRPr="00DA650B">
        <w:rPr>
          <w:rFonts w:ascii="Arial" w:hAnsi="Arial" w:cs="Arial"/>
        </w:rPr>
        <w:t>D</w:t>
      </w:r>
      <w:r w:rsidR="00DA650B">
        <w:rPr>
          <w:rFonts w:ascii="Arial" w:hAnsi="Arial" w:cs="Arial"/>
        </w:rPr>
        <w:t>evelopment</w:t>
      </w:r>
      <w:r w:rsidR="00262F8D" w:rsidRPr="00DA650B">
        <w:rPr>
          <w:rFonts w:ascii="Arial" w:hAnsi="Arial" w:cs="Arial"/>
        </w:rPr>
        <w:t xml:space="preserve"> </w:t>
      </w:r>
      <w:r>
        <w:rPr>
          <w:rFonts w:ascii="Arial" w:hAnsi="Arial" w:cs="Arial"/>
        </w:rPr>
        <w:t xml:space="preserve">(DoJ&amp;CD) </w:t>
      </w:r>
      <w:r w:rsidRPr="000F50A2">
        <w:rPr>
          <w:rFonts w:ascii="Arial" w:hAnsi="Arial" w:cs="Arial"/>
        </w:rPr>
        <w:t xml:space="preserve">conducts </w:t>
      </w:r>
    </w:p>
    <w:p w:rsidR="00172191" w:rsidRDefault="00172191" w:rsidP="00172191">
      <w:pPr>
        <w:pStyle w:val="Default"/>
        <w:spacing w:line="360" w:lineRule="auto"/>
        <w:ind w:left="360" w:firstLine="360"/>
        <w:jc w:val="both"/>
        <w:rPr>
          <w:rFonts w:ascii="Arial" w:hAnsi="Arial" w:cs="Arial"/>
        </w:rPr>
      </w:pPr>
      <w:r w:rsidRPr="000F50A2">
        <w:rPr>
          <w:rFonts w:ascii="Arial" w:hAnsi="Arial" w:cs="Arial"/>
        </w:rPr>
        <w:t xml:space="preserve">a verification process of all its assets </w:t>
      </w:r>
      <w:r>
        <w:rPr>
          <w:rFonts w:ascii="Arial" w:hAnsi="Arial" w:cs="Arial"/>
        </w:rPr>
        <w:t>b</w:t>
      </w:r>
      <w:r w:rsidRPr="000F50A2">
        <w:rPr>
          <w:rFonts w:ascii="Arial" w:hAnsi="Arial" w:cs="Arial"/>
        </w:rPr>
        <w:t xml:space="preserve">i-annually, including the artwork on its </w:t>
      </w:r>
    </w:p>
    <w:p w:rsidR="00172191" w:rsidRDefault="00172191" w:rsidP="00172191">
      <w:pPr>
        <w:pStyle w:val="Default"/>
        <w:spacing w:line="360" w:lineRule="auto"/>
        <w:ind w:left="360" w:firstLine="360"/>
        <w:jc w:val="both"/>
        <w:rPr>
          <w:rFonts w:ascii="Arial" w:hAnsi="Arial" w:cs="Arial"/>
        </w:rPr>
      </w:pPr>
      <w:r w:rsidRPr="000F50A2">
        <w:rPr>
          <w:rFonts w:ascii="Arial" w:hAnsi="Arial" w:cs="Arial"/>
        </w:rPr>
        <w:t xml:space="preserve">asset registers and report accordingly in Interim and/or Annual Financial </w:t>
      </w:r>
    </w:p>
    <w:p w:rsidR="00262F8D" w:rsidRDefault="00172191" w:rsidP="00172191">
      <w:pPr>
        <w:pStyle w:val="Default"/>
        <w:spacing w:line="360" w:lineRule="auto"/>
        <w:ind w:left="360" w:firstLine="360"/>
        <w:jc w:val="both"/>
        <w:rPr>
          <w:rFonts w:ascii="Arial" w:hAnsi="Arial" w:cs="Arial"/>
        </w:rPr>
      </w:pPr>
      <w:r w:rsidRPr="000F50A2">
        <w:rPr>
          <w:rFonts w:ascii="Arial" w:hAnsi="Arial" w:cs="Arial"/>
        </w:rPr>
        <w:t>Statements</w:t>
      </w:r>
      <w:r>
        <w:rPr>
          <w:rFonts w:ascii="Arial" w:hAnsi="Arial" w:cs="Arial"/>
        </w:rPr>
        <w:t>.</w:t>
      </w:r>
    </w:p>
    <w:p w:rsidR="00DA650B" w:rsidRPr="00DA650B" w:rsidRDefault="00DA650B" w:rsidP="00DA650B">
      <w:pPr>
        <w:pStyle w:val="Default"/>
        <w:spacing w:line="360" w:lineRule="auto"/>
        <w:ind w:left="360"/>
        <w:jc w:val="both"/>
        <w:rPr>
          <w:rFonts w:ascii="Arial" w:hAnsi="Arial" w:cs="Arial"/>
        </w:rPr>
      </w:pPr>
    </w:p>
    <w:p w:rsidR="00172191" w:rsidRDefault="00172191" w:rsidP="00172191">
      <w:pPr>
        <w:pStyle w:val="Default"/>
        <w:spacing w:line="360" w:lineRule="auto"/>
        <w:ind w:left="720"/>
        <w:jc w:val="both"/>
        <w:rPr>
          <w:rFonts w:ascii="Arial" w:hAnsi="Arial" w:cs="Arial"/>
        </w:rPr>
      </w:pPr>
      <w:r>
        <w:rPr>
          <w:rFonts w:ascii="Arial" w:hAnsi="Arial" w:cs="Arial"/>
        </w:rPr>
        <w:t>T</w:t>
      </w:r>
      <w:r w:rsidR="00D97D13" w:rsidRPr="00D97D13">
        <w:rPr>
          <w:rFonts w:ascii="Arial" w:hAnsi="Arial" w:cs="Arial"/>
        </w:rPr>
        <w:t>he N</w:t>
      </w:r>
      <w:r w:rsidR="00DA650B">
        <w:rPr>
          <w:rFonts w:ascii="Arial" w:hAnsi="Arial" w:cs="Arial"/>
        </w:rPr>
        <w:t xml:space="preserve">ational </w:t>
      </w:r>
      <w:r w:rsidR="00D97D13" w:rsidRPr="00D97D13">
        <w:rPr>
          <w:rFonts w:ascii="Arial" w:hAnsi="Arial" w:cs="Arial"/>
        </w:rPr>
        <w:t>P</w:t>
      </w:r>
      <w:r w:rsidR="00DA650B">
        <w:rPr>
          <w:rFonts w:ascii="Arial" w:hAnsi="Arial" w:cs="Arial"/>
        </w:rPr>
        <w:t xml:space="preserve">rosecuting </w:t>
      </w:r>
      <w:r w:rsidR="00D97D13" w:rsidRPr="00D97D13">
        <w:rPr>
          <w:rFonts w:ascii="Arial" w:hAnsi="Arial" w:cs="Arial"/>
        </w:rPr>
        <w:t>A</w:t>
      </w:r>
      <w:r w:rsidR="00DA650B">
        <w:rPr>
          <w:rFonts w:ascii="Arial" w:hAnsi="Arial" w:cs="Arial"/>
        </w:rPr>
        <w:t>uthority</w:t>
      </w:r>
      <w:r w:rsidR="00D97D13" w:rsidRPr="00D97D13">
        <w:rPr>
          <w:rFonts w:ascii="Arial" w:hAnsi="Arial" w:cs="Arial"/>
        </w:rPr>
        <w:t xml:space="preserve"> </w:t>
      </w:r>
      <w:r>
        <w:rPr>
          <w:rFonts w:ascii="Arial" w:hAnsi="Arial" w:cs="Arial"/>
        </w:rPr>
        <w:t xml:space="preserve">(NPA) </w:t>
      </w:r>
      <w:r w:rsidR="00D97D13" w:rsidRPr="00D97D13">
        <w:rPr>
          <w:rFonts w:ascii="Arial" w:hAnsi="Arial" w:cs="Arial"/>
        </w:rPr>
        <w:t>commissioned an audit of all its artwork at head office in 2014. The audit was conducted by an independent firm, Gilfilan Scott-Berning</w:t>
      </w:r>
      <w:r w:rsidR="00D97D13">
        <w:rPr>
          <w:rFonts w:ascii="Arial" w:hAnsi="Arial" w:cs="Arial"/>
        </w:rPr>
        <w:t>. The artwork collecti</w:t>
      </w:r>
      <w:r w:rsidR="00DA650B">
        <w:rPr>
          <w:rFonts w:ascii="Arial" w:hAnsi="Arial" w:cs="Arial"/>
        </w:rPr>
        <w:t>on was evaluated at R889 625.00</w:t>
      </w:r>
      <w:r>
        <w:rPr>
          <w:rFonts w:ascii="Arial" w:hAnsi="Arial" w:cs="Arial"/>
        </w:rPr>
        <w:t>.</w:t>
      </w:r>
    </w:p>
    <w:p w:rsidR="00F427D8" w:rsidRDefault="00F427D8" w:rsidP="00172191">
      <w:pPr>
        <w:pStyle w:val="Default"/>
        <w:spacing w:line="360" w:lineRule="auto"/>
        <w:ind w:left="720"/>
        <w:jc w:val="both"/>
        <w:rPr>
          <w:rFonts w:ascii="Arial" w:hAnsi="Arial" w:cs="Arial"/>
        </w:rPr>
      </w:pPr>
    </w:p>
    <w:p w:rsidR="00F427D8" w:rsidRPr="00826AC3" w:rsidRDefault="00F427D8" w:rsidP="00F427D8">
      <w:pPr>
        <w:pStyle w:val="Default"/>
        <w:spacing w:before="120" w:after="120" w:line="360" w:lineRule="auto"/>
        <w:ind w:left="709" w:hanging="349"/>
        <w:jc w:val="both"/>
        <w:rPr>
          <w:rFonts w:ascii="Arial" w:hAnsi="Arial" w:cs="Arial"/>
          <w:color w:val="auto"/>
        </w:rPr>
      </w:pPr>
      <w:r>
        <w:rPr>
          <w:rFonts w:ascii="Arial" w:hAnsi="Arial" w:cs="Arial"/>
        </w:rPr>
        <w:t xml:space="preserve">     </w:t>
      </w:r>
      <w:r w:rsidRPr="00826AC3">
        <w:rPr>
          <w:rFonts w:ascii="Arial" w:hAnsi="Arial" w:cs="Arial"/>
          <w:color w:val="auto"/>
        </w:rPr>
        <w:t xml:space="preserve">Legal Aid SA conducts quarterly verification of all its assets, including the artwork                  on its asset registers, and consistently reports on its mid-year and Annual Financial Statements. Currently Legal Aid SA has no assets which are recognised as heritage assets as required by the Generally Recognised Accounting Practice 103. </w:t>
      </w:r>
    </w:p>
    <w:p w:rsidR="00172191" w:rsidRDefault="00F427D8" w:rsidP="00F427D8">
      <w:pPr>
        <w:pStyle w:val="Default"/>
        <w:spacing w:line="360" w:lineRule="auto"/>
        <w:ind w:left="567" w:hanging="207"/>
        <w:jc w:val="both"/>
        <w:rPr>
          <w:rFonts w:ascii="Arial" w:hAnsi="Arial" w:cs="Arial"/>
        </w:rPr>
      </w:pPr>
      <w:r w:rsidRPr="000F50A2">
        <w:rPr>
          <w:rFonts w:ascii="Arial" w:hAnsi="Arial" w:cs="Arial"/>
        </w:rPr>
        <w:t xml:space="preserve"> </w:t>
      </w:r>
    </w:p>
    <w:p w:rsidR="00172191" w:rsidRDefault="00172191" w:rsidP="00172191">
      <w:pPr>
        <w:pStyle w:val="Default"/>
        <w:spacing w:line="360" w:lineRule="auto"/>
        <w:ind w:left="360"/>
        <w:jc w:val="both"/>
        <w:rPr>
          <w:rFonts w:ascii="Arial" w:hAnsi="Arial" w:cs="Arial"/>
        </w:rPr>
      </w:pPr>
      <w:r>
        <w:rPr>
          <w:rFonts w:ascii="Arial" w:hAnsi="Arial" w:cs="Arial"/>
        </w:rPr>
        <w:t xml:space="preserve">(b) The </w:t>
      </w:r>
      <w:r w:rsidR="00D97D13">
        <w:rPr>
          <w:rFonts w:ascii="Arial" w:hAnsi="Arial" w:cs="Arial"/>
        </w:rPr>
        <w:t>detaile</w:t>
      </w:r>
      <w:r w:rsidR="00DA650B">
        <w:rPr>
          <w:rFonts w:ascii="Arial" w:hAnsi="Arial" w:cs="Arial"/>
        </w:rPr>
        <w:t>d evaluation report</w:t>
      </w:r>
      <w:r>
        <w:rPr>
          <w:rFonts w:ascii="Arial" w:hAnsi="Arial" w:cs="Arial"/>
        </w:rPr>
        <w:t xml:space="preserve"> of the NPA</w:t>
      </w:r>
      <w:r w:rsidR="00DA650B">
        <w:rPr>
          <w:rFonts w:ascii="Arial" w:hAnsi="Arial" w:cs="Arial"/>
        </w:rPr>
        <w:t xml:space="preserve"> is attached</w:t>
      </w:r>
      <w:r>
        <w:rPr>
          <w:rFonts w:ascii="Arial" w:hAnsi="Arial" w:cs="Arial"/>
        </w:rPr>
        <w:t xml:space="preserve"> as </w:t>
      </w:r>
      <w:r w:rsidRPr="00172191">
        <w:rPr>
          <w:rFonts w:ascii="Arial" w:hAnsi="Arial" w:cs="Arial"/>
          <w:b/>
        </w:rPr>
        <w:t>Annexure A</w:t>
      </w:r>
      <w:r>
        <w:rPr>
          <w:rFonts w:ascii="Arial" w:hAnsi="Arial" w:cs="Arial"/>
        </w:rPr>
        <w:t xml:space="preserve">. The </w:t>
      </w:r>
    </w:p>
    <w:p w:rsidR="00D97D13" w:rsidRDefault="00172191" w:rsidP="00172191">
      <w:pPr>
        <w:pStyle w:val="Default"/>
        <w:spacing w:line="360" w:lineRule="auto"/>
        <w:ind w:left="360" w:firstLine="360"/>
        <w:jc w:val="both"/>
        <w:rPr>
          <w:rFonts w:ascii="Arial" w:hAnsi="Arial" w:cs="Arial"/>
        </w:rPr>
      </w:pPr>
      <w:r>
        <w:rPr>
          <w:rFonts w:ascii="Arial" w:hAnsi="Arial" w:cs="Arial"/>
        </w:rPr>
        <w:t>artwork contained in the Do</w:t>
      </w:r>
      <w:r w:rsidRPr="000F50A2">
        <w:rPr>
          <w:rFonts w:ascii="Arial" w:hAnsi="Arial" w:cs="Arial"/>
        </w:rPr>
        <w:t xml:space="preserve">J&amp;CD asset register </w:t>
      </w:r>
      <w:r>
        <w:rPr>
          <w:rFonts w:ascii="Arial" w:hAnsi="Arial" w:cs="Arial"/>
        </w:rPr>
        <w:t>is</w:t>
      </w:r>
      <w:r w:rsidRPr="000F50A2">
        <w:rPr>
          <w:rFonts w:ascii="Arial" w:hAnsi="Arial" w:cs="Arial"/>
        </w:rPr>
        <w:t xml:space="preserve"> listed below</w:t>
      </w:r>
      <w:r>
        <w:rPr>
          <w:rFonts w:ascii="Arial" w:hAnsi="Arial" w:cs="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2126"/>
        <w:gridCol w:w="2126"/>
      </w:tblGrid>
      <w:tr w:rsidR="006B0CF6" w:rsidRPr="000F50A2" w:rsidTr="000E0FB1">
        <w:trPr>
          <w:trHeight w:val="300"/>
        </w:trPr>
        <w:tc>
          <w:tcPr>
            <w:tcW w:w="2660" w:type="dxa"/>
            <w:shd w:val="clear" w:color="auto" w:fill="auto"/>
            <w:noWrap/>
            <w:vAlign w:val="center"/>
            <w:hideMark/>
          </w:tcPr>
          <w:p w:rsidR="00172191" w:rsidRPr="000F50A2" w:rsidRDefault="00172191" w:rsidP="000E0FB1">
            <w:pPr>
              <w:spacing w:before="100" w:beforeAutospacing="1" w:after="100" w:afterAutospacing="1" w:line="360" w:lineRule="auto"/>
              <w:jc w:val="center"/>
              <w:outlineLvl w:val="0"/>
              <w:rPr>
                <w:rFonts w:ascii="Arial" w:hAnsi="Arial" w:cs="Arial"/>
                <w:b/>
                <w:bCs/>
              </w:rPr>
            </w:pPr>
            <w:r w:rsidRPr="000F50A2">
              <w:rPr>
                <w:rFonts w:ascii="Arial" w:hAnsi="Arial" w:cs="Arial"/>
                <w:b/>
                <w:bCs/>
              </w:rPr>
              <w:t>Asset</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jc w:val="center"/>
              <w:outlineLvl w:val="0"/>
              <w:rPr>
                <w:rFonts w:ascii="Arial" w:hAnsi="Arial" w:cs="Arial"/>
                <w:b/>
                <w:bCs/>
              </w:rPr>
            </w:pPr>
            <w:r w:rsidRPr="000E0FB1">
              <w:rPr>
                <w:rFonts w:ascii="Arial" w:hAnsi="Arial" w:cs="Arial"/>
                <w:b/>
                <w:bCs/>
              </w:rPr>
              <w:t>Office/Region</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center"/>
              <w:outlineLvl w:val="0"/>
              <w:rPr>
                <w:rFonts w:ascii="Arial" w:hAnsi="Arial" w:cs="Arial"/>
                <w:b/>
                <w:bCs/>
              </w:rPr>
            </w:pPr>
            <w:r w:rsidRPr="000E0FB1">
              <w:rPr>
                <w:rFonts w:ascii="Arial" w:hAnsi="Arial" w:cs="Arial"/>
                <w:b/>
                <w:bCs/>
              </w:rPr>
              <w:t>Number/Count</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jc w:val="center"/>
              <w:outlineLvl w:val="0"/>
              <w:rPr>
                <w:rFonts w:ascii="Arial" w:hAnsi="Arial" w:cs="Arial"/>
                <w:b/>
                <w:bCs/>
              </w:rPr>
            </w:pPr>
            <w:r w:rsidRPr="000F50A2">
              <w:rPr>
                <w:rFonts w:ascii="Arial" w:hAnsi="Arial" w:cs="Arial"/>
                <w:b/>
                <w:bCs/>
              </w:rPr>
              <w:t>Purchase Price</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Board White Magnetic</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Western Cape</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1</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574.28 </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Charter Service</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Eastern Cape</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2</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1 703.16 </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Coat of Arms</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National Office</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83</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663 360.08 </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Framed Pictures</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Kwa-Zulu Natal</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127</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180 061.41 </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Picture Framed</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Gauteng</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225</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252 186.26 </w:t>
            </w:r>
          </w:p>
        </w:tc>
      </w:tr>
      <w:tr w:rsidR="006B0CF6" w:rsidRPr="000F50A2" w:rsidTr="000E0FB1">
        <w:trPr>
          <w:trHeight w:val="300"/>
        </w:trPr>
        <w:tc>
          <w:tcPr>
            <w:tcW w:w="266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Potrait Art</w:t>
            </w:r>
          </w:p>
        </w:tc>
        <w:tc>
          <w:tcPr>
            <w:tcW w:w="2410" w:type="dxa"/>
            <w:shd w:val="clear" w:color="auto" w:fill="auto"/>
            <w:noWrap/>
            <w:vAlign w:val="center"/>
            <w:hideMark/>
          </w:tcPr>
          <w:p w:rsidR="00172191" w:rsidRPr="000F50A2" w:rsidRDefault="006B0CF6" w:rsidP="000E0FB1">
            <w:pPr>
              <w:spacing w:before="100" w:beforeAutospacing="1" w:after="100" w:afterAutospacing="1" w:line="360" w:lineRule="auto"/>
              <w:ind w:left="709" w:hanging="709"/>
              <w:outlineLvl w:val="0"/>
              <w:rPr>
                <w:rFonts w:ascii="Arial" w:hAnsi="Arial" w:cs="Arial"/>
              </w:rPr>
            </w:pPr>
            <w:r w:rsidRPr="000E0FB1">
              <w:rPr>
                <w:rFonts w:ascii="Arial" w:hAnsi="Arial" w:cs="Arial"/>
              </w:rPr>
              <w:t>Mpumalanga</w:t>
            </w:r>
          </w:p>
        </w:tc>
        <w:tc>
          <w:tcPr>
            <w:tcW w:w="2126" w:type="dxa"/>
            <w:shd w:val="clear" w:color="auto" w:fill="auto"/>
            <w:noWrap/>
            <w:vAlign w:val="center"/>
            <w:hideMark/>
          </w:tcPr>
          <w:p w:rsidR="00172191" w:rsidRPr="000F50A2" w:rsidRDefault="00172191" w:rsidP="000E0FB1">
            <w:pPr>
              <w:spacing w:before="100" w:beforeAutospacing="1" w:after="100" w:afterAutospacing="1" w:line="360" w:lineRule="auto"/>
              <w:ind w:left="709" w:hanging="709"/>
              <w:jc w:val="center"/>
              <w:outlineLvl w:val="0"/>
              <w:rPr>
                <w:rFonts w:ascii="Arial" w:hAnsi="Arial" w:cs="Arial"/>
              </w:rPr>
            </w:pPr>
            <w:r w:rsidRPr="000F50A2">
              <w:rPr>
                <w:rFonts w:ascii="Arial" w:hAnsi="Arial" w:cs="Arial"/>
              </w:rPr>
              <w:t>44</w:t>
            </w:r>
          </w:p>
        </w:tc>
        <w:tc>
          <w:tcPr>
            <w:tcW w:w="2126" w:type="dxa"/>
            <w:shd w:val="clear" w:color="auto" w:fill="auto"/>
            <w:noWrap/>
            <w:vAlign w:val="center"/>
            <w:hideMark/>
          </w:tcPr>
          <w:p w:rsidR="00172191" w:rsidRPr="000F50A2" w:rsidRDefault="006B0CF6" w:rsidP="000E0FB1">
            <w:pPr>
              <w:spacing w:before="100" w:beforeAutospacing="1" w:after="100" w:afterAutospacing="1" w:line="360" w:lineRule="auto"/>
              <w:jc w:val="right"/>
              <w:outlineLvl w:val="0"/>
              <w:rPr>
                <w:rFonts w:ascii="Arial" w:hAnsi="Arial" w:cs="Arial"/>
              </w:rPr>
            </w:pPr>
            <w:r w:rsidRPr="000E0FB1">
              <w:rPr>
                <w:rFonts w:ascii="Arial" w:hAnsi="Arial" w:cs="Arial"/>
              </w:rPr>
              <w:t>R</w:t>
            </w:r>
            <w:r w:rsidR="00172191" w:rsidRPr="000F50A2">
              <w:rPr>
                <w:rFonts w:ascii="Arial" w:hAnsi="Arial" w:cs="Arial"/>
              </w:rPr>
              <w:t xml:space="preserve">21 266.80 </w:t>
            </w:r>
          </w:p>
        </w:tc>
      </w:tr>
      <w:tr w:rsidR="006B0CF6" w:rsidRPr="000F50A2" w:rsidTr="000E0FB1">
        <w:trPr>
          <w:trHeight w:val="300"/>
        </w:trPr>
        <w:tc>
          <w:tcPr>
            <w:tcW w:w="5070" w:type="dxa"/>
            <w:gridSpan w:val="2"/>
            <w:shd w:val="clear" w:color="auto" w:fill="auto"/>
            <w:noWrap/>
            <w:vAlign w:val="center"/>
            <w:hideMark/>
          </w:tcPr>
          <w:p w:rsidR="006B0CF6" w:rsidRPr="000F50A2" w:rsidRDefault="006B0CF6" w:rsidP="000E0FB1">
            <w:pPr>
              <w:spacing w:before="100" w:beforeAutospacing="1" w:after="100" w:afterAutospacing="1" w:line="360" w:lineRule="auto"/>
              <w:ind w:left="709" w:hanging="709"/>
              <w:jc w:val="right"/>
              <w:outlineLvl w:val="0"/>
              <w:rPr>
                <w:rFonts w:ascii="Arial" w:hAnsi="Arial" w:cs="Arial"/>
                <w:b/>
                <w:bCs/>
              </w:rPr>
            </w:pPr>
            <w:r w:rsidRPr="000E0FB1">
              <w:rPr>
                <w:rFonts w:ascii="Arial" w:hAnsi="Arial" w:cs="Arial"/>
                <w:b/>
                <w:bCs/>
              </w:rPr>
              <w:t>Total</w:t>
            </w:r>
          </w:p>
        </w:tc>
        <w:tc>
          <w:tcPr>
            <w:tcW w:w="2126" w:type="dxa"/>
            <w:shd w:val="clear" w:color="auto" w:fill="auto"/>
            <w:noWrap/>
            <w:vAlign w:val="center"/>
            <w:hideMark/>
          </w:tcPr>
          <w:p w:rsidR="006B0CF6" w:rsidRPr="000F50A2" w:rsidRDefault="006B0CF6" w:rsidP="000E0FB1">
            <w:pPr>
              <w:spacing w:before="100" w:beforeAutospacing="1" w:after="100" w:afterAutospacing="1" w:line="360" w:lineRule="auto"/>
              <w:ind w:left="709" w:hanging="709"/>
              <w:jc w:val="center"/>
              <w:outlineLvl w:val="0"/>
              <w:rPr>
                <w:rFonts w:ascii="Arial" w:hAnsi="Arial" w:cs="Arial"/>
                <w:b/>
                <w:bCs/>
              </w:rPr>
            </w:pPr>
            <w:r w:rsidRPr="000F50A2">
              <w:rPr>
                <w:rFonts w:ascii="Arial" w:hAnsi="Arial" w:cs="Arial"/>
                <w:b/>
                <w:bCs/>
              </w:rPr>
              <w:t>482</w:t>
            </w:r>
          </w:p>
        </w:tc>
        <w:tc>
          <w:tcPr>
            <w:tcW w:w="2126" w:type="dxa"/>
            <w:shd w:val="clear" w:color="auto" w:fill="auto"/>
            <w:noWrap/>
            <w:vAlign w:val="center"/>
            <w:hideMark/>
          </w:tcPr>
          <w:p w:rsidR="006B0CF6" w:rsidRPr="000F50A2" w:rsidRDefault="006B0CF6" w:rsidP="000E0FB1">
            <w:pPr>
              <w:spacing w:before="100" w:beforeAutospacing="1" w:after="100" w:afterAutospacing="1" w:line="360" w:lineRule="auto"/>
              <w:jc w:val="right"/>
              <w:outlineLvl w:val="0"/>
              <w:rPr>
                <w:rFonts w:ascii="Arial" w:hAnsi="Arial" w:cs="Arial"/>
                <w:b/>
                <w:bCs/>
              </w:rPr>
            </w:pPr>
            <w:r w:rsidRPr="000E0FB1">
              <w:rPr>
                <w:rFonts w:ascii="Arial" w:hAnsi="Arial" w:cs="Arial"/>
                <w:b/>
                <w:bCs/>
              </w:rPr>
              <w:t>R</w:t>
            </w:r>
            <w:r w:rsidRPr="000F50A2">
              <w:rPr>
                <w:rFonts w:ascii="Arial" w:hAnsi="Arial" w:cs="Arial"/>
                <w:b/>
                <w:bCs/>
              </w:rPr>
              <w:t xml:space="preserve">1 119 151.99 </w:t>
            </w:r>
          </w:p>
        </w:tc>
      </w:tr>
    </w:tbl>
    <w:p w:rsidR="00D97D13" w:rsidRDefault="00D97D13" w:rsidP="00DA650B">
      <w:pPr>
        <w:pStyle w:val="Default"/>
        <w:spacing w:line="360" w:lineRule="auto"/>
        <w:ind w:left="360"/>
        <w:jc w:val="both"/>
        <w:rPr>
          <w:rFonts w:ascii="Arial" w:hAnsi="Arial" w:cs="Arial"/>
        </w:rPr>
      </w:pPr>
    </w:p>
    <w:p w:rsidR="000F50A2" w:rsidRPr="000F50A2" w:rsidRDefault="000F50A2" w:rsidP="006B0CF6">
      <w:pPr>
        <w:pStyle w:val="Default"/>
        <w:numPr>
          <w:ilvl w:val="0"/>
          <w:numId w:val="46"/>
        </w:numPr>
        <w:spacing w:line="360" w:lineRule="auto"/>
        <w:jc w:val="both"/>
        <w:rPr>
          <w:rFonts w:ascii="Arial" w:hAnsi="Arial" w:cs="Arial"/>
        </w:rPr>
      </w:pPr>
      <w:r w:rsidRPr="000F50A2">
        <w:rPr>
          <w:rFonts w:ascii="Arial" w:hAnsi="Arial" w:cs="Arial"/>
        </w:rPr>
        <w:t xml:space="preserve">No artworks </w:t>
      </w:r>
      <w:r w:rsidR="006B0CF6">
        <w:rPr>
          <w:rFonts w:ascii="Arial" w:hAnsi="Arial" w:cs="Arial"/>
        </w:rPr>
        <w:t>of the Do</w:t>
      </w:r>
      <w:r w:rsidR="00847256">
        <w:rPr>
          <w:rFonts w:ascii="Arial" w:hAnsi="Arial" w:cs="Arial"/>
        </w:rPr>
        <w:t xml:space="preserve">J&amp;CD, </w:t>
      </w:r>
      <w:r w:rsidR="006B0CF6">
        <w:rPr>
          <w:rFonts w:ascii="Arial" w:hAnsi="Arial" w:cs="Arial"/>
        </w:rPr>
        <w:t xml:space="preserve">NPA </w:t>
      </w:r>
      <w:r w:rsidR="00F427D8">
        <w:rPr>
          <w:rFonts w:ascii="Arial" w:hAnsi="Arial" w:cs="Arial"/>
        </w:rPr>
        <w:t xml:space="preserve">and </w:t>
      </w:r>
      <w:r w:rsidR="00F427D8" w:rsidRPr="00847256">
        <w:rPr>
          <w:rFonts w:ascii="Arial" w:hAnsi="Arial" w:cs="Arial"/>
          <w:color w:val="auto"/>
        </w:rPr>
        <w:t>Legal Aid SA</w:t>
      </w:r>
      <w:r w:rsidR="00F427D8">
        <w:rPr>
          <w:rFonts w:ascii="Arial" w:hAnsi="Arial" w:cs="Arial"/>
        </w:rPr>
        <w:t xml:space="preserve"> </w:t>
      </w:r>
      <w:r w:rsidRPr="000F50A2">
        <w:rPr>
          <w:rFonts w:ascii="Arial" w:hAnsi="Arial" w:cs="Arial"/>
        </w:rPr>
        <w:t xml:space="preserve">have gone missing in the past </w:t>
      </w:r>
      <w:r w:rsidR="006B0CF6">
        <w:rPr>
          <w:rFonts w:ascii="Arial" w:hAnsi="Arial" w:cs="Arial"/>
        </w:rPr>
        <w:t xml:space="preserve">five </w:t>
      </w:r>
      <w:r w:rsidR="000555E3">
        <w:rPr>
          <w:rFonts w:ascii="Arial" w:hAnsi="Arial" w:cs="Arial"/>
        </w:rPr>
        <w:t>(</w:t>
      </w:r>
      <w:r w:rsidRPr="000F50A2">
        <w:rPr>
          <w:rFonts w:ascii="Arial" w:hAnsi="Arial" w:cs="Arial"/>
        </w:rPr>
        <w:t>5</w:t>
      </w:r>
      <w:r w:rsidR="000555E3">
        <w:rPr>
          <w:rFonts w:ascii="Arial" w:hAnsi="Arial" w:cs="Arial"/>
        </w:rPr>
        <w:t>)</w:t>
      </w:r>
      <w:r w:rsidRPr="000F50A2">
        <w:rPr>
          <w:rFonts w:ascii="Arial" w:hAnsi="Arial" w:cs="Arial"/>
        </w:rPr>
        <w:t xml:space="preserve"> financial years </w:t>
      </w:r>
      <w:r w:rsidR="006B0CF6">
        <w:rPr>
          <w:rFonts w:ascii="Arial" w:hAnsi="Arial" w:cs="Arial"/>
        </w:rPr>
        <w:t xml:space="preserve">including </w:t>
      </w:r>
      <w:r w:rsidRPr="000F50A2">
        <w:rPr>
          <w:rFonts w:ascii="Arial" w:hAnsi="Arial" w:cs="Arial"/>
        </w:rPr>
        <w:t>since 1 April 2018</w:t>
      </w:r>
      <w:r w:rsidR="006B0CF6">
        <w:rPr>
          <w:rFonts w:ascii="Arial" w:hAnsi="Arial" w:cs="Arial"/>
        </w:rPr>
        <w:t>.</w:t>
      </w:r>
    </w:p>
    <w:p w:rsidR="000F50A2" w:rsidRDefault="000F50A2" w:rsidP="00D97D13">
      <w:pPr>
        <w:pStyle w:val="Default"/>
        <w:spacing w:line="360" w:lineRule="auto"/>
        <w:rPr>
          <w:rFonts w:ascii="Arial" w:hAnsi="Arial" w:cs="Arial"/>
        </w:rPr>
      </w:pPr>
    </w:p>
    <w:p w:rsidR="00394AA8" w:rsidRDefault="00394AA8" w:rsidP="00D97D13">
      <w:pPr>
        <w:pStyle w:val="Default"/>
        <w:spacing w:line="360" w:lineRule="auto"/>
        <w:rPr>
          <w:rFonts w:ascii="Arial" w:hAnsi="Arial" w:cs="Arial"/>
        </w:rPr>
      </w:pPr>
    </w:p>
    <w:p w:rsidR="00394AA8" w:rsidRDefault="00394AA8" w:rsidP="00D97D13">
      <w:pPr>
        <w:pStyle w:val="Default"/>
        <w:spacing w:line="360" w:lineRule="auto"/>
        <w:rPr>
          <w:rFonts w:ascii="Arial" w:hAnsi="Arial" w:cs="Arial"/>
        </w:rPr>
      </w:pPr>
    </w:p>
    <w:p w:rsidR="00394AA8" w:rsidRDefault="00394AA8" w:rsidP="00D97D13">
      <w:pPr>
        <w:pStyle w:val="Default"/>
        <w:spacing w:line="360" w:lineRule="auto"/>
        <w:rPr>
          <w:rFonts w:ascii="Arial" w:hAnsi="Arial" w:cs="Arial"/>
        </w:rPr>
      </w:pPr>
    </w:p>
    <w:p w:rsidR="00394AA8" w:rsidRDefault="00394AA8" w:rsidP="00D97D13">
      <w:pPr>
        <w:pStyle w:val="Default"/>
        <w:spacing w:line="360" w:lineRule="auto"/>
        <w:rPr>
          <w:rFonts w:ascii="Arial" w:hAnsi="Arial" w:cs="Arial"/>
        </w:rPr>
      </w:pPr>
    </w:p>
    <w:p w:rsidR="000F50A2" w:rsidRDefault="00394AA8" w:rsidP="00394AA8">
      <w:pPr>
        <w:pStyle w:val="Default"/>
        <w:numPr>
          <w:ilvl w:val="0"/>
          <w:numId w:val="47"/>
        </w:numPr>
        <w:spacing w:line="360" w:lineRule="auto"/>
        <w:rPr>
          <w:rFonts w:ascii="Arial" w:hAnsi="Arial" w:cs="Arial"/>
        </w:rPr>
      </w:pPr>
      <w:r>
        <w:rPr>
          <w:rFonts w:ascii="Arial" w:hAnsi="Arial" w:cs="Arial"/>
        </w:rPr>
        <w:t xml:space="preserve">(a) The Office of the Chief Justice conducts a verification process of all its assets every six months, including the artwork on its asset register. </w:t>
      </w:r>
    </w:p>
    <w:p w:rsidR="00394AA8" w:rsidRDefault="00394AA8" w:rsidP="00394AA8">
      <w:pPr>
        <w:pStyle w:val="Default"/>
        <w:numPr>
          <w:ilvl w:val="0"/>
          <w:numId w:val="48"/>
        </w:numPr>
        <w:spacing w:line="360" w:lineRule="auto"/>
        <w:rPr>
          <w:rFonts w:ascii="Arial" w:hAnsi="Arial" w:cs="Arial"/>
        </w:rPr>
      </w:pPr>
      <w:r>
        <w:rPr>
          <w:rFonts w:ascii="Arial" w:hAnsi="Arial" w:cs="Arial"/>
        </w:rPr>
        <w:t xml:space="preserve">(b) The artwork contained in the Office of the Chief Justice asset register are listed below: </w:t>
      </w:r>
    </w:p>
    <w:p w:rsidR="00394AA8" w:rsidRDefault="00394AA8" w:rsidP="00394AA8">
      <w:pPr>
        <w:pStyle w:val="Default"/>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94AA8" w:rsidRPr="00666CEC" w:rsidTr="00666CEC">
        <w:tc>
          <w:tcPr>
            <w:tcW w:w="3192" w:type="dxa"/>
            <w:shd w:val="clear" w:color="auto" w:fill="auto"/>
          </w:tcPr>
          <w:p w:rsidR="00394AA8" w:rsidRPr="00666CEC" w:rsidRDefault="00394AA8" w:rsidP="00666CEC">
            <w:pPr>
              <w:pStyle w:val="Default"/>
              <w:spacing w:line="360" w:lineRule="auto"/>
              <w:jc w:val="center"/>
              <w:rPr>
                <w:rFonts w:ascii="Arial" w:hAnsi="Arial" w:cs="Arial"/>
                <w:b/>
              </w:rPr>
            </w:pPr>
            <w:r w:rsidRPr="00666CEC">
              <w:rPr>
                <w:rFonts w:ascii="Arial" w:hAnsi="Arial" w:cs="Arial"/>
                <w:b/>
              </w:rPr>
              <w:t>ITEM</w:t>
            </w:r>
          </w:p>
        </w:tc>
        <w:tc>
          <w:tcPr>
            <w:tcW w:w="3192" w:type="dxa"/>
            <w:shd w:val="clear" w:color="auto" w:fill="auto"/>
          </w:tcPr>
          <w:p w:rsidR="00394AA8" w:rsidRPr="00666CEC" w:rsidRDefault="00394AA8" w:rsidP="00666CEC">
            <w:pPr>
              <w:pStyle w:val="Default"/>
              <w:spacing w:line="360" w:lineRule="auto"/>
              <w:jc w:val="center"/>
              <w:rPr>
                <w:rFonts w:ascii="Arial" w:hAnsi="Arial" w:cs="Arial"/>
                <w:b/>
              </w:rPr>
            </w:pPr>
            <w:r w:rsidRPr="00666CEC">
              <w:rPr>
                <w:rFonts w:ascii="Arial" w:hAnsi="Arial" w:cs="Arial"/>
                <w:b/>
              </w:rPr>
              <w:t>LOCATION</w:t>
            </w:r>
          </w:p>
        </w:tc>
        <w:tc>
          <w:tcPr>
            <w:tcW w:w="3192" w:type="dxa"/>
            <w:shd w:val="clear" w:color="auto" w:fill="auto"/>
          </w:tcPr>
          <w:p w:rsidR="00394AA8" w:rsidRPr="00666CEC" w:rsidRDefault="00394AA8" w:rsidP="00666CEC">
            <w:pPr>
              <w:pStyle w:val="Default"/>
              <w:spacing w:line="360" w:lineRule="auto"/>
              <w:jc w:val="center"/>
              <w:rPr>
                <w:rFonts w:ascii="Arial" w:hAnsi="Arial" w:cs="Arial"/>
                <w:b/>
              </w:rPr>
            </w:pPr>
            <w:r w:rsidRPr="00666CEC">
              <w:rPr>
                <w:rFonts w:ascii="Arial" w:hAnsi="Arial" w:cs="Arial"/>
                <w:b/>
              </w:rPr>
              <w:t>NUMBER</w:t>
            </w:r>
          </w:p>
        </w:tc>
      </w:tr>
      <w:tr w:rsidR="00394AA8" w:rsidRPr="00666CEC" w:rsidTr="00666CE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Statue </w:t>
            </w:r>
          </w:p>
        </w:t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SCA </w:t>
            </w:r>
          </w:p>
        </w:tc>
        <w:tc>
          <w:tcPr>
            <w:tcW w:w="3192" w:type="dxa"/>
            <w:shd w:val="clear" w:color="auto" w:fill="auto"/>
          </w:tcPr>
          <w:p w:rsidR="00394AA8" w:rsidRPr="00666CEC" w:rsidRDefault="00394AA8" w:rsidP="00666CEC">
            <w:pPr>
              <w:pStyle w:val="Default"/>
              <w:spacing w:line="360" w:lineRule="auto"/>
              <w:jc w:val="center"/>
              <w:rPr>
                <w:rFonts w:ascii="Arial" w:hAnsi="Arial" w:cs="Arial"/>
              </w:rPr>
            </w:pPr>
            <w:r w:rsidRPr="00666CEC">
              <w:rPr>
                <w:rFonts w:ascii="Arial" w:hAnsi="Arial" w:cs="Arial"/>
              </w:rPr>
              <w:t>12</w:t>
            </w:r>
          </w:p>
        </w:tc>
      </w:tr>
      <w:tr w:rsidR="00394AA8" w:rsidRPr="00666CEC" w:rsidTr="00666CE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lang w:val="en-US"/>
              </w:rPr>
              <w:t>Statue</w:t>
            </w:r>
          </w:p>
        </w:t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Bloemfontein </w:t>
            </w:r>
          </w:p>
        </w:tc>
        <w:tc>
          <w:tcPr>
            <w:tcW w:w="3192" w:type="dxa"/>
            <w:shd w:val="clear" w:color="auto" w:fill="auto"/>
          </w:tcPr>
          <w:p w:rsidR="00394AA8" w:rsidRPr="00666CEC" w:rsidRDefault="00394AA8" w:rsidP="00666CEC">
            <w:pPr>
              <w:pStyle w:val="Default"/>
              <w:spacing w:line="360" w:lineRule="auto"/>
              <w:jc w:val="center"/>
              <w:rPr>
                <w:rFonts w:ascii="Arial" w:hAnsi="Arial" w:cs="Arial"/>
              </w:rPr>
            </w:pPr>
            <w:r w:rsidRPr="00666CEC">
              <w:rPr>
                <w:rFonts w:ascii="Arial" w:hAnsi="Arial" w:cs="Arial"/>
              </w:rPr>
              <w:t>2</w:t>
            </w:r>
          </w:p>
        </w:tc>
      </w:tr>
      <w:tr w:rsidR="00394AA8" w:rsidRPr="00666CEC" w:rsidTr="00666CE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lang w:val="en-US"/>
              </w:rPr>
              <w:t>Statue</w:t>
            </w:r>
          </w:p>
        </w:t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Pretoria High Court </w:t>
            </w:r>
          </w:p>
        </w:tc>
        <w:tc>
          <w:tcPr>
            <w:tcW w:w="3192" w:type="dxa"/>
            <w:shd w:val="clear" w:color="auto" w:fill="auto"/>
          </w:tcPr>
          <w:p w:rsidR="00394AA8" w:rsidRPr="00666CEC" w:rsidRDefault="00394AA8" w:rsidP="00666CEC">
            <w:pPr>
              <w:pStyle w:val="Default"/>
              <w:spacing w:line="360" w:lineRule="auto"/>
              <w:jc w:val="center"/>
              <w:rPr>
                <w:rFonts w:ascii="Arial" w:hAnsi="Arial" w:cs="Arial"/>
              </w:rPr>
            </w:pPr>
            <w:r w:rsidRPr="00666CEC">
              <w:rPr>
                <w:rFonts w:ascii="Arial" w:hAnsi="Arial" w:cs="Arial"/>
              </w:rPr>
              <w:t>5</w:t>
            </w:r>
          </w:p>
        </w:tc>
      </w:tr>
      <w:tr w:rsidR="00394AA8" w:rsidRPr="00666CEC" w:rsidTr="00666CE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Painting </w:t>
            </w:r>
          </w:p>
        </w:tc>
        <w:tc>
          <w:tcPr>
            <w:tcW w:w="3192" w:type="dxa"/>
            <w:shd w:val="clear" w:color="auto" w:fill="auto"/>
          </w:tcPr>
          <w:p w:rsidR="00394AA8" w:rsidRPr="00666CEC" w:rsidRDefault="00394AA8" w:rsidP="00666CEC">
            <w:pPr>
              <w:pStyle w:val="Default"/>
              <w:spacing w:line="360" w:lineRule="auto"/>
              <w:rPr>
                <w:rFonts w:ascii="Arial" w:hAnsi="Arial" w:cs="Arial"/>
              </w:rPr>
            </w:pPr>
            <w:r w:rsidRPr="00666CEC">
              <w:rPr>
                <w:rFonts w:ascii="Arial" w:hAnsi="Arial" w:cs="Arial"/>
              </w:rPr>
              <w:t xml:space="preserve">Labour &amp; Labour Appeals Court JHB  </w:t>
            </w:r>
          </w:p>
        </w:tc>
        <w:tc>
          <w:tcPr>
            <w:tcW w:w="3192" w:type="dxa"/>
            <w:shd w:val="clear" w:color="auto" w:fill="auto"/>
          </w:tcPr>
          <w:p w:rsidR="00394AA8" w:rsidRPr="00666CEC" w:rsidRDefault="00394AA8" w:rsidP="00666CEC">
            <w:pPr>
              <w:pStyle w:val="Default"/>
              <w:spacing w:line="360" w:lineRule="auto"/>
              <w:jc w:val="center"/>
              <w:rPr>
                <w:rFonts w:ascii="Arial" w:hAnsi="Arial" w:cs="Arial"/>
              </w:rPr>
            </w:pPr>
            <w:r w:rsidRPr="00666CEC">
              <w:rPr>
                <w:rFonts w:ascii="Arial" w:hAnsi="Arial" w:cs="Arial"/>
              </w:rPr>
              <w:t>4</w:t>
            </w:r>
          </w:p>
        </w:tc>
      </w:tr>
      <w:tr w:rsidR="00394AA8" w:rsidRPr="00666CEC" w:rsidTr="00666CEC">
        <w:tc>
          <w:tcPr>
            <w:tcW w:w="6384" w:type="dxa"/>
            <w:gridSpan w:val="2"/>
            <w:shd w:val="clear" w:color="auto" w:fill="auto"/>
          </w:tcPr>
          <w:p w:rsidR="00394AA8" w:rsidRPr="00666CEC" w:rsidRDefault="00394AA8" w:rsidP="00666CEC">
            <w:pPr>
              <w:pStyle w:val="Default"/>
              <w:spacing w:line="360" w:lineRule="auto"/>
              <w:rPr>
                <w:rFonts w:ascii="Arial" w:hAnsi="Arial" w:cs="Arial"/>
                <w:b/>
              </w:rPr>
            </w:pPr>
            <w:r w:rsidRPr="00666CEC">
              <w:rPr>
                <w:rFonts w:ascii="Arial" w:hAnsi="Arial" w:cs="Arial"/>
                <w:b/>
              </w:rPr>
              <w:t xml:space="preserve">TOTAL </w:t>
            </w:r>
          </w:p>
        </w:tc>
        <w:tc>
          <w:tcPr>
            <w:tcW w:w="3192" w:type="dxa"/>
            <w:shd w:val="clear" w:color="auto" w:fill="auto"/>
          </w:tcPr>
          <w:p w:rsidR="00394AA8" w:rsidRPr="00666CEC" w:rsidRDefault="00394AA8" w:rsidP="00666CEC">
            <w:pPr>
              <w:pStyle w:val="Default"/>
              <w:spacing w:line="360" w:lineRule="auto"/>
              <w:jc w:val="center"/>
              <w:rPr>
                <w:rFonts w:ascii="Arial" w:hAnsi="Arial" w:cs="Arial"/>
                <w:b/>
              </w:rPr>
            </w:pPr>
            <w:r w:rsidRPr="00666CEC">
              <w:rPr>
                <w:rFonts w:ascii="Arial" w:hAnsi="Arial" w:cs="Arial"/>
                <w:b/>
              </w:rPr>
              <w:t>23</w:t>
            </w:r>
          </w:p>
        </w:tc>
      </w:tr>
    </w:tbl>
    <w:p w:rsidR="00394AA8" w:rsidRDefault="00394AA8" w:rsidP="00394AA8">
      <w:pPr>
        <w:pStyle w:val="Default"/>
        <w:spacing w:line="360" w:lineRule="auto"/>
        <w:rPr>
          <w:rFonts w:ascii="Arial" w:hAnsi="Arial" w:cs="Arial"/>
        </w:rPr>
      </w:pPr>
    </w:p>
    <w:p w:rsidR="00394AA8" w:rsidRPr="00D97D13" w:rsidRDefault="00394AA8" w:rsidP="00394AA8">
      <w:pPr>
        <w:pStyle w:val="Default"/>
        <w:numPr>
          <w:ilvl w:val="0"/>
          <w:numId w:val="48"/>
        </w:numPr>
        <w:spacing w:line="360" w:lineRule="auto"/>
        <w:rPr>
          <w:rFonts w:ascii="Arial" w:hAnsi="Arial" w:cs="Arial"/>
        </w:rPr>
      </w:pPr>
      <w:r>
        <w:rPr>
          <w:rFonts w:ascii="Arial" w:hAnsi="Arial" w:cs="Arial"/>
        </w:rPr>
        <w:t>No artworks have gone missing in either the past 5 financial years or since 1 April 2018.</w:t>
      </w:r>
    </w:p>
    <w:sectPr w:rsidR="00394AA8" w:rsidRPr="00D97D13"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161" w:rsidRDefault="00857161" w:rsidP="00913892">
      <w:r>
        <w:separator/>
      </w:r>
    </w:p>
  </w:endnote>
  <w:endnote w:type="continuationSeparator" w:id="0">
    <w:p w:rsidR="00857161" w:rsidRDefault="0085716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65E6C" w:rsidRPr="00065E6C">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161" w:rsidRDefault="00857161" w:rsidP="00913892">
      <w:r>
        <w:separator/>
      </w:r>
    </w:p>
  </w:footnote>
  <w:footnote w:type="continuationSeparator" w:id="0">
    <w:p w:rsidR="00857161" w:rsidRDefault="0085716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8C63CF"/>
    <w:multiLevelType w:val="hybridMultilevel"/>
    <w:tmpl w:val="D24EAFFE"/>
    <w:lvl w:ilvl="0" w:tplc="E75E8B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BC2446"/>
    <w:multiLevelType w:val="hybridMultilevel"/>
    <w:tmpl w:val="E732F2D4"/>
    <w:lvl w:ilvl="0" w:tplc="D99A7C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2F4B0BBE"/>
    <w:multiLevelType w:val="hybridMultilevel"/>
    <w:tmpl w:val="0DC6BD60"/>
    <w:lvl w:ilvl="0" w:tplc="E0584C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A664E5A"/>
    <w:multiLevelType w:val="hybridMultilevel"/>
    <w:tmpl w:val="6BF05E96"/>
    <w:lvl w:ilvl="0" w:tplc="F8BE1E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3"/>
  </w:num>
  <w:num w:numId="5">
    <w:abstractNumId w:val="39"/>
  </w:num>
  <w:num w:numId="6">
    <w:abstractNumId w:val="4"/>
  </w:num>
  <w:num w:numId="7">
    <w:abstractNumId w:val="47"/>
  </w:num>
  <w:num w:numId="8">
    <w:abstractNumId w:val="16"/>
  </w:num>
  <w:num w:numId="9">
    <w:abstractNumId w:val="23"/>
  </w:num>
  <w:num w:numId="10">
    <w:abstractNumId w:val="41"/>
  </w:num>
  <w:num w:numId="11">
    <w:abstractNumId w:val="3"/>
  </w:num>
  <w:num w:numId="12">
    <w:abstractNumId w:val="30"/>
  </w:num>
  <w:num w:numId="13">
    <w:abstractNumId w:val="21"/>
  </w:num>
  <w:num w:numId="14">
    <w:abstractNumId w:val="24"/>
  </w:num>
  <w:num w:numId="15">
    <w:abstractNumId w:val="12"/>
  </w:num>
  <w:num w:numId="16">
    <w:abstractNumId w:val="22"/>
  </w:num>
  <w:num w:numId="17">
    <w:abstractNumId w:val="45"/>
  </w:num>
  <w:num w:numId="18">
    <w:abstractNumId w:val="31"/>
  </w:num>
  <w:num w:numId="19">
    <w:abstractNumId w:val="26"/>
  </w:num>
  <w:num w:numId="20">
    <w:abstractNumId w:val="44"/>
  </w:num>
  <w:num w:numId="21">
    <w:abstractNumId w:val="34"/>
  </w:num>
  <w:num w:numId="22">
    <w:abstractNumId w:val="35"/>
  </w:num>
  <w:num w:numId="23">
    <w:abstractNumId w:val="11"/>
  </w:num>
  <w:num w:numId="24">
    <w:abstractNumId w:val="36"/>
  </w:num>
  <w:num w:numId="25">
    <w:abstractNumId w:val="6"/>
  </w:num>
  <w:num w:numId="26">
    <w:abstractNumId w:val="7"/>
  </w:num>
  <w:num w:numId="27">
    <w:abstractNumId w:val="46"/>
  </w:num>
  <w:num w:numId="28">
    <w:abstractNumId w:val="17"/>
  </w:num>
  <w:num w:numId="29">
    <w:abstractNumId w:val="27"/>
  </w:num>
  <w:num w:numId="30">
    <w:abstractNumId w:val="42"/>
  </w:num>
  <w:num w:numId="31">
    <w:abstractNumId w:val="9"/>
  </w:num>
  <w:num w:numId="32">
    <w:abstractNumId w:val="15"/>
  </w:num>
  <w:num w:numId="33">
    <w:abstractNumId w:val="0"/>
  </w:num>
  <w:num w:numId="34">
    <w:abstractNumId w:val="18"/>
  </w:num>
  <w:num w:numId="35">
    <w:abstractNumId w:val="10"/>
  </w:num>
  <w:num w:numId="36">
    <w:abstractNumId w:val="32"/>
  </w:num>
  <w:num w:numId="37">
    <w:abstractNumId w:val="29"/>
  </w:num>
  <w:num w:numId="38">
    <w:abstractNumId w:val="25"/>
  </w:num>
  <w:num w:numId="39">
    <w:abstractNumId w:val="38"/>
  </w:num>
  <w:num w:numId="40">
    <w:abstractNumId w:val="28"/>
  </w:num>
  <w:num w:numId="41">
    <w:abstractNumId w:val="2"/>
  </w:num>
  <w:num w:numId="42">
    <w:abstractNumId w:val="40"/>
  </w:num>
  <w:num w:numId="43">
    <w:abstractNumId w:val="43"/>
  </w:num>
  <w:num w:numId="44">
    <w:abstractNumId w:val="14"/>
  </w:num>
  <w:num w:numId="45">
    <w:abstractNumId w:val="8"/>
  </w:num>
  <w:num w:numId="46">
    <w:abstractNumId w:val="13"/>
  </w:num>
  <w:num w:numId="47">
    <w:abstractNumId w:val="20"/>
  </w:num>
  <w:num w:numId="48">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563F"/>
    <w:rsid w:val="00026EC0"/>
    <w:rsid w:val="00030927"/>
    <w:rsid w:val="000374B3"/>
    <w:rsid w:val="0004105D"/>
    <w:rsid w:val="0004190C"/>
    <w:rsid w:val="00046588"/>
    <w:rsid w:val="00052CE2"/>
    <w:rsid w:val="000555E3"/>
    <w:rsid w:val="00065E6C"/>
    <w:rsid w:val="00070401"/>
    <w:rsid w:val="000714BB"/>
    <w:rsid w:val="00072E1B"/>
    <w:rsid w:val="0007655F"/>
    <w:rsid w:val="00077B1E"/>
    <w:rsid w:val="00093617"/>
    <w:rsid w:val="000A3DA5"/>
    <w:rsid w:val="000C01D4"/>
    <w:rsid w:val="000D25B5"/>
    <w:rsid w:val="000D4F57"/>
    <w:rsid w:val="000D68A7"/>
    <w:rsid w:val="000E07E4"/>
    <w:rsid w:val="000E0FB1"/>
    <w:rsid w:val="000E7085"/>
    <w:rsid w:val="000E76BA"/>
    <w:rsid w:val="000F50A2"/>
    <w:rsid w:val="000F6D79"/>
    <w:rsid w:val="00105174"/>
    <w:rsid w:val="00110B8F"/>
    <w:rsid w:val="00114EE0"/>
    <w:rsid w:val="00120775"/>
    <w:rsid w:val="00122691"/>
    <w:rsid w:val="00134C16"/>
    <w:rsid w:val="001354F5"/>
    <w:rsid w:val="00144111"/>
    <w:rsid w:val="00156483"/>
    <w:rsid w:val="001702F2"/>
    <w:rsid w:val="00172191"/>
    <w:rsid w:val="001774BC"/>
    <w:rsid w:val="001848C4"/>
    <w:rsid w:val="00192D26"/>
    <w:rsid w:val="00194B05"/>
    <w:rsid w:val="001A4C02"/>
    <w:rsid w:val="001A6D2A"/>
    <w:rsid w:val="001B00F0"/>
    <w:rsid w:val="001B52BA"/>
    <w:rsid w:val="001B700B"/>
    <w:rsid w:val="001C112F"/>
    <w:rsid w:val="001D2D3F"/>
    <w:rsid w:val="001E1BE7"/>
    <w:rsid w:val="001F3F44"/>
    <w:rsid w:val="001F445E"/>
    <w:rsid w:val="00203F6A"/>
    <w:rsid w:val="00204EA2"/>
    <w:rsid w:val="0020546E"/>
    <w:rsid w:val="00213182"/>
    <w:rsid w:val="0021549B"/>
    <w:rsid w:val="00251A76"/>
    <w:rsid w:val="00255DD7"/>
    <w:rsid w:val="00262F8D"/>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374"/>
    <w:rsid w:val="00346942"/>
    <w:rsid w:val="003619AF"/>
    <w:rsid w:val="00365620"/>
    <w:rsid w:val="0037187E"/>
    <w:rsid w:val="003767D7"/>
    <w:rsid w:val="00381B64"/>
    <w:rsid w:val="00386CA6"/>
    <w:rsid w:val="00394AA8"/>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513281"/>
    <w:rsid w:val="00515B6A"/>
    <w:rsid w:val="005160F8"/>
    <w:rsid w:val="0054211D"/>
    <w:rsid w:val="00555EE6"/>
    <w:rsid w:val="005634BA"/>
    <w:rsid w:val="00572F09"/>
    <w:rsid w:val="005835BC"/>
    <w:rsid w:val="005856A7"/>
    <w:rsid w:val="00585897"/>
    <w:rsid w:val="005A40B9"/>
    <w:rsid w:val="005A4F3D"/>
    <w:rsid w:val="005A60AD"/>
    <w:rsid w:val="005E365A"/>
    <w:rsid w:val="005F266C"/>
    <w:rsid w:val="00612214"/>
    <w:rsid w:val="0062002F"/>
    <w:rsid w:val="00625CD7"/>
    <w:rsid w:val="00630932"/>
    <w:rsid w:val="00632C25"/>
    <w:rsid w:val="00635C5D"/>
    <w:rsid w:val="006364F1"/>
    <w:rsid w:val="006425C0"/>
    <w:rsid w:val="00643EF2"/>
    <w:rsid w:val="00653FE5"/>
    <w:rsid w:val="00666CEC"/>
    <w:rsid w:val="00670788"/>
    <w:rsid w:val="0067545A"/>
    <w:rsid w:val="006959E4"/>
    <w:rsid w:val="006B0CF6"/>
    <w:rsid w:val="006B0F80"/>
    <w:rsid w:val="006B2395"/>
    <w:rsid w:val="006B4149"/>
    <w:rsid w:val="006C0567"/>
    <w:rsid w:val="006D21F9"/>
    <w:rsid w:val="006D7E71"/>
    <w:rsid w:val="006E525A"/>
    <w:rsid w:val="006F2454"/>
    <w:rsid w:val="006F63D7"/>
    <w:rsid w:val="007044F8"/>
    <w:rsid w:val="007103B0"/>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26AC3"/>
    <w:rsid w:val="008419E9"/>
    <w:rsid w:val="00846897"/>
    <w:rsid w:val="00847256"/>
    <w:rsid w:val="00850C4F"/>
    <w:rsid w:val="00857161"/>
    <w:rsid w:val="00865132"/>
    <w:rsid w:val="008769EF"/>
    <w:rsid w:val="00881381"/>
    <w:rsid w:val="00892846"/>
    <w:rsid w:val="008946FA"/>
    <w:rsid w:val="008A1398"/>
    <w:rsid w:val="008A1837"/>
    <w:rsid w:val="008A388E"/>
    <w:rsid w:val="008C0966"/>
    <w:rsid w:val="008C1A56"/>
    <w:rsid w:val="008C5806"/>
    <w:rsid w:val="008D4373"/>
    <w:rsid w:val="008D5849"/>
    <w:rsid w:val="008E312C"/>
    <w:rsid w:val="008E78E6"/>
    <w:rsid w:val="008F43B6"/>
    <w:rsid w:val="008F6A5A"/>
    <w:rsid w:val="009025C1"/>
    <w:rsid w:val="00905C38"/>
    <w:rsid w:val="00907DBA"/>
    <w:rsid w:val="00913892"/>
    <w:rsid w:val="0092193B"/>
    <w:rsid w:val="009229AD"/>
    <w:rsid w:val="0094372F"/>
    <w:rsid w:val="009541F2"/>
    <w:rsid w:val="009551F2"/>
    <w:rsid w:val="00964EFE"/>
    <w:rsid w:val="00973033"/>
    <w:rsid w:val="00983C6B"/>
    <w:rsid w:val="009868D6"/>
    <w:rsid w:val="00987653"/>
    <w:rsid w:val="00995362"/>
    <w:rsid w:val="00996D41"/>
    <w:rsid w:val="009A5F5A"/>
    <w:rsid w:val="009A755B"/>
    <w:rsid w:val="009B0CAB"/>
    <w:rsid w:val="009B3D11"/>
    <w:rsid w:val="009C00DF"/>
    <w:rsid w:val="009D4F78"/>
    <w:rsid w:val="009E0268"/>
    <w:rsid w:val="009E1C96"/>
    <w:rsid w:val="009F1B70"/>
    <w:rsid w:val="009F2D5C"/>
    <w:rsid w:val="00A0184C"/>
    <w:rsid w:val="00A1417F"/>
    <w:rsid w:val="00A25B51"/>
    <w:rsid w:val="00A42301"/>
    <w:rsid w:val="00A4711C"/>
    <w:rsid w:val="00A633EB"/>
    <w:rsid w:val="00A64328"/>
    <w:rsid w:val="00A6432A"/>
    <w:rsid w:val="00A66729"/>
    <w:rsid w:val="00A7136B"/>
    <w:rsid w:val="00A9152D"/>
    <w:rsid w:val="00AA2AB0"/>
    <w:rsid w:val="00AA39AC"/>
    <w:rsid w:val="00AD3946"/>
    <w:rsid w:val="00AD7B7A"/>
    <w:rsid w:val="00AF5D91"/>
    <w:rsid w:val="00B13369"/>
    <w:rsid w:val="00B170EA"/>
    <w:rsid w:val="00B172B8"/>
    <w:rsid w:val="00B26AB3"/>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C3144"/>
    <w:rsid w:val="00CD042D"/>
    <w:rsid w:val="00CD3DB4"/>
    <w:rsid w:val="00CD4D18"/>
    <w:rsid w:val="00CE0598"/>
    <w:rsid w:val="00CF1B81"/>
    <w:rsid w:val="00D209A0"/>
    <w:rsid w:val="00D222F0"/>
    <w:rsid w:val="00D24750"/>
    <w:rsid w:val="00D255F6"/>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97D13"/>
    <w:rsid w:val="00DA495F"/>
    <w:rsid w:val="00DA650B"/>
    <w:rsid w:val="00DB11B2"/>
    <w:rsid w:val="00DC255C"/>
    <w:rsid w:val="00DC592F"/>
    <w:rsid w:val="00DC7CDA"/>
    <w:rsid w:val="00DE1284"/>
    <w:rsid w:val="00DE4EAE"/>
    <w:rsid w:val="00DE70DB"/>
    <w:rsid w:val="00DE7227"/>
    <w:rsid w:val="00DF2638"/>
    <w:rsid w:val="00E054C0"/>
    <w:rsid w:val="00E1080E"/>
    <w:rsid w:val="00E17F42"/>
    <w:rsid w:val="00E2677E"/>
    <w:rsid w:val="00E43272"/>
    <w:rsid w:val="00E44AFC"/>
    <w:rsid w:val="00E55AFD"/>
    <w:rsid w:val="00E6688D"/>
    <w:rsid w:val="00E674AE"/>
    <w:rsid w:val="00EA4D5C"/>
    <w:rsid w:val="00EA53D2"/>
    <w:rsid w:val="00EA55E1"/>
    <w:rsid w:val="00EA6851"/>
    <w:rsid w:val="00EA7A64"/>
    <w:rsid w:val="00EB54FA"/>
    <w:rsid w:val="00EC5379"/>
    <w:rsid w:val="00ED5CF6"/>
    <w:rsid w:val="00EE1177"/>
    <w:rsid w:val="00EF081C"/>
    <w:rsid w:val="00EF32C9"/>
    <w:rsid w:val="00F20EAD"/>
    <w:rsid w:val="00F220CD"/>
    <w:rsid w:val="00F26B86"/>
    <w:rsid w:val="00F31805"/>
    <w:rsid w:val="00F36003"/>
    <w:rsid w:val="00F427D8"/>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0F50A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550238">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2018-12-07T13:30:00Z</cp:lastPrinted>
  <dcterms:created xsi:type="dcterms:W3CDTF">2019-02-27T10:25:00Z</dcterms:created>
  <dcterms:modified xsi:type="dcterms:W3CDTF">2019-02-27T10:25:00Z</dcterms:modified>
</cp:coreProperties>
</file>