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23" w:rsidRDefault="00AB251B">
      <w:pPr>
        <w:spacing w:before="71"/>
        <w:ind w:left="3475" w:right="3470"/>
        <w:jc w:val="center"/>
        <w:rPr>
          <w:b/>
          <w:sz w:val="24"/>
        </w:rPr>
      </w:pPr>
      <w:r>
        <w:rPr>
          <w:b/>
          <w:sz w:val="24"/>
        </w:rPr>
        <w:t>NATIONAL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ASSEMBLY WRITTEN REPLY</w:t>
      </w:r>
    </w:p>
    <w:p w:rsidR="00646723" w:rsidRDefault="00646723">
      <w:pPr>
        <w:pStyle w:val="BodyText"/>
        <w:rPr>
          <w:b/>
          <w:sz w:val="20"/>
        </w:rPr>
      </w:pPr>
    </w:p>
    <w:p w:rsidR="00646723" w:rsidRDefault="00646723">
      <w:pPr>
        <w:pStyle w:val="BodyText"/>
        <w:spacing w:before="1"/>
        <w:rPr>
          <w:b/>
          <w:sz w:val="20"/>
        </w:rPr>
      </w:pPr>
    </w:p>
    <w:p w:rsidR="00646723" w:rsidRDefault="00AB251B">
      <w:pPr>
        <w:spacing w:before="92"/>
        <w:ind w:left="117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3441</w:t>
      </w:r>
    </w:p>
    <w:p w:rsidR="00646723" w:rsidRDefault="00646723">
      <w:pPr>
        <w:pStyle w:val="BodyText"/>
        <w:rPr>
          <w:b/>
        </w:rPr>
      </w:pPr>
    </w:p>
    <w:p w:rsidR="00646723" w:rsidRDefault="00AB251B">
      <w:pPr>
        <w:ind w:left="117" w:right="1541"/>
        <w:rPr>
          <w:b/>
          <w:sz w:val="24"/>
        </w:rPr>
      </w:pPr>
      <w:r>
        <w:rPr>
          <w:b/>
          <w:sz w:val="24"/>
          <w:u w:val="thick"/>
        </w:rPr>
        <w:t>INTERNAL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QUESTION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PAPER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[No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37-2022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SIXTH</w:t>
      </w:r>
      <w:r>
        <w:rPr>
          <w:b/>
          <w:spacing w:val="-8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PARLIAMENT</w:t>
      </w:r>
      <w:proofErr w:type="gramEnd"/>
      <w:r>
        <w:rPr>
          <w:b/>
          <w:sz w:val="24"/>
          <w:u w:val="thick"/>
        </w:rPr>
        <w:t>]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DATE OF PUBLICATION: 30 SEPTEMBER 2022</w:t>
      </w:r>
    </w:p>
    <w:p w:rsidR="00646723" w:rsidRDefault="00646723">
      <w:pPr>
        <w:pStyle w:val="BodyText"/>
        <w:spacing w:before="9"/>
        <w:rPr>
          <w:b/>
          <w:sz w:val="15"/>
        </w:rPr>
      </w:pPr>
    </w:p>
    <w:p w:rsidR="00646723" w:rsidRDefault="00AB251B">
      <w:pPr>
        <w:spacing w:before="92"/>
        <w:ind w:left="117" w:right="140"/>
        <w:jc w:val="both"/>
        <w:rPr>
          <w:b/>
          <w:sz w:val="24"/>
        </w:rPr>
      </w:pPr>
      <w:r>
        <w:rPr>
          <w:b/>
          <w:sz w:val="24"/>
        </w:rPr>
        <w:t xml:space="preserve">3441. </w:t>
      </w:r>
      <w:proofErr w:type="spellStart"/>
      <w:r>
        <w:rPr>
          <w:b/>
          <w:sz w:val="24"/>
        </w:rPr>
        <w:t>Mr</w:t>
      </w:r>
      <w:proofErr w:type="spellEnd"/>
      <w:r>
        <w:rPr>
          <w:b/>
          <w:sz w:val="24"/>
        </w:rPr>
        <w:t xml:space="preserve"> N S </w:t>
      </w:r>
      <w:proofErr w:type="spellStart"/>
      <w:r>
        <w:rPr>
          <w:b/>
          <w:sz w:val="24"/>
        </w:rPr>
        <w:t>Matiase</w:t>
      </w:r>
      <w:proofErr w:type="spellEnd"/>
      <w:r>
        <w:rPr>
          <w:b/>
          <w:sz w:val="24"/>
        </w:rPr>
        <w:t xml:space="preserve"> (EFF) to ask the Minister of Agriculture, Land Reform and Rural Development:</w:t>
      </w:r>
    </w:p>
    <w:p w:rsidR="00646723" w:rsidRDefault="00646723">
      <w:pPr>
        <w:pStyle w:val="BodyText"/>
        <w:rPr>
          <w:b/>
        </w:rPr>
      </w:pPr>
    </w:p>
    <w:p w:rsidR="00646723" w:rsidRDefault="00AB251B">
      <w:pPr>
        <w:pStyle w:val="BodyText"/>
        <w:tabs>
          <w:tab w:val="left" w:pos="8307"/>
        </w:tabs>
        <w:ind w:left="117" w:right="143"/>
        <w:jc w:val="both"/>
        <w:rPr>
          <w:b/>
        </w:rPr>
      </w:pPr>
      <w:r>
        <w:t>Whether there has been any progress on the process of appointing a Master Data Specialist, who should have been appointed by the end of September 2020; if not, why not;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regard?</w:t>
      </w:r>
      <w:r>
        <w:tab/>
      </w:r>
      <w:r>
        <w:rPr>
          <w:b/>
          <w:spacing w:val="-2"/>
        </w:rPr>
        <w:t>NW4246E</w:t>
      </w:r>
    </w:p>
    <w:p w:rsidR="00646723" w:rsidRDefault="00646723">
      <w:pPr>
        <w:pStyle w:val="BodyText"/>
        <w:rPr>
          <w:b/>
          <w:sz w:val="26"/>
        </w:rPr>
      </w:pPr>
    </w:p>
    <w:p w:rsidR="00646723" w:rsidRDefault="00646723">
      <w:pPr>
        <w:pStyle w:val="BodyText"/>
        <w:spacing w:before="1"/>
        <w:rPr>
          <w:b/>
          <w:sz w:val="22"/>
        </w:rPr>
      </w:pPr>
    </w:p>
    <w:p w:rsidR="00646723" w:rsidRDefault="00AB251B">
      <w:pPr>
        <w:ind w:left="117"/>
        <w:jc w:val="both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MINISTER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AGRICULTURE,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RURAL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DEVELOPMENT:</w:t>
      </w:r>
    </w:p>
    <w:p w:rsidR="00646723" w:rsidRDefault="00646723">
      <w:pPr>
        <w:pStyle w:val="BodyText"/>
        <w:rPr>
          <w:b/>
        </w:rPr>
      </w:pPr>
    </w:p>
    <w:p w:rsidR="00646723" w:rsidRDefault="00AB251B">
      <w:pPr>
        <w:pStyle w:val="BodyText"/>
        <w:ind w:left="117" w:right="108"/>
        <w:jc w:val="both"/>
      </w:pPr>
      <w:r>
        <w:t xml:space="preserve">Yes. The Office of the Special Master had consulted with the Minister and Director General of Agriculture, Land Reform and Rural Development (DALRRD) (DG) and </w:t>
      </w:r>
      <w:proofErr w:type="gramStart"/>
      <w:r>
        <w:t>obtained</w:t>
      </w:r>
      <w:proofErr w:type="gramEnd"/>
      <w:r>
        <w:t xml:space="preserve"> concurrence from Executive Management. </w:t>
      </w:r>
      <w:r>
        <w:t>The Court granted the Office of the Special Master permission to fill the two additional posts, but the filling of the posts is subject to the job evaluation process.</w:t>
      </w:r>
    </w:p>
    <w:p w:rsidR="00646723" w:rsidRDefault="00646723">
      <w:pPr>
        <w:pStyle w:val="BodyText"/>
      </w:pPr>
    </w:p>
    <w:p w:rsidR="00646723" w:rsidRDefault="00AB251B">
      <w:pPr>
        <w:pStyle w:val="BodyText"/>
        <w:ind w:left="117" w:right="106"/>
        <w:jc w:val="both"/>
      </w:pPr>
      <w:r>
        <w:t>A job</w:t>
      </w:r>
      <w:r>
        <w:rPr>
          <w:spacing w:val="-5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benchmarking</w:t>
      </w:r>
      <w:r>
        <w:rPr>
          <w:spacing w:val="-2"/>
        </w:rPr>
        <w:t xml:space="preserve"> </w:t>
      </w:r>
      <w:r>
        <w:t>against similar</w:t>
      </w:r>
      <w:r>
        <w:rPr>
          <w:spacing w:val="-2"/>
        </w:rPr>
        <w:t xml:space="preserve"> </w:t>
      </w:r>
      <w:r>
        <w:t>posts with the Department of Planning, Monitoring and Evaluation (DPME). The benchmark job evaluation</w:t>
      </w:r>
      <w:r>
        <w:rPr>
          <w:spacing w:val="-8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post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Specialist</w:t>
      </w:r>
      <w:r>
        <w:rPr>
          <w:spacing w:val="-4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posts in the defunct departments (DAFF and DRDLR) and within the DPME and the job</w:t>
      </w:r>
      <w:r>
        <w:t xml:space="preserve"> evaluation</w:t>
      </w:r>
      <w:r>
        <w:rPr>
          <w:spacing w:val="-8"/>
        </w:rPr>
        <w:t xml:space="preserve"> </w:t>
      </w:r>
      <w:r>
        <w:t>(JE)</w:t>
      </w:r>
      <w:r>
        <w:rPr>
          <w:spacing w:val="-7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posts</w:t>
      </w:r>
      <w:r>
        <w:rPr>
          <w:spacing w:val="-9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salary</w:t>
      </w:r>
      <w:r>
        <w:rPr>
          <w:spacing w:val="-10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(SL)</w:t>
      </w:r>
      <w:r>
        <w:rPr>
          <w:spacing w:val="-7"/>
        </w:rPr>
        <w:t xml:space="preserve"> </w:t>
      </w:r>
      <w:r>
        <w:t>13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 Minister on 11 May 2021.</w:t>
      </w:r>
      <w:r>
        <w:rPr>
          <w:spacing w:val="40"/>
        </w:rPr>
        <w:t xml:space="preserve"> </w:t>
      </w:r>
      <w:r>
        <w:t>However, the processes for the development of the job descriptions and the JE benchmarking took longer than anticipated and the Special Master requested that filling the position not be continued.</w:t>
      </w:r>
      <w:r>
        <w:rPr>
          <w:spacing w:val="40"/>
        </w:rPr>
        <w:t xml:space="preserve"> </w:t>
      </w:r>
      <w:r>
        <w:t>The Special Master was seeking alternative solutions in rec</w:t>
      </w:r>
      <w:r>
        <w:t>onfiguring the roles and the budget repurposing to rather appoint graduates intended for the research roles, and this was envisaged that post-doctoral and or post-graduate degree holders in the Humanities field will be appointed as field research leaders w</w:t>
      </w:r>
      <w:r>
        <w:t xml:space="preserve">hile the auxiliary staff will be first and </w:t>
      </w:r>
      <w:proofErr w:type="spellStart"/>
      <w:r>
        <w:t>honours</w:t>
      </w:r>
      <w:proofErr w:type="spellEnd"/>
      <w:r>
        <w:t xml:space="preserve"> degree holders in Geography / Survey / Agriculture/ History/ Business Administration / Economics,</w:t>
      </w:r>
      <w:r>
        <w:rPr>
          <w:spacing w:val="-17"/>
        </w:rPr>
        <w:t xml:space="preserve"> </w:t>
      </w:r>
      <w:r>
        <w:t>etc.</w:t>
      </w:r>
      <w:r>
        <w:rPr>
          <w:spacing w:val="34"/>
        </w:rPr>
        <w:t xml:space="preserve"> </w:t>
      </w:r>
      <w:r>
        <w:t>These</w:t>
      </w:r>
      <w:r>
        <w:rPr>
          <w:spacing w:val="-16"/>
        </w:rPr>
        <w:t xml:space="preserve"> </w:t>
      </w:r>
      <w:r>
        <w:t>disciplines</w:t>
      </w:r>
      <w:r>
        <w:rPr>
          <w:spacing w:val="-17"/>
        </w:rPr>
        <w:t xml:space="preserve"> </w:t>
      </w:r>
      <w:r>
        <w:t>bear</w:t>
      </w:r>
      <w:r>
        <w:rPr>
          <w:spacing w:val="-17"/>
        </w:rPr>
        <w:t xml:space="preserve"> </w:t>
      </w:r>
      <w:r>
        <w:t>direct</w:t>
      </w:r>
      <w:r>
        <w:rPr>
          <w:spacing w:val="-16"/>
        </w:rPr>
        <w:t xml:space="preserve"> </w:t>
      </w:r>
      <w:r>
        <w:t>relevance</w:t>
      </w:r>
      <w:r>
        <w:rPr>
          <w:spacing w:val="-14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using</w:t>
      </w:r>
      <w:r>
        <w:rPr>
          <w:spacing w:val="-15"/>
        </w:rPr>
        <w:t xml:space="preserve"> </w:t>
      </w:r>
      <w:r>
        <w:t>innovative</w:t>
      </w:r>
      <w:r>
        <w:rPr>
          <w:spacing w:val="-14"/>
        </w:rPr>
        <w:t xml:space="preserve"> </w:t>
      </w:r>
      <w:r>
        <w:t>technological tools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build</w:t>
      </w:r>
      <w:r>
        <w:rPr>
          <w:spacing w:val="-6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embed</w:t>
      </w:r>
      <w:r>
        <w:rPr>
          <w:spacing w:val="-6"/>
        </w:rPr>
        <w:t xml:space="preserve"> </w:t>
      </w:r>
      <w:r>
        <w:t>sustainable</w:t>
      </w:r>
      <w:r>
        <w:rPr>
          <w:spacing w:val="-6"/>
        </w:rPr>
        <w:t xml:space="preserve"> </w:t>
      </w:r>
      <w:r>
        <w:t>livelihoods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claims</w:t>
      </w:r>
      <w:r>
        <w:rPr>
          <w:spacing w:val="-7"/>
        </w:rPr>
        <w:t xml:space="preserve"> </w:t>
      </w:r>
      <w:r>
        <w:t>resolutions.</w:t>
      </w:r>
      <w:r>
        <w:rPr>
          <w:spacing w:val="-9"/>
        </w:rPr>
        <w:t xml:space="preserve"> </w:t>
      </w:r>
      <w:r>
        <w:t>The field research leaders will be expected to participate in delivering capacity development and training workshops with the Special Master and his core staff to develop the capabilities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existin</w:t>
      </w:r>
      <w:r>
        <w:t>g</w:t>
      </w:r>
      <w:r>
        <w:rPr>
          <w:spacing w:val="-12"/>
        </w:rPr>
        <w:t xml:space="preserve"> </w:t>
      </w:r>
      <w:r>
        <w:t>departmental</w:t>
      </w:r>
      <w:r>
        <w:rPr>
          <w:spacing w:val="-15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working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proofErr w:type="spellStart"/>
      <w:r>
        <w:t>labour</w:t>
      </w:r>
      <w:proofErr w:type="spellEnd"/>
      <w:r>
        <w:rPr>
          <w:spacing w:val="-16"/>
        </w:rPr>
        <w:t xml:space="preserve"> </w:t>
      </w:r>
      <w:r>
        <w:t>tenant</w:t>
      </w:r>
      <w:r>
        <w:rPr>
          <w:spacing w:val="-14"/>
        </w:rPr>
        <w:t xml:space="preserve"> </w:t>
      </w:r>
      <w:r>
        <w:t>claims</w:t>
      </w:r>
      <w:r>
        <w:rPr>
          <w:spacing w:val="-15"/>
        </w:rPr>
        <w:t xml:space="preserve"> </w:t>
      </w:r>
      <w:r>
        <w:t>resolution.</w:t>
      </w:r>
      <w:r>
        <w:rPr>
          <w:spacing w:val="40"/>
        </w:rPr>
        <w:t xml:space="preserve"> </w:t>
      </w:r>
      <w:r>
        <w:t>The Special Master was advised to seek approval from the Minister to reconfigure the roles, instead of the two approved positions, namely 1 X Research, Monitoring and Evaluation Specialist and 1 X Master Data Specialist.</w:t>
      </w:r>
    </w:p>
    <w:p w:rsidR="00646723" w:rsidRDefault="00646723">
      <w:pPr>
        <w:pStyle w:val="BodyText"/>
        <w:spacing w:before="1"/>
      </w:pPr>
    </w:p>
    <w:p w:rsidR="00646723" w:rsidRDefault="00AB251B">
      <w:pPr>
        <w:pStyle w:val="BodyText"/>
        <w:spacing w:before="1"/>
        <w:ind w:left="117" w:right="110"/>
        <w:jc w:val="both"/>
      </w:pPr>
      <w:r>
        <w:t>To</w:t>
      </w:r>
      <w:r>
        <w:rPr>
          <w:spacing w:val="-9"/>
        </w:rPr>
        <w:t xml:space="preserve"> </w:t>
      </w:r>
      <w:proofErr w:type="spellStart"/>
      <w:r>
        <w:t>institutionalise</w:t>
      </w:r>
      <w:proofErr w:type="spellEnd"/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Master</w:t>
      </w:r>
      <w:r>
        <w:rPr>
          <w:spacing w:val="-8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DALRRRD,</w:t>
      </w:r>
      <w:r>
        <w:rPr>
          <w:spacing w:val="-7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focus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 given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Fit-for-Purpose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restructure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repurpose</w:t>
      </w:r>
      <w:r>
        <w:rPr>
          <w:spacing w:val="-7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posts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 the Office of the Special Master as follows:</w:t>
      </w:r>
    </w:p>
    <w:p w:rsidR="00646723" w:rsidRDefault="00AB251B">
      <w:pPr>
        <w:pStyle w:val="ListParagraph"/>
        <w:numPr>
          <w:ilvl w:val="0"/>
          <w:numId w:val="1"/>
        </w:numPr>
        <w:tabs>
          <w:tab w:val="left" w:pos="826"/>
        </w:tabs>
        <w:spacing w:before="1"/>
        <w:ind w:right="115" w:hanging="360"/>
        <w:jc w:val="both"/>
        <w:rPr>
          <w:sz w:val="24"/>
        </w:rPr>
      </w:pPr>
      <w:r>
        <w:rPr>
          <w:sz w:val="24"/>
        </w:rPr>
        <w:t>Permanent establishment of a national unit with a provincial fo</w:t>
      </w:r>
      <w:r>
        <w:rPr>
          <w:sz w:val="24"/>
        </w:rPr>
        <w:t xml:space="preserve">otprint (provincial and district level) that will address the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tenant functions;</w:t>
      </w:r>
    </w:p>
    <w:p w:rsidR="00646723" w:rsidRDefault="00646723">
      <w:pPr>
        <w:jc w:val="both"/>
        <w:rPr>
          <w:sz w:val="24"/>
        </w:rPr>
        <w:sectPr w:rsidR="00646723">
          <w:type w:val="continuous"/>
          <w:pgSz w:w="11910" w:h="16840"/>
          <w:pgMar w:top="760" w:right="1160" w:bottom="280" w:left="1160" w:header="720" w:footer="720" w:gutter="0"/>
          <w:cols w:space="720"/>
        </w:sectPr>
      </w:pPr>
    </w:p>
    <w:p w:rsidR="00646723" w:rsidRDefault="00AB251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90" w:line="293" w:lineRule="exact"/>
        <w:ind w:left="825" w:hanging="349"/>
        <w:rPr>
          <w:sz w:val="24"/>
        </w:rPr>
      </w:pPr>
      <w:r>
        <w:rPr>
          <w:sz w:val="24"/>
        </w:rPr>
        <w:lastRenderedPageBreak/>
        <w:t>Mapping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labour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tenants;</w:t>
      </w:r>
    </w:p>
    <w:p w:rsidR="00646723" w:rsidRDefault="00AB251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293" w:lineRule="exact"/>
        <w:ind w:left="825" w:hanging="349"/>
        <w:rPr>
          <w:sz w:val="24"/>
        </w:rPr>
      </w:pP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(SOPs);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and</w:t>
      </w:r>
    </w:p>
    <w:p w:rsidR="00646723" w:rsidRDefault="00AB251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right="117" w:hanging="360"/>
        <w:rPr>
          <w:sz w:val="24"/>
        </w:rPr>
      </w:pPr>
      <w:r>
        <w:rPr>
          <w:sz w:val="24"/>
        </w:rPr>
        <w:t xml:space="preserve">Determine capacity requirements and create post establishments to address the </w:t>
      </w:r>
      <w:r>
        <w:rPr>
          <w:spacing w:val="-2"/>
          <w:sz w:val="24"/>
        </w:rPr>
        <w:t>need.</w:t>
      </w:r>
    </w:p>
    <w:p w:rsidR="00646723" w:rsidRDefault="00646723">
      <w:pPr>
        <w:pStyle w:val="BodyText"/>
        <w:spacing w:before="9"/>
        <w:rPr>
          <w:sz w:val="23"/>
        </w:rPr>
      </w:pPr>
    </w:p>
    <w:p w:rsidR="00646723" w:rsidRDefault="00AB251B">
      <w:pPr>
        <w:pStyle w:val="BodyText"/>
        <w:ind w:left="117" w:right="48"/>
      </w:pPr>
      <w:r>
        <w:t>DALRRD is therefore, in the process to fill the following positions allocated to the Office of the Special Master:</w:t>
      </w:r>
    </w:p>
    <w:p w:rsidR="00646723" w:rsidRDefault="00AB251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292" w:lineRule="exact"/>
        <w:ind w:left="825" w:hanging="426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  <w:r>
        <w:rPr>
          <w:spacing w:val="-3"/>
          <w:sz w:val="24"/>
        </w:rPr>
        <w:t xml:space="preserve"> </w:t>
      </w:r>
      <w:r>
        <w:rPr>
          <w:sz w:val="24"/>
        </w:rPr>
        <w:t>post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filled.</w:t>
      </w:r>
    </w:p>
    <w:p w:rsidR="00646723" w:rsidRDefault="00AB251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293" w:lineRule="exact"/>
        <w:ind w:left="825" w:hanging="426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post</w:t>
      </w:r>
      <w:proofErr w:type="gram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filled.</w:t>
      </w:r>
    </w:p>
    <w:p w:rsidR="00646723" w:rsidRDefault="00AB251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293" w:lineRule="exact"/>
        <w:ind w:left="825" w:hanging="426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Corporate</w:t>
      </w:r>
      <w:r>
        <w:rPr>
          <w:spacing w:val="-4"/>
          <w:sz w:val="24"/>
        </w:rPr>
        <w:t xml:space="preserve"> </w:t>
      </w:r>
      <w:r>
        <w:rPr>
          <w:sz w:val="24"/>
        </w:rPr>
        <w:t>Affairs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Stakeholder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post</w:t>
      </w:r>
      <w:proofErr w:type="gram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filled.</w:t>
      </w:r>
    </w:p>
    <w:p w:rsidR="00646723" w:rsidRDefault="00AB251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292" w:lineRule="exact"/>
        <w:ind w:left="825" w:hanging="426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Assistant</w:t>
      </w:r>
      <w:r>
        <w:rPr>
          <w:spacing w:val="-4"/>
          <w:sz w:val="24"/>
        </w:rPr>
        <w:t xml:space="preserve"> </w:t>
      </w: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filled.</w:t>
      </w:r>
    </w:p>
    <w:p w:rsidR="00646723" w:rsidRDefault="00AB251B">
      <w:pPr>
        <w:pStyle w:val="ListParagraph"/>
        <w:numPr>
          <w:ilvl w:val="0"/>
          <w:numId w:val="1"/>
        </w:numPr>
        <w:tabs>
          <w:tab w:val="left" w:pos="826"/>
        </w:tabs>
        <w:ind w:left="825" w:right="106" w:hanging="425"/>
        <w:jc w:val="both"/>
        <w:rPr>
          <w:sz w:val="24"/>
        </w:rPr>
      </w:pPr>
      <w:r>
        <w:rPr>
          <w:sz w:val="24"/>
        </w:rPr>
        <w:t xml:space="preserve">1 x National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Manager post.</w:t>
      </w:r>
      <w:r>
        <w:rPr>
          <w:spacing w:val="40"/>
          <w:sz w:val="24"/>
        </w:rPr>
        <w:t xml:space="preserve"> </w:t>
      </w:r>
      <w:r>
        <w:rPr>
          <w:sz w:val="24"/>
        </w:rPr>
        <w:t>Post advertised and the closing date for the</w:t>
      </w:r>
      <w:r>
        <w:rPr>
          <w:spacing w:val="-6"/>
          <w:sz w:val="24"/>
        </w:rPr>
        <w:t xml:space="preserve"> </w:t>
      </w:r>
      <w:r>
        <w:rPr>
          <w:sz w:val="24"/>
        </w:rPr>
        <w:t>advertisement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7"/>
          <w:sz w:val="24"/>
        </w:rPr>
        <w:t xml:space="preserve"> </w:t>
      </w:r>
      <w:r>
        <w:rPr>
          <w:sz w:val="24"/>
        </w:rPr>
        <w:t>20221014.</w:t>
      </w:r>
      <w:r>
        <w:rPr>
          <w:spacing w:val="40"/>
          <w:sz w:val="24"/>
        </w:rPr>
        <w:t xml:space="preserve"> </w:t>
      </w:r>
      <w:r>
        <w:rPr>
          <w:sz w:val="24"/>
        </w:rPr>
        <w:t>Filling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post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28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February </w:t>
      </w:r>
      <w:r>
        <w:rPr>
          <w:spacing w:val="-2"/>
          <w:sz w:val="24"/>
        </w:rPr>
        <w:t>2023.</w:t>
      </w:r>
    </w:p>
    <w:p w:rsidR="00646723" w:rsidRDefault="00AB251B">
      <w:pPr>
        <w:pStyle w:val="ListParagraph"/>
        <w:numPr>
          <w:ilvl w:val="0"/>
          <w:numId w:val="1"/>
        </w:numPr>
        <w:tabs>
          <w:tab w:val="left" w:pos="826"/>
        </w:tabs>
        <w:spacing w:line="293" w:lineRule="exact"/>
        <w:ind w:left="825" w:hanging="426"/>
        <w:jc w:val="both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Coordinator.</w:t>
      </w:r>
      <w:r>
        <w:rPr>
          <w:spacing w:val="60"/>
          <w:sz w:val="24"/>
        </w:rPr>
        <w:t xml:space="preserve"> </w:t>
      </w:r>
      <w:r>
        <w:rPr>
          <w:sz w:val="24"/>
        </w:rPr>
        <w:t>Seconded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DALRRD.</w:t>
      </w:r>
    </w:p>
    <w:p w:rsidR="00646723" w:rsidRDefault="00AB251B">
      <w:pPr>
        <w:pStyle w:val="ListParagraph"/>
        <w:numPr>
          <w:ilvl w:val="0"/>
          <w:numId w:val="1"/>
        </w:numPr>
        <w:tabs>
          <w:tab w:val="left" w:pos="826"/>
        </w:tabs>
        <w:ind w:left="825" w:right="109" w:hanging="425"/>
        <w:jc w:val="both"/>
        <w:rPr>
          <w:sz w:val="24"/>
        </w:rPr>
      </w:pPr>
      <w:r>
        <w:rPr>
          <w:sz w:val="24"/>
        </w:rPr>
        <w:t>1 x</w:t>
      </w:r>
      <w:r>
        <w:rPr>
          <w:spacing w:val="-2"/>
          <w:sz w:val="24"/>
        </w:rPr>
        <w:t xml:space="preserve"> </w:t>
      </w:r>
      <w:r>
        <w:rPr>
          <w:sz w:val="24"/>
        </w:rPr>
        <w:t>Senior Administrative Officer post.</w:t>
      </w:r>
      <w:r>
        <w:rPr>
          <w:spacing w:val="40"/>
          <w:sz w:val="24"/>
        </w:rPr>
        <w:t xml:space="preserve"> </w:t>
      </w:r>
      <w:r>
        <w:rPr>
          <w:sz w:val="24"/>
        </w:rPr>
        <w:t>Filling of the post through the Recruitment and Selection or Transfer Processes and filling of th</w:t>
      </w:r>
      <w:r>
        <w:rPr>
          <w:sz w:val="24"/>
        </w:rPr>
        <w:t>e post is anticipated by 28 February 2023.</w:t>
      </w:r>
    </w:p>
    <w:p w:rsidR="00646723" w:rsidRDefault="00AB251B">
      <w:pPr>
        <w:pStyle w:val="ListParagraph"/>
        <w:numPr>
          <w:ilvl w:val="0"/>
          <w:numId w:val="1"/>
        </w:numPr>
        <w:tabs>
          <w:tab w:val="left" w:pos="826"/>
        </w:tabs>
        <w:ind w:left="825" w:right="115" w:hanging="425"/>
        <w:jc w:val="both"/>
        <w:rPr>
          <w:sz w:val="24"/>
        </w:rPr>
      </w:pPr>
      <w:r>
        <w:rPr>
          <w:sz w:val="24"/>
        </w:rPr>
        <w:t>1 x Messenger post. Filling of the post through the Recruitment and Selection or Transfer Processes and filling of the post is anticipated by 28 February 2023.</w:t>
      </w:r>
    </w:p>
    <w:sectPr w:rsidR="00646723" w:rsidSect="00646723">
      <w:pgSz w:w="11910" w:h="16840"/>
      <w:pgMar w:top="740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4AAA"/>
    <w:multiLevelType w:val="hybridMultilevel"/>
    <w:tmpl w:val="1AFA3FA2"/>
    <w:lvl w:ilvl="0" w:tplc="BFB4D30A">
      <w:numFmt w:val="bullet"/>
      <w:lvlText w:val=""/>
      <w:lvlJc w:val="left"/>
      <w:pPr>
        <w:ind w:left="83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868B970">
      <w:numFmt w:val="bullet"/>
      <w:lvlText w:val="•"/>
      <w:lvlJc w:val="left"/>
      <w:pPr>
        <w:ind w:left="1714" w:hanging="348"/>
      </w:pPr>
      <w:rPr>
        <w:rFonts w:hint="default"/>
        <w:lang w:val="en-US" w:eastAsia="en-US" w:bidi="ar-SA"/>
      </w:rPr>
    </w:lvl>
    <w:lvl w:ilvl="2" w:tplc="A3FC6382">
      <w:numFmt w:val="bullet"/>
      <w:lvlText w:val="•"/>
      <w:lvlJc w:val="left"/>
      <w:pPr>
        <w:ind w:left="2589" w:hanging="348"/>
      </w:pPr>
      <w:rPr>
        <w:rFonts w:hint="default"/>
        <w:lang w:val="en-US" w:eastAsia="en-US" w:bidi="ar-SA"/>
      </w:rPr>
    </w:lvl>
    <w:lvl w:ilvl="3" w:tplc="F132D0A6">
      <w:numFmt w:val="bullet"/>
      <w:lvlText w:val="•"/>
      <w:lvlJc w:val="left"/>
      <w:pPr>
        <w:ind w:left="3463" w:hanging="348"/>
      </w:pPr>
      <w:rPr>
        <w:rFonts w:hint="default"/>
        <w:lang w:val="en-US" w:eastAsia="en-US" w:bidi="ar-SA"/>
      </w:rPr>
    </w:lvl>
    <w:lvl w:ilvl="4" w:tplc="0888864A">
      <w:numFmt w:val="bullet"/>
      <w:lvlText w:val="•"/>
      <w:lvlJc w:val="left"/>
      <w:pPr>
        <w:ind w:left="4338" w:hanging="348"/>
      </w:pPr>
      <w:rPr>
        <w:rFonts w:hint="default"/>
        <w:lang w:val="en-US" w:eastAsia="en-US" w:bidi="ar-SA"/>
      </w:rPr>
    </w:lvl>
    <w:lvl w:ilvl="5" w:tplc="44909E88">
      <w:numFmt w:val="bullet"/>
      <w:lvlText w:val="•"/>
      <w:lvlJc w:val="left"/>
      <w:pPr>
        <w:ind w:left="5213" w:hanging="348"/>
      </w:pPr>
      <w:rPr>
        <w:rFonts w:hint="default"/>
        <w:lang w:val="en-US" w:eastAsia="en-US" w:bidi="ar-SA"/>
      </w:rPr>
    </w:lvl>
    <w:lvl w:ilvl="6" w:tplc="5AD2C5CC">
      <w:numFmt w:val="bullet"/>
      <w:lvlText w:val="•"/>
      <w:lvlJc w:val="left"/>
      <w:pPr>
        <w:ind w:left="6087" w:hanging="348"/>
      </w:pPr>
      <w:rPr>
        <w:rFonts w:hint="default"/>
        <w:lang w:val="en-US" w:eastAsia="en-US" w:bidi="ar-SA"/>
      </w:rPr>
    </w:lvl>
    <w:lvl w:ilvl="7" w:tplc="CF9E9576">
      <w:numFmt w:val="bullet"/>
      <w:lvlText w:val="•"/>
      <w:lvlJc w:val="left"/>
      <w:pPr>
        <w:ind w:left="6962" w:hanging="348"/>
      </w:pPr>
      <w:rPr>
        <w:rFonts w:hint="default"/>
        <w:lang w:val="en-US" w:eastAsia="en-US" w:bidi="ar-SA"/>
      </w:rPr>
    </w:lvl>
    <w:lvl w:ilvl="8" w:tplc="4502DA64">
      <w:numFmt w:val="bullet"/>
      <w:lvlText w:val="•"/>
      <w:lvlJc w:val="left"/>
      <w:pPr>
        <w:ind w:left="7837" w:hanging="3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46723"/>
    <w:rsid w:val="00646723"/>
    <w:rsid w:val="00AB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6723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672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46723"/>
    <w:pPr>
      <w:ind w:left="825" w:hanging="426"/>
    </w:pPr>
  </w:style>
  <w:style w:type="paragraph" w:customStyle="1" w:styleId="TableParagraph">
    <w:name w:val="Table Paragraph"/>
    <w:basedOn w:val="Normal"/>
    <w:uiPriority w:val="1"/>
    <w:qFormat/>
    <w:rsid w:val="006467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Company>Toshiba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2023-05-30T13:23:00Z</dcterms:created>
  <dcterms:modified xsi:type="dcterms:W3CDTF">2023-05-30T13:23:00Z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