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4D" w:rsidRPr="00D6714D" w:rsidRDefault="00D6714D" w:rsidP="00D6714D">
      <w:pPr>
        <w:spacing w:after="0" w:line="240" w:lineRule="auto"/>
        <w:jc w:val="center"/>
        <w:rPr>
          <w:b/>
          <w:sz w:val="24"/>
          <w:szCs w:val="24"/>
        </w:rPr>
      </w:pPr>
      <w:r w:rsidRPr="00D6714D">
        <w:rPr>
          <w:b/>
          <w:noProof/>
          <w:sz w:val="24"/>
          <w:szCs w:val="24"/>
          <w:lang w:eastAsia="en-ZA"/>
        </w:rPr>
        <w:drawing>
          <wp:anchor distT="720090" distB="215900" distL="114300" distR="114300" simplePos="0" relativeHeight="251659264" behindDoc="0" locked="1" layoutInCell="1" allowOverlap="1" wp14:anchorId="45DF79C6" wp14:editId="294F8988">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14D">
        <w:rPr>
          <w:b/>
          <w:sz w:val="24"/>
          <w:szCs w:val="24"/>
        </w:rPr>
        <w:t>NATIONAL ASSEMBLY</w:t>
      </w:r>
    </w:p>
    <w:p w:rsidR="00D6714D" w:rsidRPr="00D6714D" w:rsidRDefault="00D6714D" w:rsidP="00D6714D">
      <w:pPr>
        <w:spacing w:after="0" w:line="240" w:lineRule="auto"/>
        <w:jc w:val="center"/>
        <w:rPr>
          <w:b/>
          <w:sz w:val="24"/>
          <w:szCs w:val="24"/>
        </w:rPr>
      </w:pPr>
    </w:p>
    <w:p w:rsidR="00D6714D" w:rsidRPr="00D6714D" w:rsidRDefault="00D6714D" w:rsidP="00D6714D">
      <w:pPr>
        <w:spacing w:after="0" w:line="240" w:lineRule="auto"/>
        <w:jc w:val="center"/>
        <w:rPr>
          <w:b/>
          <w:sz w:val="24"/>
          <w:szCs w:val="24"/>
        </w:rPr>
      </w:pPr>
      <w:r w:rsidRPr="00D6714D">
        <w:rPr>
          <w:b/>
          <w:sz w:val="24"/>
          <w:szCs w:val="24"/>
        </w:rPr>
        <w:t>WRITTEN REPLY</w:t>
      </w:r>
    </w:p>
    <w:p w:rsidR="00D6714D" w:rsidRPr="00D6714D" w:rsidRDefault="00D6714D" w:rsidP="00D6714D">
      <w:pPr>
        <w:spacing w:after="0" w:line="240" w:lineRule="auto"/>
        <w:jc w:val="center"/>
        <w:rPr>
          <w:b/>
          <w:sz w:val="24"/>
          <w:szCs w:val="24"/>
        </w:rPr>
      </w:pPr>
    </w:p>
    <w:p w:rsidR="00D6714D" w:rsidRPr="00D6714D" w:rsidRDefault="00D6714D" w:rsidP="00D6714D">
      <w:pPr>
        <w:spacing w:before="120" w:after="60"/>
        <w:ind w:left="2880"/>
        <w:outlineLvl w:val="0"/>
        <w:rPr>
          <w:b/>
          <w:bCs/>
          <w:caps/>
          <w:sz w:val="22"/>
          <w:szCs w:val="22"/>
          <w:u w:val="single"/>
        </w:rPr>
      </w:pPr>
      <w:r w:rsidRPr="00D6714D">
        <w:rPr>
          <w:b/>
          <w:sz w:val="22"/>
          <w:szCs w:val="22"/>
        </w:rPr>
        <w:t xml:space="preserve">QUESTION </w:t>
      </w:r>
      <w:r w:rsidRPr="00D6714D">
        <w:rPr>
          <w:b/>
          <w:bCs/>
          <w:sz w:val="24"/>
          <w:szCs w:val="24"/>
          <w:lang w:val="en-GB"/>
        </w:rPr>
        <w:t>3</w:t>
      </w:r>
      <w:r w:rsidR="006C55BF">
        <w:rPr>
          <w:b/>
          <w:bCs/>
          <w:sz w:val="24"/>
          <w:szCs w:val="24"/>
          <w:lang w:val="en-GB"/>
        </w:rPr>
        <w:t>43</w:t>
      </w:r>
      <w:r w:rsidRPr="00D6714D">
        <w:rPr>
          <w:b/>
          <w:sz w:val="22"/>
          <w:szCs w:val="22"/>
        </w:rPr>
        <w:t xml:space="preserve"> /</w:t>
      </w:r>
      <w:r w:rsidRPr="00D6714D">
        <w:rPr>
          <w:rFonts w:cs="Times New Roman"/>
          <w:b/>
          <w:sz w:val="22"/>
          <w:szCs w:val="22"/>
          <w:lang w:val="en-GB"/>
        </w:rPr>
        <w:t xml:space="preserve"> </w:t>
      </w:r>
      <w:r w:rsidRPr="00D6714D">
        <w:rPr>
          <w:b/>
          <w:sz w:val="22"/>
          <w:szCs w:val="22"/>
        </w:rPr>
        <w:t>NW</w:t>
      </w:r>
      <w:r w:rsidRPr="00D6714D">
        <w:rPr>
          <w:b/>
          <w:sz w:val="24"/>
          <w:szCs w:val="24"/>
        </w:rPr>
        <w:t xml:space="preserve"> 3</w:t>
      </w:r>
      <w:r w:rsidR="006C55BF">
        <w:rPr>
          <w:b/>
          <w:sz w:val="24"/>
          <w:szCs w:val="24"/>
        </w:rPr>
        <w:t>67</w:t>
      </w:r>
      <w:r w:rsidRPr="00D6714D">
        <w:rPr>
          <w:b/>
          <w:sz w:val="24"/>
          <w:szCs w:val="24"/>
        </w:rPr>
        <w:t>E</w:t>
      </w:r>
    </w:p>
    <w:p w:rsidR="00D6714D" w:rsidRPr="00D6714D" w:rsidRDefault="00D6714D" w:rsidP="00D6714D">
      <w:pPr>
        <w:spacing w:after="0" w:line="240" w:lineRule="auto"/>
        <w:rPr>
          <w:b/>
          <w:color w:val="000000"/>
          <w:sz w:val="24"/>
          <w:szCs w:val="24"/>
        </w:rPr>
      </w:pPr>
    </w:p>
    <w:p w:rsidR="00D6714D" w:rsidRPr="00D6714D" w:rsidRDefault="00D6714D" w:rsidP="00D6714D">
      <w:pPr>
        <w:autoSpaceDE w:val="0"/>
        <w:autoSpaceDN w:val="0"/>
        <w:adjustRightInd w:val="0"/>
        <w:jc w:val="center"/>
        <w:rPr>
          <w:b/>
          <w:color w:val="000000"/>
          <w:sz w:val="24"/>
          <w:szCs w:val="24"/>
        </w:rPr>
      </w:pPr>
      <w:r w:rsidRPr="00D6714D">
        <w:rPr>
          <w:b/>
          <w:color w:val="000000"/>
          <w:sz w:val="24"/>
          <w:szCs w:val="24"/>
        </w:rPr>
        <w:t>MINISTER OF AGRICULTURE, FORESTRY AND FISHERIES:</w:t>
      </w:r>
    </w:p>
    <w:p w:rsidR="00D6714D" w:rsidRPr="00D6714D" w:rsidRDefault="00D6714D" w:rsidP="00D6714D">
      <w:pPr>
        <w:spacing w:before="100" w:beforeAutospacing="1" w:after="100" w:afterAutospacing="1" w:line="276" w:lineRule="auto"/>
        <w:ind w:left="426" w:hanging="426"/>
        <w:jc w:val="center"/>
        <w:rPr>
          <w:b/>
          <w:bCs/>
          <w:sz w:val="22"/>
          <w:szCs w:val="22"/>
          <w:lang w:val="en-GB"/>
        </w:rPr>
      </w:pPr>
      <w:r w:rsidRPr="00D6714D">
        <w:rPr>
          <w:rFonts w:eastAsiaTheme="minorHAnsi"/>
          <w:b/>
          <w:bCs/>
          <w:sz w:val="22"/>
          <w:szCs w:val="22"/>
          <w:lang w:val="af-ZA"/>
        </w:rPr>
        <w:t>M</w:t>
      </w:r>
      <w:r>
        <w:rPr>
          <w:rFonts w:eastAsiaTheme="minorHAnsi"/>
          <w:b/>
          <w:bCs/>
          <w:sz w:val="22"/>
          <w:szCs w:val="22"/>
          <w:lang w:val="af-ZA"/>
        </w:rPr>
        <w:t>s</w:t>
      </w:r>
      <w:r w:rsidRPr="00D6714D">
        <w:rPr>
          <w:rFonts w:eastAsiaTheme="minorHAnsi"/>
          <w:b/>
          <w:bCs/>
          <w:sz w:val="22"/>
          <w:szCs w:val="22"/>
          <w:lang w:val="af-ZA"/>
        </w:rPr>
        <w:t xml:space="preserve"> </w:t>
      </w:r>
      <w:r>
        <w:rPr>
          <w:rFonts w:eastAsiaTheme="minorHAnsi"/>
          <w:b/>
          <w:bCs/>
          <w:sz w:val="22"/>
          <w:szCs w:val="22"/>
          <w:lang w:val="af-ZA"/>
        </w:rPr>
        <w:t>A Steyn</w:t>
      </w:r>
      <w:r w:rsidRPr="00D6714D">
        <w:rPr>
          <w:rFonts w:eastAsiaTheme="minorHAnsi"/>
          <w:b/>
          <w:bCs/>
          <w:sz w:val="22"/>
          <w:szCs w:val="22"/>
          <w:lang w:val="af-ZA"/>
        </w:rPr>
        <w:t xml:space="preserve"> (</w:t>
      </w:r>
      <w:r>
        <w:rPr>
          <w:rFonts w:eastAsiaTheme="minorHAnsi"/>
          <w:b/>
          <w:bCs/>
          <w:sz w:val="22"/>
          <w:szCs w:val="22"/>
          <w:lang w:val="af-ZA"/>
        </w:rPr>
        <w:t>DA</w:t>
      </w:r>
      <w:r w:rsidRPr="00D6714D">
        <w:rPr>
          <w:rFonts w:eastAsiaTheme="minorHAnsi"/>
          <w:b/>
          <w:bCs/>
          <w:sz w:val="22"/>
          <w:szCs w:val="22"/>
          <w:lang w:val="af-ZA"/>
        </w:rPr>
        <w:t>)</w:t>
      </w:r>
      <w:r w:rsidRPr="00D6714D">
        <w:rPr>
          <w:b/>
          <w:bCs/>
          <w:sz w:val="22"/>
          <w:szCs w:val="22"/>
        </w:rPr>
        <w:t xml:space="preserve"> </w:t>
      </w:r>
      <w:r w:rsidRPr="00D6714D">
        <w:rPr>
          <w:b/>
          <w:bCs/>
          <w:sz w:val="22"/>
          <w:szCs w:val="22"/>
          <w:lang w:val="en-GB"/>
        </w:rPr>
        <w:t>to ask the Minister of Agriculture, Forestry and Fisheries:</w:t>
      </w:r>
    </w:p>
    <w:p w:rsidR="00D6714D" w:rsidRPr="00D6714D" w:rsidRDefault="00D6714D" w:rsidP="00D6714D">
      <w:pPr>
        <w:spacing w:before="120" w:after="60"/>
        <w:outlineLvl w:val="0"/>
        <w:rPr>
          <w:b/>
          <w:bCs/>
          <w:caps/>
          <w:sz w:val="22"/>
          <w:szCs w:val="22"/>
          <w:u w:val="single"/>
        </w:rPr>
      </w:pPr>
      <w:r w:rsidRPr="00D6714D">
        <w:rPr>
          <w:b/>
          <w:bCs/>
          <w:caps/>
          <w:sz w:val="22"/>
          <w:szCs w:val="22"/>
          <w:u w:val="single"/>
        </w:rPr>
        <w:t>QUESTION:</w:t>
      </w:r>
    </w:p>
    <w:p w:rsidR="00D6714D" w:rsidRPr="00874538" w:rsidRDefault="00D6714D" w:rsidP="00D6714D">
      <w:pPr>
        <w:tabs>
          <w:tab w:val="left" w:pos="567"/>
        </w:tabs>
        <w:spacing w:before="100" w:beforeAutospacing="1" w:after="100" w:afterAutospacing="1"/>
        <w:ind w:left="709" w:hanging="709"/>
        <w:jc w:val="both"/>
        <w:rPr>
          <w:bCs/>
          <w:sz w:val="22"/>
          <w:szCs w:val="22"/>
          <w:lang w:val="en-GB"/>
        </w:rPr>
      </w:pPr>
      <w:r>
        <w:rPr>
          <w:bCs/>
          <w:sz w:val="22"/>
          <w:szCs w:val="22"/>
          <w:lang w:val="en-GB"/>
        </w:rPr>
        <w:t>(1)</w:t>
      </w:r>
      <w:r>
        <w:rPr>
          <w:bCs/>
          <w:sz w:val="22"/>
          <w:szCs w:val="22"/>
          <w:lang w:val="en-GB"/>
        </w:rPr>
        <w:tab/>
        <w:t xml:space="preserve"> </w:t>
      </w:r>
      <w:r w:rsidRPr="00874538">
        <w:rPr>
          <w:bCs/>
          <w:sz w:val="22"/>
          <w:szCs w:val="22"/>
          <w:lang w:val="en-GB"/>
        </w:rPr>
        <w:t xml:space="preserve">(a) What number of applications for the rezoning of agricultural land has been rejected because of the high potential agricultural value of the specified land since 1 January 1998, (b) what area in hectares was at issue and (c) what was the location of the land in each case; </w:t>
      </w:r>
    </w:p>
    <w:p w:rsidR="00D6714D" w:rsidRPr="00874538" w:rsidRDefault="00D6714D" w:rsidP="00D6714D">
      <w:pPr>
        <w:spacing w:before="100" w:beforeAutospacing="1" w:after="100" w:afterAutospacing="1"/>
        <w:ind w:left="709" w:hanging="709"/>
        <w:jc w:val="both"/>
        <w:rPr>
          <w:bCs/>
          <w:sz w:val="22"/>
          <w:szCs w:val="22"/>
          <w:lang w:val="en-GB"/>
        </w:rPr>
      </w:pPr>
      <w:r>
        <w:rPr>
          <w:bCs/>
          <w:sz w:val="22"/>
          <w:szCs w:val="22"/>
          <w:lang w:val="en-GB"/>
        </w:rPr>
        <w:t>(2)      W</w:t>
      </w:r>
      <w:r w:rsidRPr="00874538">
        <w:rPr>
          <w:bCs/>
          <w:sz w:val="22"/>
          <w:szCs w:val="22"/>
          <w:lang w:val="en-GB"/>
        </w:rPr>
        <w:t xml:space="preserve">hat number of spatial development frameworks has been (a) prepared and (b) adopted since the specified date at national, provincial and local government level; </w:t>
      </w:r>
    </w:p>
    <w:p w:rsidR="00D6714D" w:rsidRPr="00D6714D" w:rsidRDefault="00D6714D" w:rsidP="006B2AAE">
      <w:pPr>
        <w:spacing w:before="100" w:beforeAutospacing="1" w:after="100" w:afterAutospacing="1"/>
        <w:ind w:left="709" w:hanging="709"/>
        <w:rPr>
          <w:b/>
          <w:bCs/>
          <w:sz w:val="22"/>
          <w:szCs w:val="22"/>
          <w:lang w:val="en-GB"/>
        </w:rPr>
      </w:pPr>
      <w:r w:rsidRPr="00874538">
        <w:rPr>
          <w:bCs/>
          <w:sz w:val="22"/>
          <w:szCs w:val="22"/>
          <w:lang w:val="en-GB"/>
        </w:rPr>
        <w:t xml:space="preserve">(3)  </w:t>
      </w:r>
      <w:r>
        <w:rPr>
          <w:bCs/>
          <w:sz w:val="22"/>
          <w:szCs w:val="22"/>
          <w:lang w:val="en-GB"/>
        </w:rPr>
        <w:tab/>
        <w:t>I</w:t>
      </w:r>
      <w:r w:rsidRPr="00874538">
        <w:rPr>
          <w:bCs/>
          <w:sz w:val="22"/>
          <w:szCs w:val="22"/>
          <w:lang w:val="en-GB"/>
        </w:rPr>
        <w:t>n which (a) provinces and (b) municipalities have the</w:t>
      </w:r>
      <w:r>
        <w:rPr>
          <w:bCs/>
          <w:sz w:val="22"/>
          <w:szCs w:val="22"/>
          <w:lang w:val="en-GB"/>
        </w:rPr>
        <w:t xml:space="preserve"> spatial development frameworks </w:t>
      </w:r>
      <w:r w:rsidRPr="00874538">
        <w:rPr>
          <w:bCs/>
          <w:sz w:val="22"/>
          <w:szCs w:val="22"/>
          <w:lang w:val="en-GB"/>
        </w:rPr>
        <w:t xml:space="preserve">already </w:t>
      </w:r>
      <w:r>
        <w:rPr>
          <w:bCs/>
          <w:sz w:val="22"/>
          <w:szCs w:val="22"/>
          <w:lang w:val="en-GB"/>
        </w:rPr>
        <w:t xml:space="preserve">been implemented?  </w:t>
      </w:r>
      <w:r w:rsidRPr="006B2AAE">
        <w:rPr>
          <w:b/>
          <w:bCs/>
          <w:sz w:val="22"/>
          <w:szCs w:val="22"/>
          <w:lang w:val="en-GB"/>
        </w:rPr>
        <w:t>[NW367E]</w:t>
      </w:r>
    </w:p>
    <w:p w:rsidR="00D6714D" w:rsidRDefault="00D6714D" w:rsidP="006B2AAE">
      <w:pPr>
        <w:tabs>
          <w:tab w:val="left" w:pos="567"/>
        </w:tabs>
        <w:spacing w:before="100" w:beforeAutospacing="1" w:after="100" w:afterAutospacing="1"/>
        <w:ind w:left="709" w:hanging="709"/>
        <w:jc w:val="both"/>
        <w:rPr>
          <w:bCs/>
          <w:sz w:val="22"/>
          <w:szCs w:val="22"/>
          <w:lang w:val="en-GB"/>
        </w:rPr>
      </w:pPr>
      <w:r w:rsidRPr="00983955">
        <w:rPr>
          <w:b/>
          <w:sz w:val="22"/>
          <w:szCs w:val="22"/>
          <w:u w:val="single"/>
        </w:rPr>
        <w:t>REPLY:</w:t>
      </w:r>
    </w:p>
    <w:p w:rsidR="00D6714D" w:rsidRPr="006B2AAE" w:rsidRDefault="00D6714D" w:rsidP="006B2AAE">
      <w:pPr>
        <w:pStyle w:val="ListParagraph"/>
        <w:numPr>
          <w:ilvl w:val="0"/>
          <w:numId w:val="2"/>
        </w:numPr>
        <w:spacing w:after="0"/>
        <w:jc w:val="both"/>
        <w:rPr>
          <w:sz w:val="22"/>
          <w:szCs w:val="22"/>
        </w:rPr>
      </w:pPr>
      <w:r w:rsidRPr="006B2AAE">
        <w:rPr>
          <w:sz w:val="22"/>
          <w:szCs w:val="22"/>
        </w:rPr>
        <w:t>The Department rejected approximately 1760 applications applied for change in land use rights in an attempt to retain agricultural land for food security. Among others legislations, the National Department of Agriculture, Forestry and Fisheries administers the Subdivision of Agricultural Land Act, Act 70 of 1970 to protect agricultural land for food security. The Act is applicable nationwide on privately own land and the area in hectares that was at issue are indicated in the table below.</w:t>
      </w:r>
    </w:p>
    <w:p w:rsidR="006B2AAE" w:rsidRDefault="006B2AAE" w:rsidP="00D6714D">
      <w:pPr>
        <w:spacing w:after="0"/>
        <w:jc w:val="both"/>
        <w:rPr>
          <w:sz w:val="22"/>
          <w:szCs w:val="22"/>
        </w:rPr>
      </w:pPr>
    </w:p>
    <w:p w:rsidR="006B2AAE" w:rsidRDefault="006B2AAE" w:rsidP="00D6714D">
      <w:pPr>
        <w:spacing w:after="0"/>
        <w:jc w:val="both"/>
        <w:rPr>
          <w:sz w:val="22"/>
          <w:szCs w:val="22"/>
        </w:rPr>
      </w:pPr>
    </w:p>
    <w:p w:rsidR="006B2AAE" w:rsidRDefault="006B2AAE" w:rsidP="00D6714D">
      <w:pPr>
        <w:spacing w:after="0"/>
        <w:jc w:val="both"/>
        <w:rPr>
          <w:sz w:val="22"/>
          <w:szCs w:val="22"/>
        </w:rPr>
      </w:pPr>
    </w:p>
    <w:p w:rsidR="006B2AAE" w:rsidRDefault="006B2AAE" w:rsidP="00D6714D">
      <w:pPr>
        <w:spacing w:after="0"/>
        <w:jc w:val="both"/>
        <w:rPr>
          <w:sz w:val="22"/>
          <w:szCs w:val="22"/>
        </w:rPr>
      </w:pPr>
    </w:p>
    <w:p w:rsidR="006B2AAE" w:rsidRDefault="006B2AAE" w:rsidP="00D6714D">
      <w:pPr>
        <w:spacing w:after="0"/>
        <w:jc w:val="both"/>
        <w:rPr>
          <w:sz w:val="22"/>
          <w:szCs w:val="22"/>
        </w:rPr>
      </w:pPr>
    </w:p>
    <w:p w:rsidR="00D6714D" w:rsidRPr="00A01F9A" w:rsidRDefault="00D6714D" w:rsidP="00D6714D">
      <w:pPr>
        <w:spacing w:after="0"/>
        <w:jc w:val="both"/>
        <w:rPr>
          <w:sz w:val="22"/>
          <w:szCs w:val="22"/>
        </w:rPr>
      </w:pPr>
      <w:r w:rsidRPr="00A01F9A">
        <w:rPr>
          <w:sz w:val="22"/>
          <w:szCs w:val="22"/>
        </w:rPr>
        <w:t xml:space="preserve"> </w:t>
      </w:r>
    </w:p>
    <w:tbl>
      <w:tblPr>
        <w:tblpPr w:leftFromText="180" w:rightFromText="180" w:vertAnchor="text" w:horzAnchor="page" w:tblpX="264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261"/>
      </w:tblGrid>
      <w:tr w:rsidR="00D6714D" w:rsidRPr="00E73AAD" w:rsidTr="00FD018D">
        <w:tc>
          <w:tcPr>
            <w:tcW w:w="4820" w:type="dxa"/>
            <w:shd w:val="clear" w:color="auto" w:fill="auto"/>
          </w:tcPr>
          <w:p w:rsidR="00D6714D" w:rsidRPr="001B49D6" w:rsidRDefault="00D6714D" w:rsidP="00FD018D">
            <w:pPr>
              <w:spacing w:after="0" w:line="240" w:lineRule="auto"/>
              <w:rPr>
                <w:b/>
                <w:sz w:val="22"/>
                <w:szCs w:val="22"/>
              </w:rPr>
            </w:pPr>
            <w:r w:rsidRPr="001B49D6">
              <w:rPr>
                <w:b/>
                <w:sz w:val="22"/>
                <w:szCs w:val="22"/>
              </w:rPr>
              <w:lastRenderedPageBreak/>
              <w:t>Province</w:t>
            </w:r>
          </w:p>
        </w:tc>
        <w:tc>
          <w:tcPr>
            <w:tcW w:w="3261" w:type="dxa"/>
            <w:shd w:val="clear" w:color="auto" w:fill="auto"/>
          </w:tcPr>
          <w:p w:rsidR="00D6714D" w:rsidRPr="001B49D6" w:rsidRDefault="00D6714D" w:rsidP="00FD018D">
            <w:pPr>
              <w:spacing w:after="0" w:line="240" w:lineRule="auto"/>
              <w:rPr>
                <w:b/>
                <w:sz w:val="22"/>
                <w:szCs w:val="22"/>
              </w:rPr>
            </w:pPr>
            <w:r w:rsidRPr="001B49D6">
              <w:rPr>
                <w:b/>
                <w:sz w:val="22"/>
                <w:szCs w:val="22"/>
              </w:rPr>
              <w:t xml:space="preserve">Area in hectares </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EC</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24991.7</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FS</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50998.6</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GP</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9840.2</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KZN</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51223.0</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LP</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19588.4</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MP</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28559.1</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NW</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44654.8</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NC</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102806.1</w:t>
            </w:r>
          </w:p>
        </w:tc>
      </w:tr>
      <w:tr w:rsidR="00D6714D" w:rsidRPr="00E73AAD" w:rsidTr="00FD018D">
        <w:tc>
          <w:tcPr>
            <w:tcW w:w="4820" w:type="dxa"/>
            <w:shd w:val="clear" w:color="auto" w:fill="auto"/>
          </w:tcPr>
          <w:p w:rsidR="00D6714D" w:rsidRPr="00E73AAD" w:rsidRDefault="00D6714D" w:rsidP="00FD018D">
            <w:pPr>
              <w:spacing w:after="0" w:line="240" w:lineRule="auto"/>
              <w:rPr>
                <w:sz w:val="22"/>
                <w:szCs w:val="22"/>
              </w:rPr>
            </w:pPr>
            <w:r w:rsidRPr="00E73AAD">
              <w:rPr>
                <w:sz w:val="22"/>
                <w:szCs w:val="22"/>
              </w:rPr>
              <w:t>WC</w:t>
            </w:r>
          </w:p>
        </w:tc>
        <w:tc>
          <w:tcPr>
            <w:tcW w:w="3261" w:type="dxa"/>
            <w:shd w:val="clear" w:color="auto" w:fill="auto"/>
          </w:tcPr>
          <w:p w:rsidR="00D6714D" w:rsidRPr="00E73AAD" w:rsidRDefault="00D6714D" w:rsidP="00FD018D">
            <w:pPr>
              <w:spacing w:after="0" w:line="240" w:lineRule="auto"/>
              <w:rPr>
                <w:sz w:val="22"/>
                <w:szCs w:val="22"/>
              </w:rPr>
            </w:pPr>
            <w:r w:rsidRPr="00E73AAD">
              <w:rPr>
                <w:sz w:val="22"/>
                <w:szCs w:val="22"/>
              </w:rPr>
              <w:t>32522.5</w:t>
            </w:r>
          </w:p>
        </w:tc>
      </w:tr>
      <w:tr w:rsidR="00D6714D" w:rsidRPr="00E73AAD" w:rsidTr="00FD018D">
        <w:tc>
          <w:tcPr>
            <w:tcW w:w="8081" w:type="dxa"/>
            <w:gridSpan w:val="2"/>
            <w:shd w:val="clear" w:color="auto" w:fill="auto"/>
            <w:vAlign w:val="bottom"/>
          </w:tcPr>
          <w:p w:rsidR="00D6714D" w:rsidRPr="00E73AAD" w:rsidRDefault="00D6714D" w:rsidP="00FD018D">
            <w:pPr>
              <w:spacing w:after="200" w:line="276" w:lineRule="auto"/>
              <w:rPr>
                <w:b/>
                <w:sz w:val="22"/>
                <w:szCs w:val="22"/>
              </w:rPr>
            </w:pPr>
            <w:r w:rsidRPr="00E73AAD">
              <w:rPr>
                <w:sz w:val="22"/>
                <w:szCs w:val="22"/>
              </w:rPr>
              <w:t xml:space="preserve">  </w:t>
            </w:r>
            <w:r w:rsidRPr="00E73AAD">
              <w:rPr>
                <w:b/>
                <w:sz w:val="22"/>
                <w:szCs w:val="22"/>
              </w:rPr>
              <w:t>Total                                                                       362304.4</w:t>
            </w:r>
          </w:p>
        </w:tc>
      </w:tr>
    </w:tbl>
    <w:p w:rsidR="00D6714D" w:rsidRPr="00A01F9A" w:rsidRDefault="00D6714D" w:rsidP="00D6714D">
      <w:pPr>
        <w:spacing w:after="0"/>
        <w:jc w:val="both"/>
        <w:rPr>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6B2AAE" w:rsidRDefault="006B2AAE" w:rsidP="00D6714D">
      <w:pPr>
        <w:spacing w:after="0"/>
        <w:jc w:val="both"/>
        <w:rPr>
          <w:i/>
          <w:sz w:val="22"/>
          <w:szCs w:val="22"/>
        </w:rPr>
      </w:pPr>
    </w:p>
    <w:p w:rsidR="00D6714D" w:rsidRDefault="00D6714D" w:rsidP="006B2AAE">
      <w:pPr>
        <w:spacing w:after="0"/>
        <w:ind w:left="720" w:firstLine="720"/>
        <w:jc w:val="both"/>
        <w:rPr>
          <w:i/>
          <w:sz w:val="22"/>
          <w:szCs w:val="22"/>
        </w:rPr>
      </w:pPr>
      <w:r w:rsidRPr="00A01F9A">
        <w:rPr>
          <w:i/>
          <w:sz w:val="22"/>
          <w:szCs w:val="22"/>
        </w:rPr>
        <w:t>Table 1: Amount of hectares at issue per province</w:t>
      </w:r>
    </w:p>
    <w:p w:rsidR="00D6714D" w:rsidRDefault="00D6714D" w:rsidP="00D6714D">
      <w:pPr>
        <w:spacing w:after="0"/>
        <w:jc w:val="both"/>
        <w:rPr>
          <w:i/>
          <w:sz w:val="22"/>
          <w:szCs w:val="22"/>
        </w:rPr>
      </w:pPr>
    </w:p>
    <w:p w:rsidR="00D6714D" w:rsidRPr="00AB7D14" w:rsidRDefault="00D6714D" w:rsidP="00D6714D">
      <w:pPr>
        <w:spacing w:after="0"/>
        <w:jc w:val="both"/>
        <w:rPr>
          <w:b/>
          <w:sz w:val="22"/>
          <w:szCs w:val="22"/>
        </w:rPr>
      </w:pPr>
      <w:r w:rsidRPr="00AB7D14">
        <w:rPr>
          <w:b/>
          <w:sz w:val="22"/>
          <w:szCs w:val="22"/>
        </w:rPr>
        <w:t>QUESTION</w:t>
      </w:r>
    </w:p>
    <w:p w:rsidR="00D6714D" w:rsidRDefault="00D6714D" w:rsidP="00D6714D">
      <w:pPr>
        <w:spacing w:after="0"/>
        <w:ind w:left="709"/>
        <w:jc w:val="both"/>
        <w:rPr>
          <w:i/>
          <w:sz w:val="22"/>
          <w:szCs w:val="22"/>
        </w:rPr>
      </w:pPr>
    </w:p>
    <w:p w:rsidR="00D6714D" w:rsidRDefault="00D6714D" w:rsidP="00D6714D">
      <w:pPr>
        <w:numPr>
          <w:ilvl w:val="0"/>
          <w:numId w:val="1"/>
        </w:numPr>
        <w:spacing w:after="0"/>
        <w:ind w:left="567" w:hanging="567"/>
        <w:jc w:val="both"/>
        <w:rPr>
          <w:sz w:val="22"/>
          <w:szCs w:val="22"/>
        </w:rPr>
      </w:pPr>
      <w:r w:rsidRPr="00826787">
        <w:rPr>
          <w:sz w:val="22"/>
          <w:szCs w:val="22"/>
        </w:rPr>
        <w:t xml:space="preserve">What number of spatial development frameworks has been (a) prepared and (b) adopted since the specified date at national, provincial and local government level; </w:t>
      </w:r>
    </w:p>
    <w:p w:rsidR="00D6714D" w:rsidRDefault="00D6714D" w:rsidP="00D6714D">
      <w:pPr>
        <w:spacing w:after="0"/>
        <w:jc w:val="both"/>
        <w:rPr>
          <w:b/>
          <w:sz w:val="22"/>
          <w:szCs w:val="22"/>
        </w:rPr>
      </w:pPr>
    </w:p>
    <w:p w:rsidR="00D6714D" w:rsidRDefault="00D6714D" w:rsidP="00D6714D">
      <w:pPr>
        <w:spacing w:after="0"/>
        <w:jc w:val="both"/>
        <w:rPr>
          <w:b/>
          <w:sz w:val="22"/>
          <w:szCs w:val="22"/>
        </w:rPr>
      </w:pPr>
      <w:r w:rsidRPr="00A3192C">
        <w:rPr>
          <w:b/>
          <w:sz w:val="22"/>
          <w:szCs w:val="22"/>
        </w:rPr>
        <w:t>RE</w:t>
      </w:r>
      <w:r w:rsidR="006B2AAE">
        <w:rPr>
          <w:b/>
          <w:sz w:val="22"/>
          <w:szCs w:val="22"/>
        </w:rPr>
        <w:t>PLY</w:t>
      </w:r>
      <w:r w:rsidRPr="00A3192C">
        <w:rPr>
          <w:b/>
          <w:sz w:val="22"/>
          <w:szCs w:val="22"/>
        </w:rPr>
        <w:t xml:space="preserve"> </w:t>
      </w:r>
    </w:p>
    <w:p w:rsidR="00D6714D" w:rsidRPr="00A3192C" w:rsidRDefault="00D6714D" w:rsidP="00D6714D">
      <w:pPr>
        <w:spacing w:after="0"/>
        <w:jc w:val="both"/>
        <w:rPr>
          <w:b/>
          <w:sz w:val="22"/>
          <w:szCs w:val="22"/>
        </w:rPr>
      </w:pPr>
    </w:p>
    <w:p w:rsidR="00D6714D" w:rsidRDefault="00D6714D" w:rsidP="00D6714D">
      <w:pPr>
        <w:spacing w:after="0"/>
        <w:jc w:val="both"/>
        <w:rPr>
          <w:sz w:val="22"/>
          <w:szCs w:val="22"/>
        </w:rPr>
      </w:pPr>
      <w:r w:rsidRPr="000A3DC2">
        <w:rPr>
          <w:sz w:val="22"/>
          <w:szCs w:val="22"/>
        </w:rPr>
        <w:t xml:space="preserve">The Department of Agriculture, Forestry and Fisheries is not the competent authority of the </w:t>
      </w:r>
      <w:r>
        <w:rPr>
          <w:sz w:val="22"/>
          <w:szCs w:val="22"/>
        </w:rPr>
        <w:t>spatial development frameworks.</w:t>
      </w:r>
    </w:p>
    <w:p w:rsidR="00D6714D" w:rsidRDefault="00D6714D" w:rsidP="00D6714D">
      <w:pPr>
        <w:spacing w:after="0"/>
        <w:jc w:val="both"/>
        <w:rPr>
          <w:sz w:val="22"/>
          <w:szCs w:val="22"/>
        </w:rPr>
      </w:pPr>
    </w:p>
    <w:p w:rsidR="00D6714D" w:rsidRPr="00AB7D14" w:rsidRDefault="00D6714D" w:rsidP="00D6714D">
      <w:pPr>
        <w:spacing w:after="0"/>
        <w:jc w:val="both"/>
        <w:rPr>
          <w:b/>
          <w:sz w:val="22"/>
          <w:szCs w:val="22"/>
        </w:rPr>
      </w:pPr>
      <w:r w:rsidRPr="00AB7D14">
        <w:rPr>
          <w:b/>
          <w:sz w:val="22"/>
          <w:szCs w:val="22"/>
        </w:rPr>
        <w:t>QUESTION</w:t>
      </w:r>
    </w:p>
    <w:p w:rsidR="00D6714D" w:rsidRDefault="00D6714D" w:rsidP="00D6714D">
      <w:pPr>
        <w:spacing w:after="0"/>
        <w:jc w:val="both"/>
        <w:rPr>
          <w:sz w:val="22"/>
          <w:szCs w:val="22"/>
        </w:rPr>
      </w:pPr>
    </w:p>
    <w:p w:rsidR="00D6714D" w:rsidRPr="00826787" w:rsidRDefault="00D6714D" w:rsidP="00D6714D">
      <w:pPr>
        <w:rPr>
          <w:sz w:val="22"/>
          <w:szCs w:val="22"/>
        </w:rPr>
      </w:pPr>
      <w:r>
        <w:rPr>
          <w:sz w:val="22"/>
          <w:szCs w:val="22"/>
        </w:rPr>
        <w:t xml:space="preserve">(3)  </w:t>
      </w:r>
      <w:r w:rsidRPr="00826787">
        <w:rPr>
          <w:sz w:val="22"/>
          <w:szCs w:val="22"/>
        </w:rPr>
        <w:t xml:space="preserve">In which (a) provinces and (b) municipalities have the spatial development </w:t>
      </w:r>
      <w:r>
        <w:rPr>
          <w:sz w:val="22"/>
          <w:szCs w:val="22"/>
        </w:rPr>
        <w:t xml:space="preserve">    </w:t>
      </w:r>
      <w:r w:rsidRPr="00826787">
        <w:rPr>
          <w:sz w:val="22"/>
          <w:szCs w:val="22"/>
        </w:rPr>
        <w:t xml:space="preserve">frameworks already been implemented?  </w:t>
      </w:r>
      <w:bookmarkStart w:id="0" w:name="_GoBack"/>
      <w:bookmarkEnd w:id="0"/>
    </w:p>
    <w:p w:rsidR="00D6714D" w:rsidRDefault="00D6714D" w:rsidP="00D6714D">
      <w:pPr>
        <w:spacing w:after="0"/>
        <w:jc w:val="both"/>
        <w:rPr>
          <w:b/>
          <w:sz w:val="22"/>
          <w:szCs w:val="22"/>
        </w:rPr>
      </w:pPr>
    </w:p>
    <w:p w:rsidR="00D6714D" w:rsidRPr="00A3192C" w:rsidRDefault="00D6714D" w:rsidP="00D6714D">
      <w:pPr>
        <w:spacing w:after="0"/>
        <w:jc w:val="both"/>
        <w:rPr>
          <w:b/>
          <w:sz w:val="22"/>
          <w:szCs w:val="22"/>
        </w:rPr>
      </w:pPr>
      <w:r w:rsidRPr="00A3192C">
        <w:rPr>
          <w:b/>
          <w:sz w:val="22"/>
          <w:szCs w:val="22"/>
        </w:rPr>
        <w:t>RE</w:t>
      </w:r>
      <w:r w:rsidR="006B2AAE">
        <w:rPr>
          <w:b/>
          <w:sz w:val="22"/>
          <w:szCs w:val="22"/>
        </w:rPr>
        <w:t>PLY</w:t>
      </w:r>
      <w:r w:rsidRPr="00A3192C">
        <w:rPr>
          <w:b/>
          <w:sz w:val="22"/>
          <w:szCs w:val="22"/>
        </w:rPr>
        <w:t xml:space="preserve"> </w:t>
      </w:r>
    </w:p>
    <w:p w:rsidR="00D6714D" w:rsidRPr="000A3DC2" w:rsidRDefault="00D6714D" w:rsidP="00D6714D">
      <w:pPr>
        <w:spacing w:after="0"/>
        <w:ind w:left="360"/>
        <w:jc w:val="both"/>
        <w:rPr>
          <w:sz w:val="22"/>
          <w:szCs w:val="22"/>
        </w:rPr>
      </w:pPr>
    </w:p>
    <w:p w:rsidR="00D6714D" w:rsidRPr="000A3DC2" w:rsidRDefault="00D6714D" w:rsidP="00D6714D">
      <w:pPr>
        <w:spacing w:after="0"/>
        <w:jc w:val="both"/>
        <w:rPr>
          <w:sz w:val="22"/>
          <w:szCs w:val="22"/>
        </w:rPr>
      </w:pPr>
      <w:r w:rsidRPr="000A3DC2">
        <w:rPr>
          <w:sz w:val="22"/>
          <w:szCs w:val="22"/>
        </w:rPr>
        <w:t>The Department of Agriculture, Forestry and Fisheries is not the competent authority of the</w:t>
      </w:r>
      <w:r>
        <w:rPr>
          <w:sz w:val="22"/>
          <w:szCs w:val="22"/>
        </w:rPr>
        <w:t xml:space="preserve"> spatial development frameworks.</w:t>
      </w:r>
    </w:p>
    <w:p w:rsidR="005F561C" w:rsidRDefault="006C55BF" w:rsidP="00D6714D"/>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7F78"/>
    <w:multiLevelType w:val="hybridMultilevel"/>
    <w:tmpl w:val="93687D78"/>
    <w:lvl w:ilvl="0" w:tplc="BEB4973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3C0E16D9"/>
    <w:multiLevelType w:val="hybridMultilevel"/>
    <w:tmpl w:val="97DA3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4D"/>
    <w:rsid w:val="00186AC3"/>
    <w:rsid w:val="00190823"/>
    <w:rsid w:val="00405B27"/>
    <w:rsid w:val="004F5BD7"/>
    <w:rsid w:val="00513D32"/>
    <w:rsid w:val="00664E0B"/>
    <w:rsid w:val="006B2AAE"/>
    <w:rsid w:val="006C55BF"/>
    <w:rsid w:val="00721A78"/>
    <w:rsid w:val="00791051"/>
    <w:rsid w:val="007E1699"/>
    <w:rsid w:val="0092761C"/>
    <w:rsid w:val="00B64F1B"/>
    <w:rsid w:val="00C92F37"/>
    <w:rsid w:val="00CE1156"/>
    <w:rsid w:val="00D427AA"/>
    <w:rsid w:val="00D6714D"/>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2019-03-14T10:42:00Z</dcterms:created>
  <dcterms:modified xsi:type="dcterms:W3CDTF">2019-03-14T11:10:00Z</dcterms:modified>
</cp:coreProperties>
</file>