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1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2D412F">
        <w:tc>
          <w:tcPr>
            <w:tcW w:w="9360" w:type="dxa"/>
          </w:tcPr>
          <w:p w:rsidR="00BE13C3" w:rsidRDefault="00BE13C3" w:rsidP="002D412F">
            <w:pPr>
              <w:jc w:val="center"/>
              <w:rPr>
                <w:rFonts w:cs="Arial"/>
                <w:b/>
              </w:rPr>
            </w:pPr>
          </w:p>
          <w:p w:rsidR="00BE13C3" w:rsidRPr="00B23F3E" w:rsidRDefault="00BE13C3" w:rsidP="002D412F">
            <w:pPr>
              <w:jc w:val="center"/>
              <w:rPr>
                <w:rFonts w:cs="Arial"/>
                <w:b/>
              </w:rPr>
            </w:pPr>
            <w:r w:rsidRPr="00B23F3E">
              <w:rPr>
                <w:rFonts w:cs="Arial"/>
                <w:b/>
              </w:rPr>
              <w:t>PARLIAMENT OF THE REPUBLIC OF SOUTH AFRICA</w:t>
            </w:r>
          </w:p>
          <w:p w:rsidR="00BE13C3" w:rsidRDefault="00BE13C3" w:rsidP="002D412F">
            <w:pPr>
              <w:ind w:left="540" w:hanging="540"/>
              <w:jc w:val="center"/>
              <w:rPr>
                <w:rFonts w:cs="Arial"/>
                <w:b/>
              </w:rPr>
            </w:pPr>
            <w:r w:rsidRPr="00B23F3E">
              <w:rPr>
                <w:rFonts w:cs="Arial"/>
                <w:b/>
              </w:rPr>
              <w:t>NATIONAL ASSEMBLY</w:t>
            </w:r>
          </w:p>
          <w:p w:rsidR="00BE13C3" w:rsidRPr="00B23F3E" w:rsidRDefault="00BE13C3" w:rsidP="002D412F">
            <w:pPr>
              <w:ind w:left="540" w:hanging="540"/>
              <w:jc w:val="center"/>
              <w:rPr>
                <w:rFonts w:cs="Arial"/>
              </w:rPr>
            </w:pPr>
          </w:p>
        </w:tc>
      </w:tr>
    </w:tbl>
    <w:p w:rsidR="00BE13C3" w:rsidRDefault="00BE13C3" w:rsidP="00BE13C3">
      <w:pPr>
        <w:ind w:left="540" w:hanging="540"/>
        <w:rPr>
          <w:rFonts w:cs="Arial"/>
        </w:rPr>
      </w:pPr>
    </w:p>
    <w:p w:rsidR="00BE13C3" w:rsidRPr="00B23F3E" w:rsidRDefault="00BE13C3" w:rsidP="00BE13C3">
      <w:pPr>
        <w:ind w:left="540" w:hanging="540"/>
        <w:rPr>
          <w:rFonts w:cs="Arial"/>
        </w:rPr>
      </w:pPr>
    </w:p>
    <w:p w:rsidR="007C2094" w:rsidRPr="00E14F0A" w:rsidRDefault="00E14F0A" w:rsidP="00E14F0A">
      <w:pPr>
        <w:spacing w:line="360" w:lineRule="auto"/>
        <w:ind w:left="540" w:hanging="540"/>
        <w:rPr>
          <w:rFonts w:cs="Arial"/>
          <w:b/>
          <w:sz w:val="24"/>
          <w:szCs w:val="24"/>
        </w:rPr>
      </w:pPr>
      <w:r w:rsidRPr="00E14F0A">
        <w:rPr>
          <w:rFonts w:cs="Arial"/>
          <w:b/>
          <w:sz w:val="24"/>
          <w:szCs w:val="24"/>
        </w:rPr>
        <w:t xml:space="preserve">QUESTION </w:t>
      </w:r>
      <w:r w:rsidR="007C2094" w:rsidRPr="00E14F0A">
        <w:rPr>
          <w:rFonts w:cs="Arial"/>
          <w:b/>
          <w:sz w:val="24"/>
          <w:szCs w:val="24"/>
        </w:rPr>
        <w:t>FOR WRITTEN REPLY</w:t>
      </w:r>
    </w:p>
    <w:p w:rsidR="007C2094" w:rsidRPr="00E14F0A" w:rsidRDefault="00E14F0A" w:rsidP="00E14F0A">
      <w:pPr>
        <w:spacing w:line="360" w:lineRule="auto"/>
        <w:jc w:val="both"/>
        <w:rPr>
          <w:rFonts w:cs="Arial"/>
          <w:b/>
          <w:sz w:val="24"/>
          <w:szCs w:val="24"/>
        </w:rPr>
      </w:pPr>
      <w:r w:rsidRPr="00E14F0A">
        <w:rPr>
          <w:rFonts w:cs="Arial"/>
          <w:b/>
          <w:sz w:val="24"/>
          <w:szCs w:val="24"/>
        </w:rPr>
        <w:t xml:space="preserve">PARLIAMENTARY </w:t>
      </w:r>
      <w:r w:rsidR="007C2094" w:rsidRPr="00E14F0A">
        <w:rPr>
          <w:rFonts w:cs="Arial"/>
          <w:b/>
          <w:sz w:val="24"/>
          <w:szCs w:val="24"/>
        </w:rPr>
        <w:t xml:space="preserve">QUESTION NO: </w:t>
      </w:r>
      <w:r w:rsidR="009C6664" w:rsidRPr="00E14F0A">
        <w:rPr>
          <w:rFonts w:cs="Arial"/>
          <w:b/>
          <w:sz w:val="24"/>
          <w:szCs w:val="24"/>
        </w:rPr>
        <w:t>34</w:t>
      </w:r>
      <w:r w:rsidR="007C2094" w:rsidRPr="00E14F0A">
        <w:rPr>
          <w:rFonts w:cs="Arial"/>
          <w:b/>
          <w:sz w:val="24"/>
          <w:szCs w:val="24"/>
        </w:rPr>
        <w:t>29</w:t>
      </w:r>
    </w:p>
    <w:p w:rsidR="00E14F0A" w:rsidRPr="00E14F0A" w:rsidRDefault="00E14F0A" w:rsidP="00E14F0A">
      <w:pPr>
        <w:spacing w:line="360" w:lineRule="auto"/>
        <w:jc w:val="both"/>
        <w:rPr>
          <w:rFonts w:cs="Arial"/>
          <w:b/>
          <w:sz w:val="24"/>
          <w:szCs w:val="24"/>
        </w:rPr>
      </w:pPr>
      <w:r w:rsidRPr="00E14F0A">
        <w:rPr>
          <w:rFonts w:cs="Arial"/>
          <w:b/>
          <w:sz w:val="24"/>
          <w:szCs w:val="24"/>
        </w:rPr>
        <w:t>DATE OF QUESTION: 30 SEPTEMBER 2022</w:t>
      </w:r>
    </w:p>
    <w:p w:rsidR="00E14F0A" w:rsidRPr="00E14F0A" w:rsidRDefault="00E14F0A" w:rsidP="00E14F0A">
      <w:pPr>
        <w:spacing w:line="360" w:lineRule="auto"/>
        <w:jc w:val="both"/>
        <w:rPr>
          <w:b/>
          <w:sz w:val="24"/>
          <w:szCs w:val="24"/>
        </w:rPr>
      </w:pPr>
      <w:r w:rsidRPr="00E14F0A">
        <w:rPr>
          <w:rFonts w:cs="Arial"/>
          <w:b/>
          <w:sz w:val="24"/>
          <w:szCs w:val="24"/>
        </w:rPr>
        <w:t>DATE OF SUBMISSION: 14 OCTOBER 2022</w:t>
      </w:r>
    </w:p>
    <w:p w:rsidR="007C2094" w:rsidRPr="007C2094" w:rsidRDefault="007C2094" w:rsidP="007404FA">
      <w:pPr>
        <w:ind w:left="720" w:hanging="720"/>
        <w:rPr>
          <w:b/>
          <w:sz w:val="24"/>
          <w:szCs w:val="24"/>
        </w:rPr>
      </w:pPr>
    </w:p>
    <w:p w:rsidR="007C2094" w:rsidRPr="007C2094" w:rsidRDefault="00DE516D" w:rsidP="00DE516D">
      <w:pPr>
        <w:ind w:right="26"/>
        <w:jc w:val="both"/>
        <w:outlineLvl w:val="0"/>
        <w:rPr>
          <w:rFonts w:eastAsia="Calibri" w:cs="Arial"/>
          <w:b/>
          <w:sz w:val="24"/>
          <w:szCs w:val="24"/>
        </w:rPr>
      </w:pPr>
      <w:bookmarkStart w:id="0" w:name="_Hlk115697793"/>
      <w:r>
        <w:rPr>
          <w:rFonts w:eastAsia="Calibri" w:cs="Arial"/>
          <w:b/>
          <w:sz w:val="24"/>
          <w:szCs w:val="24"/>
        </w:rPr>
        <w:t>Mrs Y.</w:t>
      </w:r>
      <w:r w:rsidR="007C2094" w:rsidRPr="007C2094">
        <w:rPr>
          <w:rFonts w:eastAsia="Calibri" w:cs="Arial"/>
          <w:b/>
          <w:sz w:val="24"/>
          <w:szCs w:val="24"/>
        </w:rPr>
        <w:t xml:space="preserve">N Yako (EFF) </w:t>
      </w:r>
      <w:bookmarkEnd w:id="0"/>
      <w:r w:rsidR="007C2094" w:rsidRPr="007C2094">
        <w:rPr>
          <w:rFonts w:eastAsia="Calibri" w:cs="Arial"/>
          <w:b/>
          <w:sz w:val="24"/>
          <w:szCs w:val="24"/>
        </w:rPr>
        <w:t>to ask the Minister of Justice and Correctional</w:t>
      </w:r>
      <w:r w:rsidR="00FB548F">
        <w:rPr>
          <w:rFonts w:eastAsia="Calibri" w:cs="Arial"/>
          <w:b/>
          <w:sz w:val="24"/>
          <w:szCs w:val="24"/>
        </w:rPr>
        <w:t xml:space="preserve"> </w:t>
      </w:r>
      <w:r w:rsidR="007C2094" w:rsidRPr="007C2094">
        <w:rPr>
          <w:rFonts w:eastAsia="Calibri" w:cs="Arial"/>
          <w:b/>
          <w:sz w:val="24"/>
          <w:szCs w:val="24"/>
        </w:rPr>
        <w:t>Services</w:t>
      </w:r>
      <w:r>
        <w:rPr>
          <w:rFonts w:eastAsia="Calibri" w:cs="Arial"/>
          <w:b/>
          <w:sz w:val="24"/>
          <w:szCs w:val="24"/>
        </w:rPr>
        <w:t xml:space="preserve"> </w:t>
      </w:r>
      <w:r w:rsidR="007C2094" w:rsidRPr="007C2094">
        <w:rPr>
          <w:rFonts w:eastAsia="Calibri" w:cs="Arial"/>
          <w:b/>
          <w:sz w:val="24"/>
          <w:szCs w:val="24"/>
        </w:rPr>
        <w:fldChar w:fldCharType="begin"/>
      </w:r>
      <w:r w:rsidR="007C2094" w:rsidRPr="007C2094">
        <w:rPr>
          <w:rFonts w:eastAsia="Calibri" w:cs="Arial"/>
          <w:sz w:val="24"/>
          <w:szCs w:val="24"/>
        </w:rPr>
        <w:instrText xml:space="preserve"> XE "</w:instrText>
      </w:r>
      <w:r w:rsidR="007C2094" w:rsidRPr="007C2094">
        <w:rPr>
          <w:rFonts w:eastAsia="Calibri" w:cs="Arial"/>
          <w:b/>
          <w:sz w:val="24"/>
          <w:szCs w:val="24"/>
        </w:rPr>
        <w:instrText>Minister of Justice and Correctional Services</w:instrText>
      </w:r>
      <w:r w:rsidR="007C2094" w:rsidRPr="007C2094">
        <w:rPr>
          <w:rFonts w:eastAsia="Calibri" w:cs="Arial"/>
          <w:sz w:val="24"/>
          <w:szCs w:val="24"/>
        </w:rPr>
        <w:instrText xml:space="preserve">" </w:instrText>
      </w:r>
      <w:r w:rsidR="007C2094" w:rsidRPr="007C2094">
        <w:rPr>
          <w:rFonts w:eastAsia="Calibri" w:cs="Arial"/>
          <w:b/>
          <w:sz w:val="24"/>
          <w:szCs w:val="24"/>
        </w:rPr>
        <w:fldChar w:fldCharType="end"/>
      </w:r>
      <w:r w:rsidR="007C2094" w:rsidRPr="007C2094">
        <w:rPr>
          <w:rFonts w:eastAsia="Calibri" w:cs="Arial"/>
          <w:b/>
          <w:sz w:val="24"/>
          <w:szCs w:val="24"/>
        </w:rPr>
        <w:t>:</w:t>
      </w:r>
    </w:p>
    <w:p w:rsidR="007404FA" w:rsidRDefault="007404FA" w:rsidP="007404FA">
      <w:pPr>
        <w:ind w:right="26"/>
        <w:jc w:val="both"/>
        <w:rPr>
          <w:rFonts w:eastAsia="Calibri" w:cs="Arial"/>
          <w:color w:val="000000"/>
          <w:sz w:val="24"/>
          <w:szCs w:val="24"/>
          <w:lang w:val="en-GB"/>
        </w:rPr>
      </w:pPr>
    </w:p>
    <w:p w:rsidR="007C2094" w:rsidRPr="007C2094" w:rsidRDefault="007C2094" w:rsidP="007404FA">
      <w:pPr>
        <w:ind w:right="26"/>
        <w:jc w:val="both"/>
        <w:rPr>
          <w:rFonts w:eastAsia="Calibri" w:cs="Arial"/>
          <w:b/>
          <w:bCs/>
          <w:color w:val="000000"/>
          <w:sz w:val="24"/>
          <w:szCs w:val="24"/>
          <w:lang w:val="en-GB"/>
        </w:rPr>
      </w:pPr>
      <w:r w:rsidRPr="007C2094">
        <w:rPr>
          <w:rFonts w:eastAsia="Calibri" w:cs="Arial"/>
          <w:color w:val="000000"/>
          <w:sz w:val="24"/>
          <w:szCs w:val="24"/>
          <w:lang w:val="en-GB"/>
        </w:rPr>
        <w:t xml:space="preserve">What are the </w:t>
      </w:r>
      <w:r w:rsidRPr="007C2094">
        <w:rPr>
          <w:rFonts w:eastAsia="Calibri" w:cs="Arial"/>
          <w:sz w:val="24"/>
          <w:szCs w:val="24"/>
        </w:rPr>
        <w:t>rehabilitative</w:t>
      </w:r>
      <w:r w:rsidRPr="007C2094">
        <w:rPr>
          <w:rFonts w:eastAsia="Calibri" w:cs="Arial"/>
          <w:color w:val="000000"/>
          <w:sz w:val="24"/>
          <w:szCs w:val="24"/>
          <w:lang w:val="en-GB"/>
        </w:rPr>
        <w:t xml:space="preserve"> programmes that his department has put in place to ensure that child offenders are rehabilitated and do not fall back into a life of crime, once released</w:t>
      </w:r>
      <w:r w:rsidRPr="007C2094">
        <w:rPr>
          <w:rFonts w:eastAsia="Calibri" w:cs="Arial"/>
          <w:sz w:val="24"/>
          <w:szCs w:val="24"/>
        </w:rPr>
        <w:t>?</w:t>
      </w:r>
      <w:r w:rsidRPr="007C2094">
        <w:rPr>
          <w:rFonts w:eastAsia="Calibri" w:cs="Arial"/>
          <w:sz w:val="24"/>
          <w:szCs w:val="24"/>
        </w:rPr>
        <w:tab/>
      </w:r>
      <w:r w:rsidRPr="007C2094">
        <w:rPr>
          <w:rFonts w:eastAsia="Calibri" w:cs="Arial"/>
          <w:sz w:val="24"/>
          <w:szCs w:val="24"/>
        </w:rPr>
        <w:tab/>
      </w:r>
      <w:r w:rsidR="007404FA">
        <w:rPr>
          <w:rFonts w:eastAsia="Calibri" w:cs="Arial"/>
          <w:sz w:val="24"/>
          <w:szCs w:val="24"/>
        </w:rPr>
        <w:tab/>
      </w:r>
      <w:r w:rsidR="007404FA">
        <w:rPr>
          <w:rFonts w:eastAsia="Calibri" w:cs="Arial"/>
          <w:sz w:val="24"/>
          <w:szCs w:val="24"/>
        </w:rPr>
        <w:tab/>
      </w:r>
      <w:r w:rsidRPr="007C2094">
        <w:rPr>
          <w:rFonts w:eastAsia="Calibri" w:cs="Arial"/>
          <w:sz w:val="24"/>
          <w:szCs w:val="24"/>
        </w:rPr>
        <w:tab/>
      </w:r>
      <w:r w:rsidRPr="007C2094">
        <w:rPr>
          <w:rFonts w:eastAsia="Calibri" w:cs="Arial"/>
          <w:sz w:val="24"/>
          <w:szCs w:val="24"/>
        </w:rPr>
        <w:tab/>
      </w:r>
      <w:r w:rsidRPr="007C2094">
        <w:rPr>
          <w:rFonts w:eastAsia="Calibri" w:cs="Arial"/>
          <w:sz w:val="24"/>
          <w:szCs w:val="24"/>
        </w:rPr>
        <w:tab/>
      </w:r>
      <w:r w:rsidRPr="007C2094">
        <w:rPr>
          <w:rFonts w:eastAsia="Calibri" w:cs="Arial"/>
          <w:sz w:val="24"/>
          <w:szCs w:val="24"/>
        </w:rPr>
        <w:tab/>
      </w:r>
      <w:r w:rsidRPr="007C2094">
        <w:rPr>
          <w:rFonts w:eastAsia="Calibri" w:cs="Arial"/>
          <w:sz w:val="24"/>
          <w:szCs w:val="24"/>
        </w:rPr>
        <w:tab/>
      </w:r>
      <w:bookmarkStart w:id="1" w:name="_Hlk115697682"/>
      <w:r w:rsidRPr="007C2094">
        <w:rPr>
          <w:rFonts w:cs="Arial"/>
          <w:b/>
          <w:sz w:val="24"/>
          <w:szCs w:val="24"/>
          <w:lang w:val="en-US"/>
        </w:rPr>
        <w:t>NW4231E</w:t>
      </w:r>
      <w:bookmarkEnd w:id="1"/>
    </w:p>
    <w:p w:rsidR="007C2094" w:rsidRPr="007404FA" w:rsidRDefault="007C2094" w:rsidP="007404FA">
      <w:pPr>
        <w:ind w:left="720" w:hanging="720"/>
        <w:rPr>
          <w:b/>
          <w:sz w:val="24"/>
          <w:szCs w:val="24"/>
        </w:rPr>
      </w:pPr>
    </w:p>
    <w:p w:rsidR="007C2094" w:rsidRPr="007404FA" w:rsidRDefault="007C2094" w:rsidP="007404FA">
      <w:pPr>
        <w:ind w:left="720" w:hanging="720"/>
        <w:rPr>
          <w:b/>
          <w:sz w:val="24"/>
          <w:szCs w:val="24"/>
        </w:rPr>
      </w:pPr>
    </w:p>
    <w:p w:rsidR="007C2094" w:rsidRPr="007404FA" w:rsidRDefault="007C2094" w:rsidP="007404FA">
      <w:pPr>
        <w:ind w:left="720" w:hanging="720"/>
        <w:rPr>
          <w:b/>
          <w:sz w:val="24"/>
          <w:szCs w:val="24"/>
        </w:rPr>
      </w:pPr>
      <w:r w:rsidRPr="007404FA">
        <w:rPr>
          <w:b/>
          <w:sz w:val="24"/>
          <w:szCs w:val="24"/>
        </w:rPr>
        <w:t>REPLY:</w:t>
      </w:r>
    </w:p>
    <w:p w:rsidR="007C2094" w:rsidRPr="007404FA" w:rsidRDefault="007C2094" w:rsidP="007C2094">
      <w:pPr>
        <w:jc w:val="both"/>
        <w:rPr>
          <w:b/>
          <w:sz w:val="24"/>
          <w:szCs w:val="24"/>
          <w:u w:val="single"/>
        </w:rPr>
      </w:pPr>
    </w:p>
    <w:p w:rsidR="007C2094" w:rsidRPr="007404FA" w:rsidRDefault="00DE516D" w:rsidP="007E4A6E">
      <w:pPr>
        <w:jc w:val="both"/>
        <w:rPr>
          <w:sz w:val="24"/>
          <w:szCs w:val="24"/>
        </w:rPr>
      </w:pPr>
      <w:r w:rsidRPr="007404FA">
        <w:rPr>
          <w:sz w:val="24"/>
          <w:szCs w:val="24"/>
        </w:rPr>
        <w:t xml:space="preserve">Section 16 (1) </w:t>
      </w:r>
      <w:r>
        <w:rPr>
          <w:sz w:val="24"/>
          <w:szCs w:val="24"/>
        </w:rPr>
        <w:t>of t</w:t>
      </w:r>
      <w:r w:rsidR="007C2094" w:rsidRPr="007404FA">
        <w:rPr>
          <w:sz w:val="24"/>
          <w:szCs w:val="24"/>
        </w:rPr>
        <w:t xml:space="preserve">he Correctional Services </w:t>
      </w:r>
      <w:r>
        <w:rPr>
          <w:sz w:val="24"/>
          <w:szCs w:val="24"/>
        </w:rPr>
        <w:t>Act (CSA),</w:t>
      </w:r>
      <w:r w:rsidR="007C2094" w:rsidRPr="007404FA">
        <w:rPr>
          <w:sz w:val="24"/>
          <w:szCs w:val="24"/>
        </w:rPr>
        <w:t xml:space="preserve">111 of 1998, as amended, </w:t>
      </w:r>
      <w:r>
        <w:rPr>
          <w:sz w:val="24"/>
          <w:szCs w:val="24"/>
        </w:rPr>
        <w:t>states that: “</w:t>
      </w:r>
      <w:r w:rsidR="007C2094" w:rsidRPr="007404FA">
        <w:rPr>
          <w:i/>
          <w:sz w:val="24"/>
          <w:szCs w:val="24"/>
        </w:rPr>
        <w:t>The Department may provide correction, development and care programmes and services even when not required to do so by this Act”, and in Section 41 of the Act, it provides, under subsection “Treatment, development and support services.</w:t>
      </w:r>
      <w:r>
        <w:rPr>
          <w:i/>
          <w:sz w:val="24"/>
          <w:szCs w:val="24"/>
        </w:rPr>
        <w:t xml:space="preserve"> </w:t>
      </w:r>
      <w:r w:rsidR="007C2094" w:rsidRPr="007404FA">
        <w:rPr>
          <w:i/>
          <w:sz w:val="24"/>
          <w:szCs w:val="24"/>
        </w:rPr>
        <w:t>(1) The Department must provide or give access to as full a range of programmes and activities, including needs-based programmes as is practicable to meet the educational and training needs of sentenced offenders</w:t>
      </w:r>
      <w:r w:rsidR="007C2094" w:rsidRPr="007404FA">
        <w:rPr>
          <w:sz w:val="24"/>
          <w:szCs w:val="24"/>
        </w:rPr>
        <w:t>”.</w:t>
      </w:r>
    </w:p>
    <w:p w:rsidR="007C2094" w:rsidRPr="007404FA" w:rsidRDefault="007C2094" w:rsidP="007C2094">
      <w:pPr>
        <w:ind w:left="720" w:hanging="720"/>
        <w:jc w:val="both"/>
        <w:rPr>
          <w:sz w:val="24"/>
          <w:szCs w:val="24"/>
        </w:rPr>
      </w:pPr>
    </w:p>
    <w:p w:rsidR="007C2094" w:rsidRPr="007404FA" w:rsidRDefault="007C2094" w:rsidP="007E4A6E">
      <w:pPr>
        <w:jc w:val="both"/>
        <w:rPr>
          <w:sz w:val="24"/>
          <w:szCs w:val="24"/>
        </w:rPr>
      </w:pPr>
      <w:r w:rsidRPr="007404FA">
        <w:rPr>
          <w:sz w:val="24"/>
          <w:szCs w:val="24"/>
        </w:rPr>
        <w:t>Children</w:t>
      </w:r>
      <w:r w:rsidR="0049253B">
        <w:rPr>
          <w:sz w:val="24"/>
          <w:szCs w:val="24"/>
        </w:rPr>
        <w:t xml:space="preserve"> offenders are children aged between 14-17 years of age. </w:t>
      </w:r>
      <w:r w:rsidR="00DE516D">
        <w:rPr>
          <w:sz w:val="24"/>
          <w:szCs w:val="24"/>
        </w:rPr>
        <w:t xml:space="preserve"> </w:t>
      </w:r>
      <w:r w:rsidR="0049253B">
        <w:rPr>
          <w:sz w:val="24"/>
          <w:szCs w:val="24"/>
        </w:rPr>
        <w:t xml:space="preserve">This category of offenders </w:t>
      </w:r>
      <w:r w:rsidRPr="007404FA">
        <w:rPr>
          <w:sz w:val="24"/>
          <w:szCs w:val="24"/>
        </w:rPr>
        <w:t xml:space="preserve">are given the opportunity to access formal education programmes. </w:t>
      </w:r>
      <w:r w:rsidR="00DE516D">
        <w:rPr>
          <w:sz w:val="24"/>
          <w:szCs w:val="24"/>
        </w:rPr>
        <w:t xml:space="preserve"> </w:t>
      </w:r>
      <w:r w:rsidRPr="007404FA">
        <w:rPr>
          <w:sz w:val="24"/>
          <w:szCs w:val="24"/>
        </w:rPr>
        <w:t xml:space="preserve">The following formal education programmes are offered to all offenders: - </w:t>
      </w:r>
    </w:p>
    <w:p w:rsidR="007C2094" w:rsidRPr="007404FA" w:rsidRDefault="007C2094" w:rsidP="007C2094">
      <w:pPr>
        <w:numPr>
          <w:ilvl w:val="0"/>
          <w:numId w:val="7"/>
        </w:numPr>
        <w:jc w:val="both"/>
        <w:rPr>
          <w:sz w:val="24"/>
          <w:szCs w:val="24"/>
        </w:rPr>
      </w:pPr>
      <w:r w:rsidRPr="007404FA">
        <w:rPr>
          <w:sz w:val="24"/>
          <w:szCs w:val="24"/>
        </w:rPr>
        <w:t xml:space="preserve">Further Education and Training (FET): Grades 10-12. </w:t>
      </w:r>
      <w:r w:rsidR="00DE516D">
        <w:rPr>
          <w:sz w:val="24"/>
          <w:szCs w:val="24"/>
        </w:rPr>
        <w:t xml:space="preserve"> </w:t>
      </w:r>
      <w:r w:rsidRPr="007404FA">
        <w:rPr>
          <w:sz w:val="24"/>
          <w:szCs w:val="24"/>
        </w:rPr>
        <w:t>All those offenders that have successfully completed the above-mentioned programme get an opportunity to pursue studies in the FET Band following a curriculum known as Curriculum and Assessment Policy Statements (CAPS), similar to all external schools within the education system of the country.</w:t>
      </w:r>
    </w:p>
    <w:p w:rsidR="007C2094" w:rsidRPr="007404FA" w:rsidRDefault="007C2094" w:rsidP="007C2094">
      <w:pPr>
        <w:numPr>
          <w:ilvl w:val="0"/>
          <w:numId w:val="7"/>
        </w:numPr>
        <w:jc w:val="both"/>
        <w:rPr>
          <w:sz w:val="24"/>
          <w:szCs w:val="24"/>
        </w:rPr>
      </w:pPr>
      <w:r w:rsidRPr="007404FA">
        <w:rPr>
          <w:sz w:val="24"/>
          <w:szCs w:val="24"/>
        </w:rPr>
        <w:t xml:space="preserve">Children are also given the opportunity to attend Adult Education and Training (AET) Levels 1-4 if they do not want to attend Grade 10-12 mainstream education. </w:t>
      </w:r>
      <w:r w:rsidR="00DE516D">
        <w:rPr>
          <w:sz w:val="24"/>
          <w:szCs w:val="24"/>
        </w:rPr>
        <w:t xml:space="preserve"> </w:t>
      </w:r>
      <w:r w:rsidRPr="007404FA">
        <w:rPr>
          <w:sz w:val="24"/>
          <w:szCs w:val="24"/>
        </w:rPr>
        <w:t>This is equivalent to Grades 1-9 in normal mainstream education and it</w:t>
      </w:r>
      <w:r w:rsidRPr="007404FA">
        <w:rPr>
          <w:rFonts w:cs="Arial"/>
          <w:sz w:val="24"/>
          <w:szCs w:val="24"/>
        </w:rPr>
        <w:t>’</w:t>
      </w:r>
      <w:r w:rsidRPr="007404FA">
        <w:rPr>
          <w:sz w:val="24"/>
          <w:szCs w:val="24"/>
        </w:rPr>
        <w:t xml:space="preserve">s for offenders who want to pursue studies in the General Education and Training (GET) Band. </w:t>
      </w:r>
    </w:p>
    <w:p w:rsidR="007C2094" w:rsidRPr="007404FA" w:rsidRDefault="007C2094" w:rsidP="007C2094">
      <w:pPr>
        <w:numPr>
          <w:ilvl w:val="0"/>
          <w:numId w:val="7"/>
        </w:numPr>
        <w:jc w:val="both"/>
        <w:rPr>
          <w:sz w:val="24"/>
          <w:szCs w:val="24"/>
        </w:rPr>
      </w:pPr>
      <w:r w:rsidRPr="007404FA">
        <w:rPr>
          <w:sz w:val="24"/>
          <w:szCs w:val="24"/>
        </w:rPr>
        <w:t>Child offenders who enter Correctional centres late in the academic year, might only be enrolled in the following academic year for formal education programmes.  However, all offenders, including children have access to a range of Sports, recreation, arts, and culture programmes and also have access to libraries.</w:t>
      </w:r>
    </w:p>
    <w:p w:rsidR="007C2094" w:rsidRPr="007404FA" w:rsidRDefault="007C2094" w:rsidP="007C2094">
      <w:pPr>
        <w:jc w:val="both"/>
        <w:rPr>
          <w:sz w:val="24"/>
          <w:szCs w:val="24"/>
        </w:rPr>
      </w:pPr>
    </w:p>
    <w:p w:rsidR="007C2094" w:rsidRPr="007404FA" w:rsidRDefault="007C2094" w:rsidP="007E4A6E">
      <w:pPr>
        <w:jc w:val="both"/>
        <w:rPr>
          <w:rFonts w:eastAsia="Calibri" w:cs="Arial"/>
          <w:color w:val="000000"/>
          <w:sz w:val="24"/>
          <w:szCs w:val="24"/>
          <w:lang w:val="en-GB"/>
        </w:rPr>
      </w:pPr>
      <w:r w:rsidRPr="007404FA">
        <w:rPr>
          <w:rFonts w:eastAsia="Calibri" w:cs="Arial"/>
          <w:color w:val="000000"/>
          <w:sz w:val="24"/>
          <w:szCs w:val="24"/>
          <w:lang w:val="en-GB"/>
        </w:rPr>
        <w:lastRenderedPageBreak/>
        <w:t xml:space="preserve">The department is </w:t>
      </w:r>
      <w:r w:rsidR="00274745" w:rsidRPr="007404FA">
        <w:rPr>
          <w:rFonts w:eastAsia="Calibri" w:cs="Arial"/>
          <w:color w:val="000000"/>
          <w:sz w:val="24"/>
          <w:szCs w:val="24"/>
          <w:lang w:val="en-GB"/>
        </w:rPr>
        <w:t xml:space="preserve">also </w:t>
      </w:r>
      <w:r w:rsidRPr="007404FA">
        <w:rPr>
          <w:rFonts w:eastAsia="Calibri" w:cs="Arial"/>
          <w:color w:val="000000"/>
          <w:sz w:val="24"/>
          <w:szCs w:val="24"/>
          <w:lang w:val="en-GB"/>
        </w:rPr>
        <w:t>rendering needs based rehabilitative programmes to child offenders by Social Workers among other professionals.</w:t>
      </w:r>
    </w:p>
    <w:p w:rsidR="007C2094" w:rsidRPr="007404FA" w:rsidRDefault="007C2094" w:rsidP="004E38A9">
      <w:pPr>
        <w:ind w:left="720" w:hanging="720"/>
        <w:jc w:val="both"/>
        <w:rPr>
          <w:rFonts w:eastAsia="Calibri" w:cs="Arial"/>
          <w:color w:val="000000"/>
          <w:sz w:val="24"/>
          <w:szCs w:val="24"/>
          <w:lang w:val="en-GB"/>
        </w:rPr>
      </w:pPr>
    </w:p>
    <w:p w:rsidR="007C2094" w:rsidRPr="007404FA" w:rsidRDefault="007C2094" w:rsidP="004E38A9">
      <w:pPr>
        <w:ind w:left="720" w:hanging="720"/>
        <w:jc w:val="both"/>
        <w:rPr>
          <w:rFonts w:eastAsia="Calibri" w:cs="Arial"/>
          <w:color w:val="000000"/>
          <w:sz w:val="24"/>
          <w:szCs w:val="24"/>
          <w:lang w:val="en-GB"/>
        </w:rPr>
      </w:pPr>
      <w:r w:rsidRPr="007404FA">
        <w:rPr>
          <w:rFonts w:eastAsia="Calibri" w:cs="Arial"/>
          <w:color w:val="000000"/>
          <w:sz w:val="24"/>
          <w:szCs w:val="24"/>
          <w:lang w:val="en-GB"/>
        </w:rPr>
        <w:tab/>
        <w:t>The following programmes and services were rendered to sentenced children, including parolees, probationers and children in remand detention for the Financial Year 2021/2022 by Social Workers.</w:t>
      </w:r>
    </w:p>
    <w:p w:rsidR="007C2094" w:rsidRPr="007404FA" w:rsidRDefault="007C2094" w:rsidP="007C2094">
      <w:pPr>
        <w:spacing w:after="240" w:line="312" w:lineRule="auto"/>
        <w:jc w:val="both"/>
        <w:rPr>
          <w:rFonts w:cs="Arial"/>
          <w:sz w:val="24"/>
          <w:szCs w:val="24"/>
        </w:rPr>
      </w:pPr>
      <w:r w:rsidRPr="007404FA">
        <w:rPr>
          <w:rFonts w:cs="Arial"/>
          <w:sz w:val="24"/>
          <w:szCs w:val="24"/>
        </w:rPr>
        <w:tab/>
        <w:t xml:space="preserve"> </w:t>
      </w:r>
    </w:p>
    <w:tbl>
      <w:tblPr>
        <w:tblW w:w="442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1720"/>
        <w:gridCol w:w="1954"/>
        <w:gridCol w:w="1841"/>
      </w:tblGrid>
      <w:tr w:rsidR="007C2094" w:rsidRPr="007C2094" w:rsidTr="000B31D7">
        <w:trPr>
          <w:trHeight w:val="342"/>
        </w:trPr>
        <w:tc>
          <w:tcPr>
            <w:tcW w:w="1743" w:type="pct"/>
            <w:vMerge w:val="restart"/>
            <w:shd w:val="clear" w:color="auto" w:fill="D5DCE4"/>
          </w:tcPr>
          <w:p w:rsidR="007C2094" w:rsidRPr="007C2094" w:rsidRDefault="007C2094" w:rsidP="007C2094">
            <w:pPr>
              <w:jc w:val="both"/>
              <w:rPr>
                <w:rFonts w:cs="Arial"/>
                <w:b/>
                <w:sz w:val="20"/>
                <w:szCs w:val="20"/>
              </w:rPr>
            </w:pPr>
            <w:r w:rsidRPr="007C2094">
              <w:rPr>
                <w:rFonts w:cs="Arial"/>
                <w:b/>
                <w:sz w:val="20"/>
                <w:szCs w:val="20"/>
              </w:rPr>
              <w:t>Programmes and services</w:t>
            </w:r>
          </w:p>
        </w:tc>
        <w:tc>
          <w:tcPr>
            <w:tcW w:w="2170" w:type="pct"/>
            <w:gridSpan w:val="2"/>
            <w:shd w:val="clear" w:color="auto" w:fill="D5DCE4"/>
          </w:tcPr>
          <w:p w:rsidR="007C2094" w:rsidRPr="007C2094" w:rsidRDefault="007C2094" w:rsidP="007C2094">
            <w:pPr>
              <w:jc w:val="both"/>
              <w:rPr>
                <w:rFonts w:cs="Arial"/>
                <w:b/>
                <w:sz w:val="20"/>
                <w:szCs w:val="20"/>
              </w:rPr>
            </w:pPr>
            <w:r w:rsidRPr="007C2094">
              <w:rPr>
                <w:rFonts w:cs="Arial"/>
                <w:b/>
                <w:sz w:val="20"/>
                <w:szCs w:val="20"/>
              </w:rPr>
              <w:t xml:space="preserve">Sentenced Children </w:t>
            </w:r>
          </w:p>
          <w:p w:rsidR="007C2094" w:rsidRPr="007C2094" w:rsidRDefault="007C2094" w:rsidP="007C2094">
            <w:pPr>
              <w:jc w:val="both"/>
              <w:rPr>
                <w:rFonts w:cs="Arial"/>
                <w:b/>
                <w:sz w:val="20"/>
                <w:szCs w:val="20"/>
              </w:rPr>
            </w:pPr>
          </w:p>
          <w:p w:rsidR="007C2094" w:rsidRPr="007C2094" w:rsidRDefault="007C2094" w:rsidP="007C2094">
            <w:pPr>
              <w:jc w:val="both"/>
              <w:rPr>
                <w:rFonts w:cs="Arial"/>
                <w:b/>
                <w:sz w:val="20"/>
                <w:szCs w:val="20"/>
              </w:rPr>
            </w:pPr>
          </w:p>
        </w:tc>
        <w:tc>
          <w:tcPr>
            <w:tcW w:w="1087" w:type="pct"/>
            <w:vMerge w:val="restart"/>
            <w:shd w:val="clear" w:color="auto" w:fill="D5DCE4"/>
          </w:tcPr>
          <w:p w:rsidR="007C2094" w:rsidRPr="007C2094" w:rsidRDefault="007C2094" w:rsidP="007C2094">
            <w:pPr>
              <w:jc w:val="both"/>
              <w:rPr>
                <w:rFonts w:cs="Arial"/>
                <w:b/>
                <w:sz w:val="20"/>
                <w:szCs w:val="20"/>
              </w:rPr>
            </w:pPr>
            <w:r w:rsidRPr="007C2094">
              <w:rPr>
                <w:rFonts w:cs="Arial"/>
                <w:b/>
                <w:sz w:val="20"/>
                <w:szCs w:val="20"/>
              </w:rPr>
              <w:t>Remand Children</w:t>
            </w:r>
          </w:p>
        </w:tc>
      </w:tr>
      <w:tr w:rsidR="007C2094" w:rsidRPr="007C2094" w:rsidTr="000B31D7">
        <w:trPr>
          <w:trHeight w:val="342"/>
        </w:trPr>
        <w:tc>
          <w:tcPr>
            <w:tcW w:w="1743" w:type="pct"/>
            <w:vMerge/>
            <w:shd w:val="clear" w:color="auto" w:fill="D5DCE4"/>
          </w:tcPr>
          <w:p w:rsidR="007C2094" w:rsidRPr="007C2094" w:rsidRDefault="007C2094" w:rsidP="007C2094">
            <w:pPr>
              <w:jc w:val="both"/>
              <w:rPr>
                <w:rFonts w:cs="Arial"/>
                <w:b/>
                <w:sz w:val="20"/>
                <w:szCs w:val="20"/>
              </w:rPr>
            </w:pPr>
          </w:p>
        </w:tc>
        <w:tc>
          <w:tcPr>
            <w:tcW w:w="1016" w:type="pct"/>
            <w:shd w:val="clear" w:color="auto" w:fill="D5DCE4"/>
          </w:tcPr>
          <w:p w:rsidR="007C2094" w:rsidRPr="007C2094" w:rsidRDefault="007C2094" w:rsidP="007C2094">
            <w:pPr>
              <w:jc w:val="both"/>
              <w:rPr>
                <w:rFonts w:cs="Arial"/>
                <w:b/>
                <w:sz w:val="20"/>
                <w:szCs w:val="20"/>
              </w:rPr>
            </w:pPr>
            <w:r w:rsidRPr="007C2094">
              <w:rPr>
                <w:rFonts w:cs="Arial"/>
                <w:b/>
                <w:sz w:val="20"/>
                <w:szCs w:val="20"/>
              </w:rPr>
              <w:t>Correctional</w:t>
            </w:r>
          </w:p>
          <w:p w:rsidR="007C2094" w:rsidRPr="007C2094" w:rsidRDefault="007C2094" w:rsidP="007C2094">
            <w:pPr>
              <w:jc w:val="both"/>
              <w:rPr>
                <w:rFonts w:cs="Arial"/>
                <w:b/>
                <w:sz w:val="20"/>
                <w:szCs w:val="20"/>
              </w:rPr>
            </w:pPr>
            <w:r w:rsidRPr="007C2094">
              <w:rPr>
                <w:rFonts w:cs="Arial"/>
                <w:b/>
                <w:sz w:val="20"/>
                <w:szCs w:val="20"/>
              </w:rPr>
              <w:t>Centres</w:t>
            </w:r>
          </w:p>
        </w:tc>
        <w:tc>
          <w:tcPr>
            <w:tcW w:w="1154" w:type="pct"/>
            <w:shd w:val="clear" w:color="auto" w:fill="D5DCE4"/>
          </w:tcPr>
          <w:p w:rsidR="007C2094" w:rsidRPr="007C2094" w:rsidRDefault="007C2094" w:rsidP="007C2094">
            <w:pPr>
              <w:jc w:val="both"/>
              <w:rPr>
                <w:rFonts w:cs="Arial"/>
                <w:b/>
                <w:sz w:val="20"/>
                <w:szCs w:val="20"/>
              </w:rPr>
            </w:pPr>
            <w:r w:rsidRPr="007C2094">
              <w:rPr>
                <w:rFonts w:cs="Arial"/>
                <w:b/>
                <w:sz w:val="20"/>
                <w:szCs w:val="20"/>
              </w:rPr>
              <w:t>Community Corrections</w:t>
            </w:r>
          </w:p>
        </w:tc>
        <w:tc>
          <w:tcPr>
            <w:tcW w:w="1087" w:type="pct"/>
            <w:vMerge/>
            <w:shd w:val="clear" w:color="auto" w:fill="D5DCE4"/>
          </w:tcPr>
          <w:p w:rsidR="007C2094" w:rsidRPr="007C2094" w:rsidRDefault="007C2094" w:rsidP="007C2094">
            <w:pPr>
              <w:jc w:val="both"/>
              <w:rPr>
                <w:rFonts w:cs="Arial"/>
                <w:b/>
                <w:sz w:val="20"/>
                <w:szCs w:val="20"/>
              </w:rPr>
            </w:pP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Substance Abuse</w:t>
            </w:r>
          </w:p>
        </w:tc>
        <w:tc>
          <w:tcPr>
            <w:tcW w:w="1016" w:type="pct"/>
          </w:tcPr>
          <w:p w:rsidR="007C2094" w:rsidRPr="007C2094" w:rsidRDefault="007C2094" w:rsidP="00274745">
            <w:pPr>
              <w:ind w:left="-138"/>
              <w:jc w:val="center"/>
              <w:rPr>
                <w:rFonts w:cs="Arial"/>
                <w:sz w:val="20"/>
                <w:szCs w:val="20"/>
              </w:rPr>
            </w:pPr>
            <w:r w:rsidRPr="007C2094">
              <w:rPr>
                <w:rFonts w:cs="Arial"/>
                <w:sz w:val="20"/>
                <w:szCs w:val="20"/>
              </w:rPr>
              <w:t>3</w:t>
            </w:r>
          </w:p>
        </w:tc>
        <w:tc>
          <w:tcPr>
            <w:tcW w:w="1154" w:type="pct"/>
          </w:tcPr>
          <w:p w:rsidR="007C2094" w:rsidRPr="007C2094" w:rsidRDefault="007C2094" w:rsidP="00274745">
            <w:pPr>
              <w:ind w:left="-138"/>
              <w:jc w:val="center"/>
              <w:rPr>
                <w:rFonts w:cs="Arial"/>
                <w:sz w:val="20"/>
                <w:szCs w:val="20"/>
              </w:rPr>
            </w:pPr>
            <w:r w:rsidRPr="007C2094">
              <w:rPr>
                <w:rFonts w:cs="Arial"/>
                <w:sz w:val="20"/>
                <w:szCs w:val="20"/>
              </w:rPr>
              <w:t>1</w:t>
            </w:r>
          </w:p>
        </w:tc>
        <w:tc>
          <w:tcPr>
            <w:tcW w:w="1087" w:type="pct"/>
          </w:tcPr>
          <w:p w:rsidR="007C2094" w:rsidRPr="007C2094" w:rsidRDefault="007C2094" w:rsidP="00274745">
            <w:pPr>
              <w:jc w:val="center"/>
              <w:rPr>
                <w:rFonts w:cs="Arial"/>
                <w:sz w:val="20"/>
                <w:szCs w:val="20"/>
              </w:rPr>
            </w:pPr>
            <w:r w:rsidRPr="007C2094">
              <w:rPr>
                <w:rFonts w:cs="Arial"/>
                <w:sz w:val="20"/>
                <w:szCs w:val="20"/>
              </w:rPr>
              <w:t>5</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 xml:space="preserve">Life-Skills </w:t>
            </w:r>
          </w:p>
        </w:tc>
        <w:tc>
          <w:tcPr>
            <w:tcW w:w="1016" w:type="pct"/>
          </w:tcPr>
          <w:p w:rsidR="007C2094" w:rsidRPr="007C2094" w:rsidRDefault="007C2094" w:rsidP="00274745">
            <w:pPr>
              <w:jc w:val="center"/>
              <w:rPr>
                <w:rFonts w:cs="Arial"/>
                <w:sz w:val="20"/>
                <w:szCs w:val="20"/>
              </w:rPr>
            </w:pPr>
            <w:r w:rsidRPr="007C2094">
              <w:rPr>
                <w:rFonts w:cs="Arial"/>
                <w:sz w:val="20"/>
                <w:szCs w:val="20"/>
              </w:rPr>
              <w:t>25</w:t>
            </w:r>
          </w:p>
        </w:tc>
        <w:tc>
          <w:tcPr>
            <w:tcW w:w="1154" w:type="pct"/>
          </w:tcPr>
          <w:p w:rsidR="007C2094" w:rsidRPr="007C2094" w:rsidRDefault="007C2094" w:rsidP="00274745">
            <w:pPr>
              <w:jc w:val="center"/>
              <w:rPr>
                <w:rFonts w:cs="Arial"/>
                <w:sz w:val="20"/>
                <w:szCs w:val="20"/>
              </w:rPr>
            </w:pPr>
            <w:r w:rsidRPr="007C2094">
              <w:rPr>
                <w:rFonts w:cs="Arial"/>
                <w:sz w:val="20"/>
                <w:szCs w:val="20"/>
              </w:rPr>
              <w:t>16</w:t>
            </w:r>
          </w:p>
        </w:tc>
        <w:tc>
          <w:tcPr>
            <w:tcW w:w="1087" w:type="pct"/>
          </w:tcPr>
          <w:p w:rsidR="007C2094" w:rsidRPr="007C2094" w:rsidRDefault="007C2094" w:rsidP="00274745">
            <w:pPr>
              <w:jc w:val="center"/>
              <w:rPr>
                <w:rFonts w:cs="Arial"/>
                <w:sz w:val="20"/>
                <w:szCs w:val="20"/>
              </w:rPr>
            </w:pPr>
            <w:r w:rsidRPr="007C2094">
              <w:rPr>
                <w:rFonts w:cs="Arial"/>
                <w:sz w:val="20"/>
                <w:szCs w:val="20"/>
              </w:rPr>
              <w:t>20</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 xml:space="preserve">Marriage and Family Care </w:t>
            </w:r>
          </w:p>
        </w:tc>
        <w:tc>
          <w:tcPr>
            <w:tcW w:w="1016" w:type="pct"/>
          </w:tcPr>
          <w:p w:rsidR="007C2094" w:rsidRPr="007C2094" w:rsidRDefault="007C2094" w:rsidP="00274745">
            <w:pPr>
              <w:jc w:val="center"/>
              <w:rPr>
                <w:rFonts w:cs="Arial"/>
                <w:sz w:val="20"/>
                <w:szCs w:val="20"/>
              </w:rPr>
            </w:pPr>
            <w:r w:rsidRPr="007C2094">
              <w:rPr>
                <w:rFonts w:cs="Arial"/>
                <w:sz w:val="20"/>
                <w:szCs w:val="20"/>
              </w:rPr>
              <w:t>25</w:t>
            </w:r>
          </w:p>
        </w:tc>
        <w:tc>
          <w:tcPr>
            <w:tcW w:w="1154" w:type="pct"/>
          </w:tcPr>
          <w:p w:rsidR="007C2094" w:rsidRPr="007C2094" w:rsidRDefault="007C2094" w:rsidP="00274745">
            <w:pPr>
              <w:jc w:val="center"/>
              <w:rPr>
                <w:rFonts w:cs="Arial"/>
                <w:sz w:val="20"/>
                <w:szCs w:val="20"/>
              </w:rPr>
            </w:pPr>
            <w:r w:rsidRPr="007C2094">
              <w:rPr>
                <w:rFonts w:cs="Arial"/>
                <w:sz w:val="20"/>
                <w:szCs w:val="20"/>
              </w:rPr>
              <w:t>17</w:t>
            </w:r>
          </w:p>
        </w:tc>
        <w:tc>
          <w:tcPr>
            <w:tcW w:w="1087" w:type="pct"/>
          </w:tcPr>
          <w:p w:rsidR="007C2094" w:rsidRPr="007C2094" w:rsidRDefault="007C2094" w:rsidP="00274745">
            <w:pPr>
              <w:jc w:val="center"/>
              <w:rPr>
                <w:rFonts w:cs="Arial"/>
                <w:sz w:val="20"/>
                <w:szCs w:val="20"/>
              </w:rPr>
            </w:pPr>
            <w:r w:rsidRPr="007C2094">
              <w:rPr>
                <w:rFonts w:cs="Arial"/>
                <w:sz w:val="20"/>
                <w:szCs w:val="20"/>
              </w:rPr>
              <w:t>18</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Sexual Offender</w:t>
            </w:r>
          </w:p>
        </w:tc>
        <w:tc>
          <w:tcPr>
            <w:tcW w:w="1016" w:type="pct"/>
          </w:tcPr>
          <w:p w:rsidR="007C2094" w:rsidRPr="007C2094" w:rsidRDefault="007C2094" w:rsidP="00274745">
            <w:pPr>
              <w:jc w:val="center"/>
              <w:rPr>
                <w:rFonts w:cs="Arial"/>
                <w:sz w:val="20"/>
                <w:szCs w:val="20"/>
              </w:rPr>
            </w:pPr>
            <w:r w:rsidRPr="007C2094">
              <w:rPr>
                <w:rFonts w:cs="Arial"/>
                <w:sz w:val="20"/>
                <w:szCs w:val="20"/>
              </w:rPr>
              <w:t>3</w:t>
            </w:r>
          </w:p>
        </w:tc>
        <w:tc>
          <w:tcPr>
            <w:tcW w:w="1154" w:type="pct"/>
          </w:tcPr>
          <w:p w:rsidR="007C2094" w:rsidRPr="007C2094" w:rsidRDefault="007C2094" w:rsidP="00274745">
            <w:pPr>
              <w:jc w:val="center"/>
              <w:rPr>
                <w:rFonts w:cs="Arial"/>
                <w:sz w:val="20"/>
                <w:szCs w:val="20"/>
              </w:rPr>
            </w:pPr>
            <w:r w:rsidRPr="007C2094">
              <w:rPr>
                <w:rFonts w:cs="Arial"/>
                <w:sz w:val="20"/>
                <w:szCs w:val="20"/>
              </w:rPr>
              <w:t>7</w:t>
            </w:r>
          </w:p>
        </w:tc>
        <w:tc>
          <w:tcPr>
            <w:tcW w:w="1087" w:type="pct"/>
          </w:tcPr>
          <w:p w:rsidR="007C2094" w:rsidRPr="007C2094" w:rsidRDefault="007404FA" w:rsidP="00274745">
            <w:pPr>
              <w:jc w:val="center"/>
              <w:rPr>
                <w:rFonts w:cs="Arial"/>
                <w:sz w:val="20"/>
                <w:szCs w:val="20"/>
              </w:rPr>
            </w:pPr>
            <w:r>
              <w:rPr>
                <w:rFonts w:cs="Arial"/>
                <w:sz w:val="20"/>
                <w:szCs w:val="20"/>
              </w:rPr>
              <w:t>0</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Anger Management,</w:t>
            </w:r>
          </w:p>
        </w:tc>
        <w:tc>
          <w:tcPr>
            <w:tcW w:w="1016" w:type="pct"/>
          </w:tcPr>
          <w:p w:rsidR="007C2094" w:rsidRPr="007C2094" w:rsidRDefault="007C2094" w:rsidP="00274745">
            <w:pPr>
              <w:jc w:val="center"/>
              <w:rPr>
                <w:rFonts w:cs="Arial"/>
                <w:sz w:val="20"/>
                <w:szCs w:val="20"/>
              </w:rPr>
            </w:pPr>
            <w:r w:rsidRPr="007C2094">
              <w:rPr>
                <w:rFonts w:cs="Arial"/>
                <w:sz w:val="20"/>
                <w:szCs w:val="20"/>
              </w:rPr>
              <w:t>9</w:t>
            </w:r>
          </w:p>
        </w:tc>
        <w:tc>
          <w:tcPr>
            <w:tcW w:w="1154" w:type="pct"/>
          </w:tcPr>
          <w:p w:rsidR="007C2094" w:rsidRPr="007C2094" w:rsidRDefault="007C2094" w:rsidP="00274745">
            <w:pPr>
              <w:jc w:val="center"/>
              <w:rPr>
                <w:rFonts w:cs="Arial"/>
                <w:sz w:val="20"/>
                <w:szCs w:val="20"/>
              </w:rPr>
            </w:pPr>
            <w:r w:rsidRPr="007C2094">
              <w:rPr>
                <w:rFonts w:cs="Arial"/>
                <w:sz w:val="20"/>
                <w:szCs w:val="20"/>
              </w:rPr>
              <w:t>4</w:t>
            </w:r>
          </w:p>
        </w:tc>
        <w:tc>
          <w:tcPr>
            <w:tcW w:w="1087" w:type="pct"/>
          </w:tcPr>
          <w:p w:rsidR="007C2094" w:rsidRPr="007C2094" w:rsidRDefault="007C2094" w:rsidP="00274745">
            <w:pPr>
              <w:jc w:val="center"/>
              <w:rPr>
                <w:rFonts w:cs="Arial"/>
                <w:sz w:val="20"/>
                <w:szCs w:val="20"/>
              </w:rPr>
            </w:pPr>
            <w:r w:rsidRPr="007C2094">
              <w:rPr>
                <w:rFonts w:cs="Arial"/>
                <w:sz w:val="20"/>
                <w:szCs w:val="20"/>
              </w:rPr>
              <w:t>6</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Orientation Treatment</w:t>
            </w:r>
          </w:p>
        </w:tc>
        <w:tc>
          <w:tcPr>
            <w:tcW w:w="1016" w:type="pct"/>
          </w:tcPr>
          <w:p w:rsidR="007C2094" w:rsidRPr="007C2094" w:rsidRDefault="007404FA" w:rsidP="00274745">
            <w:pPr>
              <w:jc w:val="center"/>
              <w:rPr>
                <w:rFonts w:cs="Arial"/>
                <w:sz w:val="20"/>
                <w:szCs w:val="20"/>
              </w:rPr>
            </w:pPr>
            <w:r>
              <w:rPr>
                <w:rFonts w:cs="Arial"/>
                <w:sz w:val="20"/>
                <w:szCs w:val="20"/>
              </w:rPr>
              <w:t>0</w:t>
            </w:r>
          </w:p>
        </w:tc>
        <w:tc>
          <w:tcPr>
            <w:tcW w:w="1154" w:type="pct"/>
          </w:tcPr>
          <w:p w:rsidR="007C2094" w:rsidRPr="007C2094" w:rsidRDefault="007C2094" w:rsidP="00274745">
            <w:pPr>
              <w:jc w:val="center"/>
              <w:rPr>
                <w:rFonts w:cs="Arial"/>
                <w:sz w:val="20"/>
                <w:szCs w:val="20"/>
              </w:rPr>
            </w:pPr>
            <w:r w:rsidRPr="007C2094">
              <w:rPr>
                <w:rFonts w:cs="Arial"/>
                <w:sz w:val="20"/>
                <w:szCs w:val="20"/>
              </w:rPr>
              <w:t>2</w:t>
            </w:r>
          </w:p>
        </w:tc>
        <w:tc>
          <w:tcPr>
            <w:tcW w:w="1087" w:type="pct"/>
          </w:tcPr>
          <w:p w:rsidR="007C2094" w:rsidRPr="007C2094" w:rsidRDefault="007404FA" w:rsidP="00274745">
            <w:pPr>
              <w:jc w:val="center"/>
              <w:rPr>
                <w:rFonts w:cs="Arial"/>
                <w:sz w:val="20"/>
                <w:szCs w:val="20"/>
              </w:rPr>
            </w:pPr>
            <w:r>
              <w:rPr>
                <w:rFonts w:cs="Arial"/>
                <w:sz w:val="20"/>
                <w:szCs w:val="20"/>
              </w:rPr>
              <w:t>0</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Cool and fit for life</w:t>
            </w:r>
          </w:p>
        </w:tc>
        <w:tc>
          <w:tcPr>
            <w:tcW w:w="1016" w:type="pct"/>
          </w:tcPr>
          <w:p w:rsidR="007C2094" w:rsidRPr="007C2094" w:rsidRDefault="007404FA" w:rsidP="00274745">
            <w:pPr>
              <w:jc w:val="center"/>
              <w:rPr>
                <w:rFonts w:cs="Arial"/>
                <w:sz w:val="20"/>
                <w:szCs w:val="20"/>
              </w:rPr>
            </w:pPr>
            <w:r>
              <w:rPr>
                <w:rFonts w:cs="Arial"/>
                <w:sz w:val="20"/>
                <w:szCs w:val="20"/>
              </w:rPr>
              <w:t>0</w:t>
            </w:r>
          </w:p>
        </w:tc>
        <w:tc>
          <w:tcPr>
            <w:tcW w:w="1154" w:type="pct"/>
          </w:tcPr>
          <w:p w:rsidR="007C2094" w:rsidRPr="007C2094" w:rsidRDefault="007C2094" w:rsidP="00274745">
            <w:pPr>
              <w:jc w:val="center"/>
              <w:rPr>
                <w:rFonts w:cs="Arial"/>
                <w:sz w:val="20"/>
                <w:szCs w:val="20"/>
              </w:rPr>
            </w:pPr>
            <w:r w:rsidRPr="007C2094">
              <w:rPr>
                <w:rFonts w:cs="Arial"/>
                <w:sz w:val="20"/>
                <w:szCs w:val="20"/>
              </w:rPr>
              <w:t>1</w:t>
            </w:r>
          </w:p>
        </w:tc>
        <w:tc>
          <w:tcPr>
            <w:tcW w:w="1087" w:type="pct"/>
          </w:tcPr>
          <w:p w:rsidR="007C2094" w:rsidRPr="007C2094" w:rsidRDefault="007404FA" w:rsidP="00274745">
            <w:pPr>
              <w:jc w:val="center"/>
              <w:rPr>
                <w:rFonts w:cs="Arial"/>
                <w:sz w:val="20"/>
                <w:szCs w:val="20"/>
              </w:rPr>
            </w:pPr>
            <w:r>
              <w:rPr>
                <w:rFonts w:cs="Arial"/>
                <w:sz w:val="20"/>
                <w:szCs w:val="20"/>
              </w:rPr>
              <w:t>0</w:t>
            </w:r>
          </w:p>
        </w:tc>
      </w:tr>
      <w:tr w:rsidR="007C2094" w:rsidRPr="007C2094" w:rsidTr="007404FA">
        <w:trPr>
          <w:trHeight w:val="144"/>
        </w:trPr>
        <w:tc>
          <w:tcPr>
            <w:tcW w:w="1743" w:type="pct"/>
            <w:shd w:val="clear" w:color="auto" w:fill="auto"/>
          </w:tcPr>
          <w:p w:rsidR="007C2094" w:rsidRPr="00783DB9" w:rsidRDefault="007C2094" w:rsidP="007C2094">
            <w:pPr>
              <w:jc w:val="both"/>
              <w:rPr>
                <w:rFonts w:cs="Arial"/>
                <w:sz w:val="20"/>
                <w:szCs w:val="20"/>
              </w:rPr>
            </w:pPr>
            <w:r w:rsidRPr="00783DB9">
              <w:rPr>
                <w:rFonts w:cs="Arial"/>
                <w:sz w:val="20"/>
                <w:szCs w:val="20"/>
              </w:rPr>
              <w:t xml:space="preserve">Parenting </w:t>
            </w:r>
          </w:p>
        </w:tc>
        <w:tc>
          <w:tcPr>
            <w:tcW w:w="1016" w:type="pct"/>
            <w:shd w:val="clear" w:color="auto" w:fill="auto"/>
          </w:tcPr>
          <w:p w:rsidR="007C2094" w:rsidRPr="00783DB9" w:rsidRDefault="007C2094" w:rsidP="00274745">
            <w:pPr>
              <w:jc w:val="center"/>
              <w:rPr>
                <w:rFonts w:cs="Arial"/>
                <w:sz w:val="20"/>
                <w:szCs w:val="20"/>
              </w:rPr>
            </w:pPr>
            <w:r w:rsidRPr="00783DB9">
              <w:rPr>
                <w:rFonts w:cs="Arial"/>
                <w:sz w:val="20"/>
                <w:szCs w:val="20"/>
              </w:rPr>
              <w:t>1</w:t>
            </w:r>
          </w:p>
        </w:tc>
        <w:tc>
          <w:tcPr>
            <w:tcW w:w="1154" w:type="pct"/>
            <w:shd w:val="clear" w:color="auto" w:fill="auto"/>
          </w:tcPr>
          <w:p w:rsidR="007C2094" w:rsidRPr="007C2094" w:rsidRDefault="007404FA" w:rsidP="00274745">
            <w:pPr>
              <w:jc w:val="center"/>
              <w:rPr>
                <w:rFonts w:cs="Arial"/>
                <w:sz w:val="20"/>
                <w:szCs w:val="20"/>
              </w:rPr>
            </w:pPr>
            <w:r>
              <w:rPr>
                <w:rFonts w:cs="Arial"/>
                <w:sz w:val="20"/>
                <w:szCs w:val="20"/>
              </w:rPr>
              <w:t>0</w:t>
            </w:r>
          </w:p>
        </w:tc>
        <w:tc>
          <w:tcPr>
            <w:tcW w:w="1087" w:type="pct"/>
            <w:shd w:val="clear" w:color="auto" w:fill="auto"/>
          </w:tcPr>
          <w:p w:rsidR="007C2094" w:rsidRPr="007C2094" w:rsidRDefault="007404FA" w:rsidP="00274745">
            <w:pPr>
              <w:jc w:val="center"/>
              <w:rPr>
                <w:rFonts w:cs="Arial"/>
                <w:sz w:val="20"/>
                <w:szCs w:val="20"/>
              </w:rPr>
            </w:pPr>
            <w:r>
              <w:rPr>
                <w:rFonts w:cs="Arial"/>
                <w:sz w:val="20"/>
                <w:szCs w:val="20"/>
              </w:rPr>
              <w:t>0</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Supportive Services</w:t>
            </w:r>
          </w:p>
        </w:tc>
        <w:tc>
          <w:tcPr>
            <w:tcW w:w="1016" w:type="pct"/>
          </w:tcPr>
          <w:p w:rsidR="007C2094" w:rsidRPr="007C2094" w:rsidRDefault="007C2094" w:rsidP="00274745">
            <w:pPr>
              <w:jc w:val="center"/>
              <w:rPr>
                <w:rFonts w:cs="Arial"/>
                <w:sz w:val="20"/>
                <w:szCs w:val="20"/>
              </w:rPr>
            </w:pPr>
            <w:r w:rsidRPr="007C2094">
              <w:rPr>
                <w:rFonts w:cs="Arial"/>
                <w:sz w:val="20"/>
                <w:szCs w:val="20"/>
              </w:rPr>
              <w:t>13</w:t>
            </w:r>
          </w:p>
        </w:tc>
        <w:tc>
          <w:tcPr>
            <w:tcW w:w="1154" w:type="pct"/>
          </w:tcPr>
          <w:p w:rsidR="007C2094" w:rsidRPr="007C2094" w:rsidRDefault="007C2094" w:rsidP="00274745">
            <w:pPr>
              <w:jc w:val="center"/>
              <w:rPr>
                <w:rFonts w:cs="Arial"/>
                <w:sz w:val="20"/>
                <w:szCs w:val="20"/>
              </w:rPr>
            </w:pPr>
            <w:r w:rsidRPr="007C2094">
              <w:rPr>
                <w:rFonts w:cs="Arial"/>
                <w:sz w:val="20"/>
                <w:szCs w:val="20"/>
              </w:rPr>
              <w:t>4</w:t>
            </w:r>
          </w:p>
        </w:tc>
        <w:tc>
          <w:tcPr>
            <w:tcW w:w="1087" w:type="pct"/>
          </w:tcPr>
          <w:p w:rsidR="007C2094" w:rsidRPr="007C2094" w:rsidRDefault="007404FA" w:rsidP="00274745">
            <w:pPr>
              <w:jc w:val="center"/>
              <w:rPr>
                <w:rFonts w:cs="Arial"/>
                <w:sz w:val="20"/>
                <w:szCs w:val="20"/>
              </w:rPr>
            </w:pPr>
            <w:r>
              <w:rPr>
                <w:rFonts w:cs="Arial"/>
                <w:sz w:val="20"/>
                <w:szCs w:val="20"/>
              </w:rPr>
              <w:t>0</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 xml:space="preserve">Trauma </w:t>
            </w:r>
          </w:p>
        </w:tc>
        <w:tc>
          <w:tcPr>
            <w:tcW w:w="1016" w:type="pct"/>
          </w:tcPr>
          <w:p w:rsidR="007C2094" w:rsidRPr="007C2094" w:rsidRDefault="007C2094" w:rsidP="00274745">
            <w:pPr>
              <w:jc w:val="center"/>
              <w:rPr>
                <w:rFonts w:cs="Arial"/>
                <w:sz w:val="20"/>
                <w:szCs w:val="20"/>
              </w:rPr>
            </w:pPr>
            <w:r w:rsidRPr="007C2094">
              <w:rPr>
                <w:rFonts w:cs="Arial"/>
                <w:sz w:val="20"/>
                <w:szCs w:val="20"/>
              </w:rPr>
              <w:t>2</w:t>
            </w:r>
          </w:p>
        </w:tc>
        <w:tc>
          <w:tcPr>
            <w:tcW w:w="1154" w:type="pct"/>
          </w:tcPr>
          <w:p w:rsidR="007C2094" w:rsidRPr="007C2094" w:rsidRDefault="007404FA" w:rsidP="00274745">
            <w:pPr>
              <w:jc w:val="center"/>
              <w:rPr>
                <w:rFonts w:cs="Arial"/>
                <w:sz w:val="20"/>
                <w:szCs w:val="20"/>
              </w:rPr>
            </w:pPr>
            <w:r>
              <w:rPr>
                <w:rFonts w:cs="Arial"/>
                <w:sz w:val="20"/>
                <w:szCs w:val="20"/>
              </w:rPr>
              <w:t>0</w:t>
            </w:r>
          </w:p>
        </w:tc>
        <w:tc>
          <w:tcPr>
            <w:tcW w:w="1087" w:type="pct"/>
          </w:tcPr>
          <w:p w:rsidR="007C2094" w:rsidRPr="007C2094" w:rsidRDefault="007C2094" w:rsidP="00274745">
            <w:pPr>
              <w:jc w:val="center"/>
              <w:rPr>
                <w:rFonts w:cs="Arial"/>
                <w:sz w:val="20"/>
                <w:szCs w:val="20"/>
              </w:rPr>
            </w:pPr>
            <w:r w:rsidRPr="007C2094">
              <w:rPr>
                <w:rFonts w:cs="Arial"/>
                <w:sz w:val="20"/>
                <w:szCs w:val="20"/>
              </w:rPr>
              <w:t>2</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sz w:val="20"/>
                <w:szCs w:val="20"/>
              </w:rPr>
            </w:pPr>
            <w:r w:rsidRPr="007C2094">
              <w:rPr>
                <w:rFonts w:cs="Arial"/>
                <w:sz w:val="20"/>
                <w:szCs w:val="20"/>
              </w:rPr>
              <w:t>Assessment</w:t>
            </w:r>
          </w:p>
        </w:tc>
        <w:tc>
          <w:tcPr>
            <w:tcW w:w="1016" w:type="pct"/>
          </w:tcPr>
          <w:p w:rsidR="007C2094" w:rsidRPr="007C2094" w:rsidRDefault="007C2094" w:rsidP="00274745">
            <w:pPr>
              <w:jc w:val="center"/>
              <w:rPr>
                <w:rFonts w:cs="Arial"/>
                <w:sz w:val="20"/>
                <w:szCs w:val="20"/>
              </w:rPr>
            </w:pPr>
            <w:r w:rsidRPr="007C2094">
              <w:rPr>
                <w:rFonts w:cs="Arial"/>
                <w:sz w:val="20"/>
                <w:szCs w:val="20"/>
              </w:rPr>
              <w:t>64</w:t>
            </w:r>
          </w:p>
        </w:tc>
        <w:tc>
          <w:tcPr>
            <w:tcW w:w="1154" w:type="pct"/>
          </w:tcPr>
          <w:p w:rsidR="007C2094" w:rsidRPr="007C2094" w:rsidRDefault="007C2094" w:rsidP="00274745">
            <w:pPr>
              <w:jc w:val="center"/>
              <w:rPr>
                <w:rFonts w:cs="Arial"/>
                <w:sz w:val="20"/>
                <w:szCs w:val="20"/>
              </w:rPr>
            </w:pPr>
            <w:r w:rsidRPr="007C2094">
              <w:rPr>
                <w:rFonts w:cs="Arial"/>
                <w:sz w:val="20"/>
                <w:szCs w:val="20"/>
              </w:rPr>
              <w:t>19</w:t>
            </w:r>
          </w:p>
        </w:tc>
        <w:tc>
          <w:tcPr>
            <w:tcW w:w="1087" w:type="pct"/>
          </w:tcPr>
          <w:p w:rsidR="007C2094" w:rsidRPr="007C2094" w:rsidRDefault="007404FA" w:rsidP="00274745">
            <w:pPr>
              <w:jc w:val="center"/>
              <w:rPr>
                <w:rFonts w:cs="Arial"/>
                <w:sz w:val="20"/>
                <w:szCs w:val="20"/>
              </w:rPr>
            </w:pPr>
            <w:r>
              <w:rPr>
                <w:rFonts w:cs="Arial"/>
                <w:sz w:val="20"/>
                <w:szCs w:val="20"/>
              </w:rPr>
              <w:t>0</w:t>
            </w:r>
          </w:p>
        </w:tc>
      </w:tr>
      <w:tr w:rsidR="007C2094" w:rsidRPr="007C2094" w:rsidTr="000B31D7">
        <w:trPr>
          <w:trHeight w:val="144"/>
        </w:trPr>
        <w:tc>
          <w:tcPr>
            <w:tcW w:w="1743" w:type="pct"/>
            <w:shd w:val="clear" w:color="auto" w:fill="auto"/>
          </w:tcPr>
          <w:p w:rsidR="007C2094" w:rsidRPr="007C2094" w:rsidRDefault="007C2094" w:rsidP="007C2094">
            <w:pPr>
              <w:jc w:val="both"/>
              <w:rPr>
                <w:rFonts w:cs="Arial"/>
                <w:b/>
                <w:sz w:val="20"/>
                <w:szCs w:val="20"/>
              </w:rPr>
            </w:pPr>
            <w:r w:rsidRPr="007C2094">
              <w:rPr>
                <w:rFonts w:cs="Arial"/>
                <w:b/>
                <w:sz w:val="20"/>
                <w:szCs w:val="20"/>
              </w:rPr>
              <w:t xml:space="preserve">TOTAL </w:t>
            </w:r>
          </w:p>
        </w:tc>
        <w:tc>
          <w:tcPr>
            <w:tcW w:w="1016" w:type="pct"/>
          </w:tcPr>
          <w:p w:rsidR="007C2094" w:rsidRPr="007C2094" w:rsidRDefault="007C2094" w:rsidP="00274745">
            <w:pPr>
              <w:jc w:val="center"/>
              <w:rPr>
                <w:rFonts w:cs="Arial"/>
                <w:b/>
                <w:sz w:val="20"/>
                <w:szCs w:val="20"/>
              </w:rPr>
            </w:pPr>
            <w:r w:rsidRPr="007C2094">
              <w:rPr>
                <w:rFonts w:cs="Arial"/>
                <w:b/>
                <w:sz w:val="20"/>
                <w:szCs w:val="20"/>
              </w:rPr>
              <w:t>145</w:t>
            </w:r>
          </w:p>
        </w:tc>
        <w:tc>
          <w:tcPr>
            <w:tcW w:w="1154" w:type="pct"/>
          </w:tcPr>
          <w:p w:rsidR="007C2094" w:rsidRPr="007C2094" w:rsidRDefault="007C2094" w:rsidP="00274745">
            <w:pPr>
              <w:jc w:val="center"/>
              <w:rPr>
                <w:rFonts w:cs="Arial"/>
                <w:b/>
                <w:sz w:val="20"/>
                <w:szCs w:val="20"/>
              </w:rPr>
            </w:pPr>
            <w:r w:rsidRPr="007C2094">
              <w:rPr>
                <w:rFonts w:cs="Arial"/>
                <w:b/>
                <w:sz w:val="20"/>
                <w:szCs w:val="20"/>
              </w:rPr>
              <w:t>71</w:t>
            </w:r>
          </w:p>
        </w:tc>
        <w:tc>
          <w:tcPr>
            <w:tcW w:w="1087" w:type="pct"/>
          </w:tcPr>
          <w:p w:rsidR="007C2094" w:rsidRPr="007C2094" w:rsidRDefault="007C2094" w:rsidP="00274745">
            <w:pPr>
              <w:jc w:val="center"/>
              <w:rPr>
                <w:rFonts w:cs="Arial"/>
                <w:b/>
                <w:sz w:val="20"/>
                <w:szCs w:val="20"/>
              </w:rPr>
            </w:pPr>
            <w:r w:rsidRPr="007C2094">
              <w:rPr>
                <w:rFonts w:cs="Arial"/>
                <w:b/>
                <w:sz w:val="20"/>
                <w:szCs w:val="20"/>
              </w:rPr>
              <w:t>51</w:t>
            </w:r>
          </w:p>
        </w:tc>
      </w:tr>
      <w:tr w:rsidR="007C2094" w:rsidRPr="007C2094" w:rsidTr="000B31D7">
        <w:trPr>
          <w:trHeight w:val="288"/>
        </w:trPr>
        <w:tc>
          <w:tcPr>
            <w:tcW w:w="5000" w:type="pct"/>
            <w:gridSpan w:val="4"/>
            <w:shd w:val="clear" w:color="auto" w:fill="B4C6E7"/>
          </w:tcPr>
          <w:p w:rsidR="007C2094" w:rsidRPr="007C2094" w:rsidRDefault="007C2094" w:rsidP="007C2094">
            <w:pPr>
              <w:jc w:val="both"/>
              <w:rPr>
                <w:rFonts w:cs="Arial"/>
                <w:sz w:val="20"/>
                <w:szCs w:val="20"/>
              </w:rPr>
            </w:pPr>
            <w:r w:rsidRPr="007C2094">
              <w:rPr>
                <w:rFonts w:cs="Arial"/>
                <w:sz w:val="20"/>
                <w:szCs w:val="20"/>
              </w:rPr>
              <w:t>NB: Some child</w:t>
            </w:r>
            <w:r w:rsidR="0049253B">
              <w:rPr>
                <w:rFonts w:cs="Arial"/>
                <w:sz w:val="20"/>
                <w:szCs w:val="20"/>
              </w:rPr>
              <w:t xml:space="preserve"> offenders </w:t>
            </w:r>
            <w:r w:rsidRPr="007C2094">
              <w:rPr>
                <w:rFonts w:cs="Arial"/>
                <w:sz w:val="20"/>
                <w:szCs w:val="20"/>
              </w:rPr>
              <w:t xml:space="preserve">attended </w:t>
            </w:r>
            <w:r w:rsidR="0049253B">
              <w:rPr>
                <w:rFonts w:cs="Arial"/>
                <w:sz w:val="20"/>
                <w:szCs w:val="20"/>
              </w:rPr>
              <w:t>multiple</w:t>
            </w:r>
            <w:r w:rsidRPr="007C2094">
              <w:rPr>
                <w:rFonts w:cs="Arial"/>
                <w:sz w:val="20"/>
                <w:szCs w:val="20"/>
              </w:rPr>
              <w:t xml:space="preserve"> programme</w:t>
            </w:r>
            <w:r w:rsidR="0049253B">
              <w:rPr>
                <w:rFonts w:cs="Arial"/>
                <w:sz w:val="20"/>
                <w:szCs w:val="20"/>
              </w:rPr>
              <w:t>s</w:t>
            </w:r>
          </w:p>
        </w:tc>
      </w:tr>
    </w:tbl>
    <w:p w:rsidR="007C2094" w:rsidRPr="007C2094" w:rsidRDefault="007C2094" w:rsidP="007C2094">
      <w:pPr>
        <w:ind w:left="720" w:hanging="720"/>
        <w:jc w:val="both"/>
        <w:rPr>
          <w:rFonts w:cs="Arial"/>
          <w:sz w:val="24"/>
          <w:szCs w:val="24"/>
        </w:rPr>
      </w:pPr>
      <w:r w:rsidRPr="007C2094">
        <w:rPr>
          <w:rFonts w:cs="Arial"/>
          <w:sz w:val="24"/>
          <w:szCs w:val="24"/>
        </w:rPr>
        <w:t xml:space="preserve"> </w:t>
      </w:r>
    </w:p>
    <w:p w:rsidR="007C2094" w:rsidRPr="007C2094" w:rsidRDefault="00DE516D" w:rsidP="007C2094">
      <w:pPr>
        <w:ind w:left="720" w:hanging="720"/>
        <w:jc w:val="both"/>
        <w:rPr>
          <w:sz w:val="24"/>
          <w:szCs w:val="24"/>
        </w:rPr>
      </w:pPr>
      <w:r>
        <w:rPr>
          <w:rFonts w:cs="Arial"/>
          <w:b/>
          <w:sz w:val="24"/>
          <w:szCs w:val="24"/>
        </w:rPr>
        <w:t>END</w:t>
      </w:r>
    </w:p>
    <w:p w:rsidR="002D412F" w:rsidRPr="002D412F" w:rsidRDefault="002D412F" w:rsidP="007C2094">
      <w:pPr>
        <w:jc w:val="both"/>
        <w:rPr>
          <w:rFonts w:cs="Arial"/>
          <w:b/>
          <w:sz w:val="24"/>
          <w:szCs w:val="24"/>
        </w:rPr>
      </w:pPr>
    </w:p>
    <w:sectPr w:rsidR="002D412F" w:rsidRPr="002D412F"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A3" w:rsidRDefault="00AA50A3" w:rsidP="00032D81">
      <w:r>
        <w:separator/>
      </w:r>
    </w:p>
  </w:endnote>
  <w:endnote w:type="continuationSeparator" w:id="0">
    <w:p w:rsidR="00AA50A3" w:rsidRDefault="00AA50A3" w:rsidP="00032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546F74" w:rsidP="00032D81">
    <w:pPr>
      <w:pStyle w:val="Footer"/>
    </w:pPr>
    <w:r>
      <w:t>PQ</w:t>
    </w:r>
    <w:r w:rsidR="007404FA">
      <w:t>34</w:t>
    </w:r>
    <w:r w:rsidR="009F7CBF">
      <w:t>29</w:t>
    </w:r>
    <w:r w:rsidR="00610CFC">
      <w:t>- NW</w:t>
    </w:r>
    <w:r w:rsidR="009F7CBF">
      <w:t>4231</w:t>
    </w:r>
    <w:r w:rsidR="009F78B2">
      <w:t>E</w:t>
    </w:r>
    <w:r w:rsidR="00032D81">
      <w:tab/>
    </w:r>
    <w:r w:rsidR="00032D81">
      <w:tab/>
      <w:t xml:space="preserve">Page </w:t>
    </w:r>
    <w:r w:rsidR="00032D81">
      <w:rPr>
        <w:b/>
        <w:bCs/>
        <w:sz w:val="24"/>
        <w:szCs w:val="24"/>
      </w:rPr>
      <w:fldChar w:fldCharType="begin"/>
    </w:r>
    <w:r w:rsidR="00032D81">
      <w:rPr>
        <w:b/>
        <w:bCs/>
      </w:rPr>
      <w:instrText xml:space="preserve"> PAGE </w:instrText>
    </w:r>
    <w:r w:rsidR="00032D81">
      <w:rPr>
        <w:b/>
        <w:bCs/>
        <w:sz w:val="24"/>
        <w:szCs w:val="24"/>
      </w:rPr>
      <w:fldChar w:fldCharType="separate"/>
    </w:r>
    <w:r w:rsidR="00AA50A3">
      <w:rPr>
        <w:b/>
        <w:bCs/>
        <w:noProof/>
      </w:rPr>
      <w:t>1</w:t>
    </w:r>
    <w:r w:rsidR="00032D81">
      <w:rPr>
        <w:b/>
        <w:bCs/>
        <w:sz w:val="24"/>
        <w:szCs w:val="24"/>
      </w:rPr>
      <w:fldChar w:fldCharType="end"/>
    </w:r>
    <w:r w:rsidR="00032D81">
      <w:t xml:space="preserve"> of </w:t>
    </w:r>
    <w:r w:rsidR="00032D81">
      <w:rPr>
        <w:b/>
        <w:bCs/>
        <w:sz w:val="24"/>
        <w:szCs w:val="24"/>
      </w:rPr>
      <w:fldChar w:fldCharType="begin"/>
    </w:r>
    <w:r w:rsidR="00032D81">
      <w:rPr>
        <w:b/>
        <w:bCs/>
      </w:rPr>
      <w:instrText xml:space="preserve"> NUMPAGES  </w:instrText>
    </w:r>
    <w:r w:rsidR="00032D81">
      <w:rPr>
        <w:b/>
        <w:bCs/>
        <w:sz w:val="24"/>
        <w:szCs w:val="24"/>
      </w:rPr>
      <w:fldChar w:fldCharType="separate"/>
    </w:r>
    <w:r w:rsidR="00AA50A3">
      <w:rPr>
        <w:b/>
        <w:bCs/>
        <w:noProof/>
      </w:rPr>
      <w:t>1</w:t>
    </w:r>
    <w:r w:rsidR="00032D81">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A3" w:rsidRDefault="00AA50A3" w:rsidP="00032D81">
      <w:r>
        <w:separator/>
      </w:r>
    </w:p>
  </w:footnote>
  <w:footnote w:type="continuationSeparator" w:id="0">
    <w:p w:rsidR="00AA50A3" w:rsidRDefault="00AA50A3"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5EB9"/>
    <w:multiLevelType w:val="hybridMultilevel"/>
    <w:tmpl w:val="3CE479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E81708"/>
    <w:multiLevelType w:val="hybridMultilevel"/>
    <w:tmpl w:val="2BFE04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7F92D59"/>
    <w:multiLevelType w:val="hybridMultilevel"/>
    <w:tmpl w:val="1D8A79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5634560F"/>
    <w:multiLevelType w:val="hybridMultilevel"/>
    <w:tmpl w:val="706C6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63101790"/>
    <w:multiLevelType w:val="hybridMultilevel"/>
    <w:tmpl w:val="4B7E77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679D3A92"/>
    <w:multiLevelType w:val="hybridMultilevel"/>
    <w:tmpl w:val="56BE51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2865C81"/>
    <w:multiLevelType w:val="hybridMultilevel"/>
    <w:tmpl w:val="FEBE70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7C3A0DDA"/>
    <w:multiLevelType w:val="hybridMultilevel"/>
    <w:tmpl w:val="7F14A8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32D81"/>
    <w:rsid w:val="000B31D7"/>
    <w:rsid w:val="000D32B1"/>
    <w:rsid w:val="00181CF9"/>
    <w:rsid w:val="001A2A38"/>
    <w:rsid w:val="001B4208"/>
    <w:rsid w:val="002148F5"/>
    <w:rsid w:val="00256D15"/>
    <w:rsid w:val="00265F3A"/>
    <w:rsid w:val="00274745"/>
    <w:rsid w:val="002975A5"/>
    <w:rsid w:val="002C27B8"/>
    <w:rsid w:val="002D412F"/>
    <w:rsid w:val="003038C5"/>
    <w:rsid w:val="0031710C"/>
    <w:rsid w:val="00324B3C"/>
    <w:rsid w:val="003308FF"/>
    <w:rsid w:val="00331866"/>
    <w:rsid w:val="00347B47"/>
    <w:rsid w:val="0035277F"/>
    <w:rsid w:val="0044423B"/>
    <w:rsid w:val="0044622A"/>
    <w:rsid w:val="00485E00"/>
    <w:rsid w:val="0049253B"/>
    <w:rsid w:val="004A0FC1"/>
    <w:rsid w:val="004A74BA"/>
    <w:rsid w:val="004B6288"/>
    <w:rsid w:val="004D7072"/>
    <w:rsid w:val="004E38A9"/>
    <w:rsid w:val="004E7C99"/>
    <w:rsid w:val="004F71B4"/>
    <w:rsid w:val="004F7850"/>
    <w:rsid w:val="005110A4"/>
    <w:rsid w:val="00546F74"/>
    <w:rsid w:val="005C0202"/>
    <w:rsid w:val="005E5D71"/>
    <w:rsid w:val="005F7490"/>
    <w:rsid w:val="00610CFC"/>
    <w:rsid w:val="00656823"/>
    <w:rsid w:val="00680EA7"/>
    <w:rsid w:val="006E3159"/>
    <w:rsid w:val="007157FC"/>
    <w:rsid w:val="007177EB"/>
    <w:rsid w:val="00730725"/>
    <w:rsid w:val="00737344"/>
    <w:rsid w:val="007404FA"/>
    <w:rsid w:val="00773DDE"/>
    <w:rsid w:val="0077729F"/>
    <w:rsid w:val="00783DB9"/>
    <w:rsid w:val="007B1180"/>
    <w:rsid w:val="007C2094"/>
    <w:rsid w:val="007E4A6E"/>
    <w:rsid w:val="009C6664"/>
    <w:rsid w:val="009D2E77"/>
    <w:rsid w:val="009F5CA0"/>
    <w:rsid w:val="009F7420"/>
    <w:rsid w:val="009F78B2"/>
    <w:rsid w:val="009F7CBF"/>
    <w:rsid w:val="00AA50A3"/>
    <w:rsid w:val="00AA60C4"/>
    <w:rsid w:val="00AB1A80"/>
    <w:rsid w:val="00B22C58"/>
    <w:rsid w:val="00B6148A"/>
    <w:rsid w:val="00B875C1"/>
    <w:rsid w:val="00BD2D2D"/>
    <w:rsid w:val="00BD59D4"/>
    <w:rsid w:val="00BE13C3"/>
    <w:rsid w:val="00BF13B8"/>
    <w:rsid w:val="00C5056B"/>
    <w:rsid w:val="00C92B71"/>
    <w:rsid w:val="00CD0BEB"/>
    <w:rsid w:val="00CE0CC6"/>
    <w:rsid w:val="00D0629C"/>
    <w:rsid w:val="00D37E76"/>
    <w:rsid w:val="00D51A9E"/>
    <w:rsid w:val="00DE516D"/>
    <w:rsid w:val="00DE7854"/>
    <w:rsid w:val="00E14F0A"/>
    <w:rsid w:val="00E34D12"/>
    <w:rsid w:val="00E452F2"/>
    <w:rsid w:val="00ED491A"/>
    <w:rsid w:val="00EF3567"/>
    <w:rsid w:val="00F0795F"/>
    <w:rsid w:val="00F1023E"/>
    <w:rsid w:val="00F23C31"/>
    <w:rsid w:val="00F6203A"/>
    <w:rsid w:val="00F6654F"/>
    <w:rsid w:val="00FB548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2022-11-21T10:38:00Z</dcterms:created>
  <dcterms:modified xsi:type="dcterms:W3CDTF">2022-11-21T10:38:00Z</dcterms:modified>
</cp:coreProperties>
</file>