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bookmarkStart w:id="0" w:name="_GoBack"/>
      <w:bookmarkEnd w:id="0"/>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7A4150">
        <w:rPr>
          <w:rFonts w:ascii="Arial" w:hAnsi="Arial" w:cs="Arial"/>
          <w:b/>
          <w:sz w:val="22"/>
          <w:szCs w:val="22"/>
        </w:rPr>
        <w:t>33</w:t>
      </w:r>
      <w:r w:rsidR="009B3666">
        <w:rPr>
          <w:rFonts w:ascii="Arial" w:hAnsi="Arial" w:cs="Arial"/>
          <w:b/>
          <w:sz w:val="22"/>
          <w:szCs w:val="22"/>
        </w:rPr>
        <w:t>24</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F33FEC">
        <w:rPr>
          <w:rFonts w:ascii="Arial" w:hAnsi="Arial" w:cs="Arial"/>
          <w:b/>
          <w:sz w:val="22"/>
          <w:szCs w:val="22"/>
          <w:lang w:val="en-ZA"/>
        </w:rPr>
        <w:t>3</w:t>
      </w:r>
      <w:r w:rsidR="009B3666">
        <w:rPr>
          <w:rFonts w:ascii="Arial" w:hAnsi="Arial" w:cs="Arial"/>
          <w:b/>
          <w:sz w:val="22"/>
          <w:szCs w:val="22"/>
          <w:lang w:val="en-ZA"/>
        </w:rPr>
        <w:t>913</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7A4150">
        <w:rPr>
          <w:rFonts w:ascii="Arial" w:hAnsi="Arial" w:cs="Arial"/>
          <w:b/>
          <w:sz w:val="22"/>
          <w:szCs w:val="22"/>
        </w:rPr>
        <w:t>9</w:t>
      </w:r>
      <w:r w:rsidR="00F33FEC">
        <w:rPr>
          <w:rFonts w:ascii="Arial" w:hAnsi="Arial" w:cs="Arial"/>
          <w:b/>
          <w:sz w:val="22"/>
          <w:szCs w:val="22"/>
        </w:rPr>
        <w:t xml:space="preserve"> NOVEMBER</w:t>
      </w:r>
      <w:r w:rsidRPr="00F1703D">
        <w:rPr>
          <w:rFonts w:ascii="Arial" w:hAnsi="Arial" w:cs="Arial"/>
          <w:b/>
          <w:sz w:val="22"/>
          <w:szCs w:val="22"/>
        </w:rPr>
        <w:t xml:space="preserve"> 2018</w:t>
      </w:r>
    </w:p>
    <w:p w:rsidR="0062770E" w:rsidRPr="0021364F" w:rsidRDefault="0062770E" w:rsidP="0021364F">
      <w:pPr>
        <w:pStyle w:val="BodyTextIndent"/>
        <w:spacing w:line="276" w:lineRule="auto"/>
        <w:ind w:left="0" w:firstLine="0"/>
        <w:rPr>
          <w:rFonts w:ascii="Arial" w:hAnsi="Arial" w:cs="Arial"/>
          <w:b/>
          <w:sz w:val="22"/>
          <w:szCs w:val="22"/>
        </w:rPr>
      </w:pPr>
    </w:p>
    <w:p w:rsidR="009B3666" w:rsidRPr="009B3666" w:rsidRDefault="009B3666" w:rsidP="009B3666">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9B3666">
        <w:rPr>
          <w:rFonts w:ascii="Arial" w:eastAsia="Calibri" w:hAnsi="Arial" w:cs="Arial"/>
          <w:b/>
          <w:sz w:val="22"/>
          <w:szCs w:val="22"/>
          <w:lang w:val="en-GB"/>
        </w:rPr>
        <w:t>3424.</w:t>
      </w:r>
      <w:r w:rsidRPr="009B3666">
        <w:rPr>
          <w:rFonts w:ascii="Arial" w:eastAsia="Calibri" w:hAnsi="Arial" w:cs="Arial"/>
          <w:b/>
          <w:sz w:val="22"/>
          <w:szCs w:val="22"/>
          <w:lang w:val="en-GB"/>
        </w:rPr>
        <w:tab/>
        <w:t>Mr R W T Chance (DA) to ask the Minister of Finance:</w:t>
      </w:r>
    </w:p>
    <w:p w:rsidR="009B3666" w:rsidRPr="000A7C65" w:rsidRDefault="009B3666" w:rsidP="009B3666">
      <w:pPr>
        <w:spacing w:before="100" w:beforeAutospacing="1" w:after="100" w:afterAutospacing="1" w:line="276" w:lineRule="auto"/>
        <w:ind w:left="720" w:hanging="720"/>
        <w:jc w:val="both"/>
        <w:rPr>
          <w:rFonts w:ascii="Arial" w:eastAsia="Calibri" w:hAnsi="Arial" w:cs="Arial"/>
          <w:sz w:val="22"/>
          <w:szCs w:val="22"/>
          <w:lang w:val="en-GB"/>
        </w:rPr>
      </w:pPr>
      <w:r w:rsidRPr="009B3666">
        <w:rPr>
          <w:rFonts w:ascii="Arial" w:eastAsia="Calibri" w:hAnsi="Arial" w:cs="Arial"/>
          <w:sz w:val="22"/>
          <w:szCs w:val="22"/>
          <w:lang w:val="en-GB"/>
        </w:rPr>
        <w:t>(1)</w:t>
      </w:r>
      <w:r w:rsidRPr="009B3666">
        <w:rPr>
          <w:rFonts w:ascii="Arial" w:eastAsia="Calibri" w:hAnsi="Arial" w:cs="Arial"/>
          <w:sz w:val="22"/>
          <w:szCs w:val="22"/>
          <w:lang w:val="en-GB"/>
        </w:rPr>
        <w:tab/>
        <w:t xml:space="preserve">What steps has the National Treasury taken to ensure that (a) government departments and (b) </w:t>
      </w:r>
      <w:r w:rsidRPr="000A7C65">
        <w:rPr>
          <w:rFonts w:ascii="Arial" w:eastAsia="Calibri" w:hAnsi="Arial" w:cs="Arial"/>
          <w:sz w:val="22"/>
          <w:szCs w:val="22"/>
          <w:lang w:val="en-GB"/>
        </w:rPr>
        <w:t>government entities pay their suppliers on time;</w:t>
      </w:r>
    </w:p>
    <w:p w:rsidR="009B3666" w:rsidRPr="009B3666" w:rsidRDefault="009B3666" w:rsidP="009B3666">
      <w:pPr>
        <w:spacing w:before="100" w:beforeAutospacing="1" w:after="100" w:afterAutospacing="1" w:line="276" w:lineRule="auto"/>
        <w:ind w:left="720" w:hanging="720"/>
        <w:jc w:val="both"/>
        <w:rPr>
          <w:rFonts w:ascii="Arial" w:eastAsia="Calibri" w:hAnsi="Arial" w:cs="Arial"/>
          <w:sz w:val="22"/>
          <w:szCs w:val="22"/>
          <w:lang w:val="en-GB"/>
        </w:rPr>
      </w:pPr>
      <w:r w:rsidRPr="000A7C65">
        <w:rPr>
          <w:rFonts w:ascii="Arial" w:eastAsia="Calibri" w:hAnsi="Arial" w:cs="Arial"/>
          <w:sz w:val="22"/>
          <w:szCs w:val="22"/>
          <w:lang w:val="en-GB"/>
        </w:rPr>
        <w:t>(2)</w:t>
      </w:r>
      <w:r w:rsidRPr="000A7C65">
        <w:rPr>
          <w:rFonts w:ascii="Arial" w:eastAsia="Calibri" w:hAnsi="Arial" w:cs="Arial"/>
          <w:sz w:val="22"/>
          <w:szCs w:val="22"/>
          <w:lang w:val="en-GB"/>
        </w:rPr>
        <w:tab/>
        <w:t>whether a certain person (</w:t>
      </w:r>
      <w:r w:rsidR="000A7C65" w:rsidRPr="000A7C65">
        <w:rPr>
          <w:rFonts w:ascii="Arial" w:eastAsia="Calibri" w:hAnsi="Arial" w:cs="Arial"/>
          <w:sz w:val="22"/>
          <w:szCs w:val="22"/>
          <w:lang w:val="en-GB"/>
        </w:rPr>
        <w:t>details furnished</w:t>
      </w:r>
      <w:r w:rsidRPr="000A7C65">
        <w:rPr>
          <w:rFonts w:ascii="Arial" w:eastAsia="Calibri" w:hAnsi="Arial" w:cs="Arial"/>
          <w:sz w:val="22"/>
          <w:szCs w:val="22"/>
          <w:lang w:val="en-GB"/>
        </w:rPr>
        <w:t xml:space="preserve">) issued </w:t>
      </w:r>
      <w:r w:rsidRPr="009B3666">
        <w:rPr>
          <w:rFonts w:ascii="Arial" w:eastAsia="Calibri" w:hAnsi="Arial" w:cs="Arial"/>
          <w:sz w:val="22"/>
          <w:szCs w:val="22"/>
          <w:lang w:val="en-GB"/>
        </w:rPr>
        <w:t xml:space="preserve">directives instructing (a) departments and (b) entities to pay suppliers timeously; if not, why not; if so, (i) by what date and (ii) to which departments and institutions were the directives issued; </w:t>
      </w:r>
    </w:p>
    <w:p w:rsidR="009B3666" w:rsidRPr="009B3666" w:rsidRDefault="009B3666" w:rsidP="009B3666">
      <w:pPr>
        <w:spacing w:before="100" w:beforeAutospacing="1" w:after="100" w:afterAutospacing="1" w:line="276" w:lineRule="auto"/>
        <w:ind w:left="720" w:hanging="720"/>
        <w:jc w:val="both"/>
        <w:rPr>
          <w:rFonts w:ascii="Arial" w:eastAsia="Calibri" w:hAnsi="Arial" w:cs="Arial"/>
          <w:sz w:val="22"/>
          <w:szCs w:val="22"/>
          <w:lang w:val="en-GB"/>
        </w:rPr>
      </w:pPr>
      <w:r w:rsidRPr="009B3666">
        <w:rPr>
          <w:rFonts w:ascii="Arial" w:eastAsia="Calibri" w:hAnsi="Arial" w:cs="Arial"/>
          <w:sz w:val="22"/>
          <w:szCs w:val="22"/>
          <w:lang w:val="en-GB"/>
        </w:rPr>
        <w:t>(3)</w:t>
      </w:r>
      <w:r w:rsidRPr="009B3666">
        <w:rPr>
          <w:rFonts w:ascii="Arial" w:eastAsia="Calibri" w:hAnsi="Arial" w:cs="Arial"/>
          <w:sz w:val="22"/>
          <w:szCs w:val="22"/>
          <w:lang w:val="en-GB"/>
        </w:rPr>
        <w:tab/>
        <w:t>whether accounting officers of government departments faced (a) criminal and/or (b) disciplinary actions against them related to the late payments of suppliers (i) in the (</w:t>
      </w:r>
      <w:r w:rsidRPr="00454647">
        <w:rPr>
          <w:rFonts w:ascii="Arial" w:eastAsia="Calibri" w:hAnsi="Arial" w:cs="Arial"/>
          <w:noProof/>
          <w:sz w:val="22"/>
          <w:szCs w:val="22"/>
          <w:lang w:val="en-GB"/>
        </w:rPr>
        <w:t>aa</w:t>
      </w:r>
      <w:r w:rsidRPr="009B3666">
        <w:rPr>
          <w:rFonts w:ascii="Arial" w:eastAsia="Calibri" w:hAnsi="Arial" w:cs="Arial"/>
          <w:sz w:val="22"/>
          <w:szCs w:val="22"/>
          <w:lang w:val="en-GB"/>
        </w:rPr>
        <w:t>) 2016-17 and/or (bb) 2017-18 financial years and/or (ii) since 1 April 2018; if not, why not; if so, what are the relevant details in each case?</w:t>
      </w:r>
      <w:r w:rsidRPr="009B3666">
        <w:rPr>
          <w:rFonts w:ascii="Arial" w:eastAsia="Calibri" w:hAnsi="Arial" w:cs="Arial"/>
          <w:sz w:val="22"/>
          <w:szCs w:val="22"/>
          <w:lang w:val="en-GB"/>
        </w:rPr>
        <w:tab/>
      </w:r>
      <w:r w:rsidRPr="009B3666">
        <w:rPr>
          <w:rFonts w:ascii="Arial" w:eastAsia="Calibri" w:hAnsi="Arial" w:cs="Arial"/>
          <w:sz w:val="22"/>
          <w:szCs w:val="22"/>
          <w:lang w:val="en-GB"/>
        </w:rPr>
        <w:tab/>
      </w:r>
      <w:r w:rsidRPr="009B3666">
        <w:rPr>
          <w:rFonts w:ascii="Arial" w:eastAsia="Calibri" w:hAnsi="Arial" w:cs="Arial"/>
          <w:sz w:val="22"/>
          <w:szCs w:val="22"/>
          <w:lang w:val="en-GB"/>
        </w:rPr>
        <w:tab/>
      </w:r>
      <w:r w:rsidRPr="009B3666">
        <w:rPr>
          <w:rFonts w:ascii="Arial" w:eastAsia="Calibri" w:hAnsi="Arial" w:cs="Arial"/>
          <w:sz w:val="22"/>
          <w:szCs w:val="22"/>
          <w:lang w:val="en-GB"/>
        </w:rPr>
        <w:tab/>
      </w:r>
      <w:r w:rsidRPr="009B3666">
        <w:rPr>
          <w:rFonts w:ascii="Arial" w:eastAsia="Calibri" w:hAnsi="Arial" w:cs="Arial"/>
          <w:sz w:val="22"/>
          <w:szCs w:val="22"/>
          <w:lang w:val="en-GB"/>
        </w:rPr>
        <w:tab/>
      </w:r>
      <w:r w:rsidRPr="009B3666">
        <w:rPr>
          <w:rFonts w:ascii="Arial" w:eastAsia="Calibri" w:hAnsi="Arial" w:cs="Arial"/>
          <w:sz w:val="22"/>
          <w:szCs w:val="22"/>
          <w:lang w:val="en-GB"/>
        </w:rPr>
        <w:tab/>
      </w:r>
      <w:r w:rsidRPr="009B3666">
        <w:rPr>
          <w:rFonts w:ascii="Arial" w:eastAsia="Calibri" w:hAnsi="Arial" w:cs="Arial"/>
          <w:sz w:val="22"/>
          <w:szCs w:val="22"/>
          <w:lang w:val="en-GB"/>
        </w:rPr>
        <w:tab/>
      </w:r>
      <w:r w:rsidRPr="009B3666">
        <w:rPr>
          <w:rFonts w:ascii="Arial" w:eastAsia="Calibri" w:hAnsi="Arial" w:cs="Arial"/>
          <w:sz w:val="22"/>
          <w:szCs w:val="22"/>
          <w:lang w:val="en-GB"/>
        </w:rPr>
        <w:tab/>
      </w:r>
      <w:r w:rsidRPr="009B3666">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9B3666">
        <w:rPr>
          <w:rFonts w:ascii="Arial" w:eastAsia="Calibri" w:hAnsi="Arial" w:cs="Arial"/>
          <w:sz w:val="22"/>
          <w:szCs w:val="22"/>
          <w:lang w:val="en-GB"/>
        </w:rPr>
        <w:t>NW3913E</w:t>
      </w:r>
    </w:p>
    <w:p w:rsidR="001433AE" w:rsidRPr="00F33FEC" w:rsidRDefault="00AD726C" w:rsidP="00F33FEC">
      <w:pPr>
        <w:spacing w:before="100" w:beforeAutospacing="1" w:after="100" w:afterAutospacing="1" w:line="360" w:lineRule="auto"/>
        <w:jc w:val="both"/>
        <w:outlineLvl w:val="0"/>
        <w:rPr>
          <w:rFonts w:ascii="Arial" w:eastAsia="Calibri" w:hAnsi="Arial" w:cs="Arial"/>
          <w:sz w:val="22"/>
          <w:szCs w:val="22"/>
          <w:lang w:val="en-GB"/>
        </w:rPr>
      </w:pPr>
      <w:r w:rsidRPr="00F33FEC">
        <w:rPr>
          <w:rFonts w:ascii="Arial" w:hAnsi="Arial" w:cs="Arial"/>
          <w:b/>
          <w:sz w:val="22"/>
          <w:szCs w:val="22"/>
        </w:rPr>
        <w:t xml:space="preserve"> </w:t>
      </w:r>
      <w:r w:rsidR="001433AE" w:rsidRPr="00F33FEC">
        <w:rPr>
          <w:rFonts w:ascii="Arial" w:hAnsi="Arial" w:cs="Arial"/>
          <w:b/>
          <w:sz w:val="22"/>
          <w:szCs w:val="22"/>
        </w:rPr>
        <w:t>REPLY</w:t>
      </w:r>
      <w:r w:rsidR="001433AE" w:rsidRPr="00F33FEC">
        <w:rPr>
          <w:rFonts w:ascii="Arial" w:hAnsi="Arial" w:cs="Arial"/>
          <w:sz w:val="22"/>
          <w:szCs w:val="22"/>
        </w:rPr>
        <w:t>:</w:t>
      </w:r>
    </w:p>
    <w:p w:rsidR="003D0EE1" w:rsidRDefault="003D0EE1" w:rsidP="00741CA5">
      <w:pPr>
        <w:pStyle w:val="ListParagraph"/>
        <w:numPr>
          <w:ilvl w:val="0"/>
          <w:numId w:val="4"/>
        </w:numPr>
        <w:spacing w:line="276" w:lineRule="auto"/>
        <w:ind w:left="720" w:hanging="720"/>
        <w:jc w:val="both"/>
        <w:rPr>
          <w:rFonts w:ascii="Arial" w:hAnsi="Arial" w:cs="Arial"/>
          <w:sz w:val="22"/>
          <w:szCs w:val="22"/>
        </w:rPr>
      </w:pPr>
      <w:r w:rsidRPr="003D0EE1">
        <w:rPr>
          <w:rFonts w:ascii="Arial" w:hAnsi="Arial" w:cs="Arial"/>
          <w:sz w:val="22"/>
          <w:szCs w:val="22"/>
        </w:rPr>
        <w:t>In terms of section 38(1)(a)(f) of the PFMA, the accounting officer of a department, trading entity of constitutional institution must settle all contractual obligations and pay all money owing including intergovernmental claims within the prescribed or agreed period.</w:t>
      </w:r>
      <w:r>
        <w:rPr>
          <w:rFonts w:ascii="Arial" w:hAnsi="Arial" w:cs="Arial"/>
          <w:sz w:val="22"/>
          <w:szCs w:val="22"/>
        </w:rPr>
        <w:t xml:space="preserve"> </w:t>
      </w:r>
    </w:p>
    <w:p w:rsidR="003D0EE1" w:rsidRPr="003D0EE1" w:rsidRDefault="003D0EE1" w:rsidP="003D0EE1">
      <w:pPr>
        <w:tabs>
          <w:tab w:val="left" w:pos="709"/>
          <w:tab w:val="left" w:pos="864"/>
        </w:tabs>
        <w:spacing w:line="276" w:lineRule="auto"/>
        <w:jc w:val="both"/>
        <w:rPr>
          <w:rFonts w:ascii="Arial" w:hAnsi="Arial" w:cs="Arial"/>
          <w:sz w:val="22"/>
          <w:szCs w:val="22"/>
        </w:rPr>
      </w:pPr>
    </w:p>
    <w:p w:rsidR="003D0EE1" w:rsidRPr="003D0EE1" w:rsidRDefault="003D0EE1" w:rsidP="00741CA5">
      <w:pPr>
        <w:tabs>
          <w:tab w:val="left" w:pos="709"/>
          <w:tab w:val="left" w:pos="864"/>
        </w:tabs>
        <w:spacing w:line="276" w:lineRule="auto"/>
        <w:ind w:left="709"/>
        <w:jc w:val="both"/>
        <w:rPr>
          <w:rFonts w:ascii="Arial" w:hAnsi="Arial" w:cs="Arial"/>
          <w:sz w:val="22"/>
          <w:szCs w:val="22"/>
        </w:rPr>
      </w:pPr>
      <w:r w:rsidRPr="003D0EE1">
        <w:rPr>
          <w:rFonts w:ascii="Arial" w:hAnsi="Arial" w:cs="Arial"/>
          <w:sz w:val="22"/>
          <w:szCs w:val="22"/>
        </w:rPr>
        <w:t>Treasury Regulation 8.2.3 also requires accounting officers of departments to settle all payments due to creditors within 30 days from receipt of an invoice, unless determined otherwise in a contract or other agreement.</w:t>
      </w:r>
    </w:p>
    <w:p w:rsidR="003D0EE1" w:rsidRDefault="003D0EE1" w:rsidP="003D0EE1">
      <w:pPr>
        <w:pStyle w:val="ListParagraph"/>
        <w:tabs>
          <w:tab w:val="left" w:pos="709"/>
          <w:tab w:val="left" w:pos="864"/>
        </w:tabs>
        <w:spacing w:line="276" w:lineRule="auto"/>
        <w:ind w:left="360"/>
        <w:jc w:val="both"/>
        <w:rPr>
          <w:rFonts w:ascii="Arial" w:hAnsi="Arial" w:cs="Arial"/>
          <w:sz w:val="22"/>
          <w:szCs w:val="22"/>
        </w:rPr>
      </w:pPr>
    </w:p>
    <w:p w:rsidR="003D0EE1" w:rsidRDefault="00C60FEB" w:rsidP="00741CA5">
      <w:pPr>
        <w:tabs>
          <w:tab w:val="left" w:pos="709"/>
          <w:tab w:val="left" w:pos="864"/>
        </w:tabs>
        <w:spacing w:line="276" w:lineRule="auto"/>
        <w:ind w:left="709"/>
        <w:jc w:val="both"/>
        <w:rPr>
          <w:rFonts w:ascii="Arial" w:hAnsi="Arial" w:cs="Arial"/>
          <w:sz w:val="22"/>
          <w:szCs w:val="22"/>
        </w:rPr>
      </w:pPr>
      <w:r w:rsidRPr="003D0EE1">
        <w:rPr>
          <w:rFonts w:ascii="Arial" w:hAnsi="Arial" w:cs="Arial"/>
          <w:sz w:val="22"/>
          <w:szCs w:val="22"/>
        </w:rPr>
        <w:t>T</w:t>
      </w:r>
      <w:r w:rsidR="003D0EE1">
        <w:rPr>
          <w:rFonts w:ascii="Arial" w:hAnsi="Arial" w:cs="Arial"/>
          <w:sz w:val="22"/>
          <w:szCs w:val="22"/>
        </w:rPr>
        <w:t xml:space="preserve">o this end, </w:t>
      </w:r>
      <w:r w:rsidRPr="003D0EE1">
        <w:rPr>
          <w:rFonts w:ascii="Arial" w:hAnsi="Arial" w:cs="Arial"/>
          <w:sz w:val="22"/>
          <w:szCs w:val="22"/>
        </w:rPr>
        <w:t>National Treasury issued SCM Instruction Note 5 of 201</w:t>
      </w:r>
      <w:r w:rsidR="009134C4" w:rsidRPr="003D0EE1">
        <w:rPr>
          <w:rFonts w:ascii="Arial" w:hAnsi="Arial" w:cs="Arial"/>
          <w:sz w:val="22"/>
          <w:szCs w:val="22"/>
        </w:rPr>
        <w:t>6</w:t>
      </w:r>
      <w:r w:rsidRPr="003D0EE1">
        <w:rPr>
          <w:rFonts w:ascii="Arial" w:hAnsi="Arial" w:cs="Arial"/>
          <w:sz w:val="22"/>
          <w:szCs w:val="22"/>
        </w:rPr>
        <w:t>/1</w:t>
      </w:r>
      <w:r w:rsidR="009134C4" w:rsidRPr="003D0EE1">
        <w:rPr>
          <w:rFonts w:ascii="Arial" w:hAnsi="Arial" w:cs="Arial"/>
          <w:sz w:val="22"/>
          <w:szCs w:val="22"/>
        </w:rPr>
        <w:t>7</w:t>
      </w:r>
      <w:r w:rsidRPr="003D0EE1">
        <w:rPr>
          <w:rFonts w:ascii="Arial" w:hAnsi="Arial" w:cs="Arial"/>
          <w:sz w:val="22"/>
          <w:szCs w:val="22"/>
        </w:rPr>
        <w:t xml:space="preserve"> to address </w:t>
      </w:r>
      <w:r w:rsidR="009134C4" w:rsidRPr="003D0EE1">
        <w:rPr>
          <w:rFonts w:ascii="Arial" w:hAnsi="Arial" w:cs="Arial"/>
          <w:sz w:val="22"/>
          <w:szCs w:val="22"/>
        </w:rPr>
        <w:t xml:space="preserve">outstanding payments due to suppliers/creditors exceeding 30 days after submission of valid invoices for </w:t>
      </w:r>
      <w:r w:rsidR="003D0EE1">
        <w:rPr>
          <w:rFonts w:ascii="Arial" w:hAnsi="Arial" w:cs="Arial"/>
          <w:sz w:val="22"/>
          <w:szCs w:val="22"/>
        </w:rPr>
        <w:t xml:space="preserve">all </w:t>
      </w:r>
      <w:r w:rsidRPr="003D0EE1">
        <w:rPr>
          <w:rFonts w:ascii="Arial" w:hAnsi="Arial" w:cs="Arial"/>
          <w:sz w:val="22"/>
          <w:szCs w:val="22"/>
        </w:rPr>
        <w:t>PFMA complying institutions</w:t>
      </w:r>
      <w:r w:rsidR="009134C4" w:rsidRPr="003D0EE1">
        <w:rPr>
          <w:rFonts w:ascii="Arial" w:hAnsi="Arial" w:cs="Arial"/>
          <w:sz w:val="22"/>
          <w:szCs w:val="22"/>
        </w:rPr>
        <w:t xml:space="preserve">.  </w:t>
      </w:r>
    </w:p>
    <w:p w:rsidR="003D0EE1" w:rsidRDefault="003D0EE1" w:rsidP="003D0EE1">
      <w:pPr>
        <w:tabs>
          <w:tab w:val="left" w:pos="709"/>
          <w:tab w:val="left" w:pos="864"/>
        </w:tabs>
        <w:spacing w:line="276" w:lineRule="auto"/>
        <w:ind w:left="360"/>
        <w:jc w:val="both"/>
        <w:rPr>
          <w:rFonts w:ascii="Arial" w:hAnsi="Arial" w:cs="Arial"/>
          <w:sz w:val="22"/>
          <w:szCs w:val="22"/>
        </w:rPr>
      </w:pPr>
    </w:p>
    <w:p w:rsidR="009854F6" w:rsidRDefault="003D0EE1" w:rsidP="00741CA5">
      <w:pPr>
        <w:tabs>
          <w:tab w:val="left" w:pos="709"/>
          <w:tab w:val="left" w:pos="864"/>
        </w:tabs>
        <w:spacing w:line="276" w:lineRule="auto"/>
        <w:ind w:left="709"/>
        <w:jc w:val="both"/>
        <w:rPr>
          <w:rFonts w:ascii="Arial" w:hAnsi="Arial" w:cs="Arial"/>
          <w:sz w:val="22"/>
          <w:szCs w:val="22"/>
        </w:rPr>
      </w:pPr>
      <w:r>
        <w:rPr>
          <w:rFonts w:ascii="Arial" w:hAnsi="Arial" w:cs="Arial"/>
          <w:sz w:val="22"/>
          <w:szCs w:val="22"/>
        </w:rPr>
        <w:t xml:space="preserve">In terms of section 65(2)(e) of the MFMA, </w:t>
      </w:r>
      <w:r w:rsidR="00741CA5">
        <w:rPr>
          <w:rFonts w:ascii="Arial" w:hAnsi="Arial" w:cs="Arial"/>
          <w:sz w:val="22"/>
          <w:szCs w:val="22"/>
        </w:rPr>
        <w:t>the accounting officer must take all reasonable steps to ensure that all money owing by the municipality be paid within 30 days of receiving the relevant invoice or statement unless prescribed otherwise for certain categories of expenditure. To effect this provision, National Treasury issued MFMA Circular 49 of 2009 applicable to all municipalities</w:t>
      </w:r>
      <w:r w:rsidR="009134C4" w:rsidRPr="003D0EE1">
        <w:rPr>
          <w:rFonts w:ascii="Arial" w:hAnsi="Arial" w:cs="Arial"/>
          <w:sz w:val="22"/>
          <w:szCs w:val="22"/>
        </w:rPr>
        <w:t>.</w:t>
      </w:r>
      <w:r w:rsidR="0087013F" w:rsidRPr="003D0EE1">
        <w:rPr>
          <w:rFonts w:ascii="Arial" w:hAnsi="Arial" w:cs="Arial"/>
          <w:sz w:val="22"/>
          <w:szCs w:val="22"/>
        </w:rPr>
        <w:t xml:space="preserve"> </w:t>
      </w:r>
    </w:p>
    <w:p w:rsidR="00741CA5" w:rsidRDefault="00741CA5" w:rsidP="00741CA5">
      <w:pPr>
        <w:tabs>
          <w:tab w:val="left" w:pos="709"/>
          <w:tab w:val="left" w:pos="864"/>
        </w:tabs>
        <w:spacing w:line="276" w:lineRule="auto"/>
        <w:ind w:left="709"/>
        <w:jc w:val="both"/>
        <w:rPr>
          <w:rFonts w:ascii="Arial" w:hAnsi="Arial" w:cs="Arial"/>
          <w:sz w:val="22"/>
          <w:szCs w:val="22"/>
        </w:rPr>
      </w:pPr>
    </w:p>
    <w:p w:rsidR="00741CA5" w:rsidRPr="003D0EE1" w:rsidRDefault="00741CA5" w:rsidP="00741CA5">
      <w:pPr>
        <w:tabs>
          <w:tab w:val="left" w:pos="709"/>
          <w:tab w:val="left" w:pos="864"/>
        </w:tabs>
        <w:spacing w:line="276" w:lineRule="auto"/>
        <w:ind w:left="709"/>
        <w:jc w:val="both"/>
        <w:rPr>
          <w:rFonts w:ascii="Arial" w:hAnsi="Arial" w:cs="Arial"/>
          <w:sz w:val="22"/>
          <w:szCs w:val="22"/>
        </w:rPr>
      </w:pPr>
      <w:r>
        <w:rPr>
          <w:rFonts w:ascii="Arial" w:hAnsi="Arial" w:cs="Arial"/>
          <w:sz w:val="22"/>
          <w:szCs w:val="22"/>
        </w:rPr>
        <w:t xml:space="preserve">National Treasury continues to </w:t>
      </w:r>
      <w:r w:rsidR="00745919">
        <w:rPr>
          <w:rFonts w:ascii="Arial" w:hAnsi="Arial" w:cs="Arial"/>
          <w:sz w:val="22"/>
          <w:szCs w:val="22"/>
        </w:rPr>
        <w:t>support</w:t>
      </w:r>
      <w:r>
        <w:rPr>
          <w:rFonts w:ascii="Arial" w:hAnsi="Arial" w:cs="Arial"/>
          <w:sz w:val="22"/>
          <w:szCs w:val="22"/>
        </w:rPr>
        <w:t xml:space="preserve"> Department of Monitoring, Planning and Evaluation (DPME)</w:t>
      </w:r>
      <w:r w:rsidR="00745919">
        <w:rPr>
          <w:rFonts w:ascii="Arial" w:hAnsi="Arial" w:cs="Arial"/>
          <w:sz w:val="22"/>
          <w:szCs w:val="22"/>
        </w:rPr>
        <w:t xml:space="preserve"> in monitoring payment of suppliers</w:t>
      </w:r>
      <w:r>
        <w:rPr>
          <w:rFonts w:ascii="Arial" w:hAnsi="Arial" w:cs="Arial"/>
          <w:sz w:val="22"/>
          <w:szCs w:val="22"/>
        </w:rPr>
        <w:t>.</w:t>
      </w:r>
    </w:p>
    <w:p w:rsidR="00A32974" w:rsidRDefault="00A32974" w:rsidP="00A32974">
      <w:pPr>
        <w:pStyle w:val="ListParagraph"/>
        <w:tabs>
          <w:tab w:val="left" w:pos="709"/>
          <w:tab w:val="left" w:pos="864"/>
        </w:tabs>
        <w:spacing w:line="276" w:lineRule="auto"/>
        <w:ind w:left="709"/>
        <w:jc w:val="both"/>
        <w:rPr>
          <w:rFonts w:ascii="Arial" w:hAnsi="Arial" w:cs="Arial"/>
          <w:sz w:val="22"/>
          <w:szCs w:val="22"/>
        </w:rPr>
      </w:pPr>
    </w:p>
    <w:p w:rsidR="00741CA5" w:rsidRDefault="00741CA5" w:rsidP="00FC154C">
      <w:pPr>
        <w:pStyle w:val="ListParagraph"/>
        <w:numPr>
          <w:ilvl w:val="0"/>
          <w:numId w:val="4"/>
        </w:numPr>
        <w:tabs>
          <w:tab w:val="left" w:pos="709"/>
          <w:tab w:val="left" w:pos="864"/>
        </w:tabs>
        <w:spacing w:line="276" w:lineRule="auto"/>
        <w:ind w:left="709" w:hanging="709"/>
        <w:jc w:val="both"/>
        <w:rPr>
          <w:rFonts w:ascii="Arial" w:hAnsi="Arial" w:cs="Arial"/>
          <w:sz w:val="22"/>
          <w:szCs w:val="22"/>
        </w:rPr>
      </w:pPr>
      <w:r>
        <w:rPr>
          <w:rFonts w:ascii="Arial" w:hAnsi="Arial" w:cs="Arial"/>
          <w:sz w:val="22"/>
          <w:szCs w:val="22"/>
        </w:rPr>
        <w:lastRenderedPageBreak/>
        <w:t>(a) Yes</w:t>
      </w:r>
    </w:p>
    <w:p w:rsidR="00107317" w:rsidRDefault="00107317" w:rsidP="00107317">
      <w:pPr>
        <w:pStyle w:val="ListParagraph"/>
        <w:numPr>
          <w:ilvl w:val="0"/>
          <w:numId w:val="5"/>
        </w:numPr>
        <w:tabs>
          <w:tab w:val="left" w:pos="709"/>
          <w:tab w:val="left" w:pos="864"/>
        </w:tabs>
        <w:spacing w:line="276" w:lineRule="auto"/>
        <w:jc w:val="both"/>
        <w:rPr>
          <w:rFonts w:ascii="Arial" w:hAnsi="Arial" w:cs="Arial"/>
          <w:sz w:val="22"/>
          <w:szCs w:val="22"/>
        </w:rPr>
      </w:pPr>
      <w:r>
        <w:rPr>
          <w:rFonts w:ascii="Arial" w:hAnsi="Arial" w:cs="Arial"/>
          <w:sz w:val="22"/>
          <w:szCs w:val="22"/>
        </w:rPr>
        <w:t>Yes</w:t>
      </w:r>
    </w:p>
    <w:p w:rsidR="00107317" w:rsidRDefault="00107317" w:rsidP="00107317">
      <w:pPr>
        <w:tabs>
          <w:tab w:val="left" w:pos="709"/>
          <w:tab w:val="left" w:pos="864"/>
        </w:tabs>
        <w:spacing w:line="276" w:lineRule="auto"/>
        <w:ind w:left="709"/>
        <w:jc w:val="both"/>
        <w:rPr>
          <w:rFonts w:ascii="Arial" w:hAnsi="Arial" w:cs="Arial"/>
          <w:sz w:val="22"/>
          <w:szCs w:val="22"/>
        </w:rPr>
      </w:pPr>
      <w:r>
        <w:rPr>
          <w:rFonts w:ascii="Arial" w:hAnsi="Arial" w:cs="Arial"/>
          <w:sz w:val="22"/>
          <w:szCs w:val="22"/>
        </w:rPr>
        <w:t>(b)(i) 26 March 2018</w:t>
      </w:r>
    </w:p>
    <w:p w:rsidR="00C60FEB" w:rsidRPr="00107317" w:rsidRDefault="00107317" w:rsidP="00107317">
      <w:pPr>
        <w:tabs>
          <w:tab w:val="left" w:pos="709"/>
          <w:tab w:val="left" w:pos="864"/>
        </w:tabs>
        <w:spacing w:line="276" w:lineRule="auto"/>
        <w:ind w:left="709"/>
        <w:jc w:val="both"/>
        <w:rPr>
          <w:rFonts w:ascii="Arial" w:hAnsi="Arial" w:cs="Arial"/>
          <w:sz w:val="22"/>
          <w:szCs w:val="22"/>
        </w:rPr>
      </w:pPr>
      <w:r>
        <w:rPr>
          <w:rFonts w:ascii="Arial" w:hAnsi="Arial" w:cs="Arial"/>
          <w:sz w:val="22"/>
          <w:szCs w:val="22"/>
        </w:rPr>
        <w:t xml:space="preserve">(b)(ii) </w:t>
      </w:r>
      <w:r w:rsidRPr="00107317">
        <w:rPr>
          <w:rFonts w:ascii="Arial" w:hAnsi="Arial" w:cs="Arial"/>
          <w:sz w:val="22"/>
          <w:szCs w:val="22"/>
        </w:rPr>
        <w:t>departments</w:t>
      </w:r>
      <w:r>
        <w:rPr>
          <w:rFonts w:ascii="Arial" w:hAnsi="Arial" w:cs="Arial"/>
          <w:sz w:val="22"/>
          <w:szCs w:val="22"/>
        </w:rPr>
        <w:t>,</w:t>
      </w:r>
      <w:r w:rsidRPr="00107317">
        <w:rPr>
          <w:rFonts w:ascii="Arial" w:hAnsi="Arial" w:cs="Arial"/>
          <w:sz w:val="22"/>
          <w:szCs w:val="22"/>
        </w:rPr>
        <w:t xml:space="preserve"> constitutional institutions, public entities, </w:t>
      </w:r>
      <w:r>
        <w:rPr>
          <w:rFonts w:ascii="Arial" w:hAnsi="Arial" w:cs="Arial"/>
          <w:sz w:val="22"/>
          <w:szCs w:val="22"/>
        </w:rPr>
        <w:t xml:space="preserve">municipalities and </w:t>
      </w:r>
      <w:r>
        <w:rPr>
          <w:rFonts w:ascii="Arial" w:hAnsi="Arial" w:cs="Arial"/>
          <w:sz w:val="22"/>
          <w:szCs w:val="22"/>
        </w:rPr>
        <w:tab/>
      </w:r>
      <w:r>
        <w:rPr>
          <w:rFonts w:ascii="Arial" w:hAnsi="Arial" w:cs="Arial"/>
          <w:sz w:val="22"/>
          <w:szCs w:val="22"/>
        </w:rPr>
        <w:tab/>
      </w:r>
      <w:r>
        <w:rPr>
          <w:rFonts w:ascii="Arial" w:hAnsi="Arial" w:cs="Arial"/>
          <w:sz w:val="22"/>
          <w:szCs w:val="22"/>
        </w:rPr>
        <w:tab/>
        <w:t>municipal entities.</w:t>
      </w:r>
    </w:p>
    <w:p w:rsidR="0038130A" w:rsidRDefault="0038130A" w:rsidP="00FC154C">
      <w:pPr>
        <w:pStyle w:val="ListParagraph"/>
        <w:tabs>
          <w:tab w:val="left" w:pos="709"/>
          <w:tab w:val="left" w:pos="864"/>
        </w:tabs>
        <w:spacing w:line="276" w:lineRule="auto"/>
        <w:ind w:left="709"/>
        <w:jc w:val="both"/>
        <w:rPr>
          <w:rFonts w:ascii="Arial" w:hAnsi="Arial" w:cs="Arial"/>
          <w:sz w:val="22"/>
          <w:szCs w:val="22"/>
        </w:rPr>
      </w:pPr>
    </w:p>
    <w:p w:rsidR="00107317" w:rsidRDefault="00107317" w:rsidP="00107317">
      <w:pPr>
        <w:pStyle w:val="ListParagraph"/>
        <w:numPr>
          <w:ilvl w:val="0"/>
          <w:numId w:val="4"/>
        </w:numPr>
        <w:spacing w:line="276" w:lineRule="auto"/>
        <w:ind w:left="630" w:hanging="630"/>
        <w:jc w:val="both"/>
        <w:rPr>
          <w:rFonts w:ascii="Arial" w:hAnsi="Arial" w:cs="Arial"/>
          <w:sz w:val="22"/>
          <w:szCs w:val="22"/>
        </w:rPr>
      </w:pPr>
      <w:r w:rsidRPr="00107317">
        <w:rPr>
          <w:rFonts w:ascii="Arial" w:hAnsi="Arial" w:cs="Arial"/>
          <w:sz w:val="22"/>
          <w:szCs w:val="22"/>
        </w:rPr>
        <w:t>(a)  We do not have this information.</w:t>
      </w:r>
    </w:p>
    <w:p w:rsidR="00107317" w:rsidRDefault="00107317" w:rsidP="00107317">
      <w:pPr>
        <w:pStyle w:val="ListParagraph"/>
        <w:spacing w:line="276" w:lineRule="auto"/>
        <w:ind w:left="630"/>
        <w:jc w:val="both"/>
        <w:rPr>
          <w:rFonts w:ascii="Arial" w:hAnsi="Arial" w:cs="Arial"/>
          <w:sz w:val="22"/>
          <w:szCs w:val="22"/>
        </w:rPr>
      </w:pPr>
      <w:r>
        <w:rPr>
          <w:rFonts w:ascii="Arial" w:hAnsi="Arial" w:cs="Arial"/>
          <w:sz w:val="22"/>
          <w:szCs w:val="22"/>
        </w:rPr>
        <w:t>(b)  We do not have this information.</w:t>
      </w:r>
    </w:p>
    <w:p w:rsidR="00107317" w:rsidRDefault="00107317" w:rsidP="00107317">
      <w:pPr>
        <w:pStyle w:val="ListParagraph"/>
        <w:spacing w:line="276" w:lineRule="auto"/>
        <w:ind w:left="63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(aa) W</w:t>
      </w:r>
      <w:r w:rsidR="007F36FC">
        <w:rPr>
          <w:rFonts w:ascii="Arial" w:hAnsi="Arial" w:cs="Arial"/>
          <w:sz w:val="22"/>
          <w:szCs w:val="22"/>
        </w:rPr>
        <w:t>e do not have this information.</w:t>
      </w:r>
    </w:p>
    <w:p w:rsidR="00107317" w:rsidRDefault="00107317" w:rsidP="00107317">
      <w:pPr>
        <w:pStyle w:val="ListParagraph"/>
        <w:spacing w:line="276" w:lineRule="auto"/>
        <w:ind w:left="630"/>
        <w:jc w:val="both"/>
        <w:rPr>
          <w:rFonts w:ascii="Arial" w:hAnsi="Arial" w:cs="Arial"/>
          <w:sz w:val="22"/>
          <w:szCs w:val="22"/>
        </w:rPr>
      </w:pPr>
      <w:r>
        <w:rPr>
          <w:rFonts w:ascii="Arial" w:hAnsi="Arial" w:cs="Arial"/>
          <w:sz w:val="22"/>
          <w:szCs w:val="22"/>
        </w:rPr>
        <w:t>(i) (bb) We do not have this information</w:t>
      </w:r>
      <w:r w:rsidR="007F36FC">
        <w:rPr>
          <w:rFonts w:ascii="Arial" w:hAnsi="Arial" w:cs="Arial"/>
          <w:sz w:val="22"/>
          <w:szCs w:val="22"/>
        </w:rPr>
        <w:t>.</w:t>
      </w:r>
    </w:p>
    <w:p w:rsidR="007F36FC" w:rsidRPr="00107317" w:rsidRDefault="007F36FC" w:rsidP="00107317">
      <w:pPr>
        <w:pStyle w:val="ListParagraph"/>
        <w:spacing w:line="276" w:lineRule="auto"/>
        <w:ind w:left="630"/>
        <w:jc w:val="both"/>
        <w:rPr>
          <w:rFonts w:ascii="Arial" w:hAnsi="Arial" w:cs="Arial"/>
          <w:sz w:val="22"/>
          <w:szCs w:val="22"/>
        </w:rPr>
      </w:pPr>
      <w:r>
        <w:rPr>
          <w:rFonts w:ascii="Arial" w:hAnsi="Arial" w:cs="Arial"/>
          <w:sz w:val="22"/>
          <w:szCs w:val="22"/>
        </w:rPr>
        <w:t>(ii) We do not have this information.</w:t>
      </w:r>
      <w:r w:rsidR="00745919">
        <w:rPr>
          <w:rFonts w:ascii="Arial" w:hAnsi="Arial" w:cs="Arial"/>
          <w:sz w:val="22"/>
          <w:szCs w:val="22"/>
        </w:rPr>
        <w:t xml:space="preserve"> The DPME is responsible for coordination of this information.</w:t>
      </w:r>
      <w:r>
        <w:rPr>
          <w:rFonts w:ascii="Arial" w:hAnsi="Arial" w:cs="Arial"/>
          <w:sz w:val="22"/>
          <w:szCs w:val="22"/>
        </w:rPr>
        <w:t xml:space="preserve"> </w:t>
      </w:r>
    </w:p>
    <w:p w:rsidR="00C60FEB" w:rsidRPr="00107317" w:rsidRDefault="00C60FEB" w:rsidP="00107317">
      <w:pPr>
        <w:tabs>
          <w:tab w:val="left" w:pos="709"/>
          <w:tab w:val="left" w:pos="864"/>
        </w:tabs>
        <w:spacing w:line="276" w:lineRule="auto"/>
        <w:jc w:val="both"/>
        <w:rPr>
          <w:rFonts w:ascii="Arial" w:hAnsi="Arial" w:cs="Arial"/>
          <w:sz w:val="22"/>
          <w:szCs w:val="22"/>
        </w:rPr>
      </w:pPr>
      <w:r w:rsidRPr="00107317">
        <w:rPr>
          <w:rFonts w:ascii="Arial" w:hAnsi="Arial" w:cs="Arial"/>
          <w:sz w:val="22"/>
          <w:szCs w:val="22"/>
        </w:rPr>
        <w:t xml:space="preserve"> </w:t>
      </w:r>
    </w:p>
    <w:p w:rsidR="009854F6" w:rsidRPr="007663AF" w:rsidRDefault="009854F6" w:rsidP="001B0917">
      <w:pPr>
        <w:tabs>
          <w:tab w:val="left" w:pos="432"/>
          <w:tab w:val="left" w:pos="864"/>
        </w:tabs>
        <w:spacing w:line="276" w:lineRule="auto"/>
        <w:rPr>
          <w:rFonts w:ascii="Arial" w:hAnsi="Arial" w:cs="Arial"/>
          <w:sz w:val="22"/>
          <w:szCs w:val="22"/>
        </w:rPr>
      </w:pPr>
    </w:p>
    <w:p w:rsidR="00A11CD8" w:rsidRDefault="00A11CD8"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500A7C" w:rsidRDefault="00500A7C" w:rsidP="001B0917">
      <w:pPr>
        <w:tabs>
          <w:tab w:val="left" w:pos="432"/>
          <w:tab w:val="left" w:pos="864"/>
        </w:tabs>
        <w:spacing w:line="276" w:lineRule="auto"/>
        <w:rPr>
          <w:rFonts w:ascii="Arial" w:hAnsi="Arial" w:cs="Arial"/>
          <w:sz w:val="22"/>
          <w:szCs w:val="22"/>
        </w:rPr>
      </w:pPr>
    </w:p>
    <w:p w:rsidR="00500A7C" w:rsidRDefault="00500A7C" w:rsidP="001B0917">
      <w:pPr>
        <w:tabs>
          <w:tab w:val="left" w:pos="432"/>
          <w:tab w:val="left" w:pos="864"/>
        </w:tabs>
        <w:spacing w:line="276" w:lineRule="auto"/>
        <w:rPr>
          <w:rFonts w:ascii="Arial" w:hAnsi="Arial" w:cs="Arial"/>
          <w:sz w:val="22"/>
          <w:szCs w:val="22"/>
        </w:rPr>
      </w:pPr>
    </w:p>
    <w:p w:rsidR="008D596D" w:rsidRDefault="008D596D" w:rsidP="001B0917">
      <w:pPr>
        <w:tabs>
          <w:tab w:val="left" w:pos="432"/>
          <w:tab w:val="left" w:pos="864"/>
        </w:tabs>
        <w:spacing w:line="276" w:lineRule="auto"/>
        <w:rPr>
          <w:rFonts w:ascii="Arial" w:hAnsi="Arial" w:cs="Arial"/>
          <w:sz w:val="22"/>
          <w:szCs w:val="22"/>
        </w:rPr>
      </w:pPr>
    </w:p>
    <w:p w:rsidR="008D596D" w:rsidRDefault="008D596D" w:rsidP="001B0917">
      <w:pPr>
        <w:tabs>
          <w:tab w:val="left" w:pos="432"/>
          <w:tab w:val="left" w:pos="864"/>
        </w:tabs>
        <w:spacing w:line="276" w:lineRule="auto"/>
        <w:rPr>
          <w:rFonts w:ascii="Arial" w:hAnsi="Arial" w:cs="Arial"/>
          <w:sz w:val="22"/>
          <w:szCs w:val="22"/>
        </w:rPr>
      </w:pPr>
    </w:p>
    <w:p w:rsidR="008D596D" w:rsidRDefault="008D596D" w:rsidP="001B0917">
      <w:pPr>
        <w:tabs>
          <w:tab w:val="left" w:pos="432"/>
          <w:tab w:val="left" w:pos="864"/>
        </w:tabs>
        <w:spacing w:line="276" w:lineRule="auto"/>
        <w:rPr>
          <w:rFonts w:ascii="Arial" w:hAnsi="Arial" w:cs="Arial"/>
          <w:sz w:val="22"/>
          <w:szCs w:val="22"/>
        </w:rPr>
      </w:pPr>
    </w:p>
    <w:p w:rsidR="008D596D" w:rsidRDefault="008D596D" w:rsidP="001B0917">
      <w:pPr>
        <w:tabs>
          <w:tab w:val="left" w:pos="432"/>
          <w:tab w:val="left" w:pos="864"/>
        </w:tabs>
        <w:spacing w:line="276" w:lineRule="auto"/>
        <w:rPr>
          <w:rFonts w:ascii="Arial" w:hAnsi="Arial" w:cs="Arial"/>
          <w:sz w:val="22"/>
          <w:szCs w:val="22"/>
        </w:rPr>
      </w:pPr>
    </w:p>
    <w:p w:rsidR="008D596D" w:rsidRDefault="008D596D" w:rsidP="001B0917">
      <w:pPr>
        <w:tabs>
          <w:tab w:val="left" w:pos="432"/>
          <w:tab w:val="left" w:pos="864"/>
        </w:tabs>
        <w:spacing w:line="276" w:lineRule="auto"/>
        <w:rPr>
          <w:rFonts w:ascii="Arial" w:hAnsi="Arial" w:cs="Arial"/>
          <w:sz w:val="22"/>
          <w:szCs w:val="22"/>
        </w:rPr>
      </w:pPr>
    </w:p>
    <w:p w:rsidR="008D596D" w:rsidRDefault="008D596D"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6413"/>
    <w:multiLevelType w:val="hybridMultilevel"/>
    <w:tmpl w:val="CBB6A6D6"/>
    <w:lvl w:ilvl="0" w:tplc="1BB2C2A6">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4C77F1F"/>
    <w:multiLevelType w:val="hybridMultilevel"/>
    <w:tmpl w:val="9EDE1E88"/>
    <w:lvl w:ilvl="0" w:tplc="C9E4AB5E">
      <w:start w:val="9"/>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ED358C"/>
    <w:multiLevelType w:val="hybridMultilevel"/>
    <w:tmpl w:val="5086859A"/>
    <w:lvl w:ilvl="0" w:tplc="F2F073C2">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1MDYyMjUxNjA3MzBU0lEKTi0uzszPAykwqgUA1gTk/ywAAAA="/>
  </w:docVars>
  <w:rsids>
    <w:rsidRoot w:val="00063E28"/>
    <w:rsid w:val="000054AE"/>
    <w:rsid w:val="00007859"/>
    <w:rsid w:val="00011016"/>
    <w:rsid w:val="00016A41"/>
    <w:rsid w:val="00020C04"/>
    <w:rsid w:val="00023BC3"/>
    <w:rsid w:val="00042E4A"/>
    <w:rsid w:val="00063E28"/>
    <w:rsid w:val="00072EBE"/>
    <w:rsid w:val="0009583C"/>
    <w:rsid w:val="000A03A9"/>
    <w:rsid w:val="000A7C65"/>
    <w:rsid w:val="000B5D30"/>
    <w:rsid w:val="000C2BEF"/>
    <w:rsid w:val="000C48D8"/>
    <w:rsid w:val="000E0FF8"/>
    <w:rsid w:val="000E1B36"/>
    <w:rsid w:val="000F3B14"/>
    <w:rsid w:val="000F477D"/>
    <w:rsid w:val="00107317"/>
    <w:rsid w:val="001433AE"/>
    <w:rsid w:val="0014441E"/>
    <w:rsid w:val="0015727B"/>
    <w:rsid w:val="00183DF1"/>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855CE"/>
    <w:rsid w:val="002867DD"/>
    <w:rsid w:val="002A4157"/>
    <w:rsid w:val="002E3A63"/>
    <w:rsid w:val="002F6E86"/>
    <w:rsid w:val="00304578"/>
    <w:rsid w:val="00307402"/>
    <w:rsid w:val="003421BD"/>
    <w:rsid w:val="00344553"/>
    <w:rsid w:val="00351BF5"/>
    <w:rsid w:val="00365F4C"/>
    <w:rsid w:val="0038130A"/>
    <w:rsid w:val="00382856"/>
    <w:rsid w:val="003D0EE1"/>
    <w:rsid w:val="003F3C43"/>
    <w:rsid w:val="0043065E"/>
    <w:rsid w:val="00454647"/>
    <w:rsid w:val="00455CE1"/>
    <w:rsid w:val="0047127F"/>
    <w:rsid w:val="00472D86"/>
    <w:rsid w:val="00485B2E"/>
    <w:rsid w:val="004A078E"/>
    <w:rsid w:val="004D7FA6"/>
    <w:rsid w:val="004F23BB"/>
    <w:rsid w:val="004F43FB"/>
    <w:rsid w:val="00500A7C"/>
    <w:rsid w:val="005141B3"/>
    <w:rsid w:val="00532BB4"/>
    <w:rsid w:val="00533C35"/>
    <w:rsid w:val="005671C0"/>
    <w:rsid w:val="005706F1"/>
    <w:rsid w:val="00574E19"/>
    <w:rsid w:val="005A25BC"/>
    <w:rsid w:val="005D178B"/>
    <w:rsid w:val="00611151"/>
    <w:rsid w:val="00612FCD"/>
    <w:rsid w:val="00613FC6"/>
    <w:rsid w:val="006210A6"/>
    <w:rsid w:val="006239F1"/>
    <w:rsid w:val="00624D20"/>
    <w:rsid w:val="0062770E"/>
    <w:rsid w:val="0064275F"/>
    <w:rsid w:val="00646E7C"/>
    <w:rsid w:val="00647EF2"/>
    <w:rsid w:val="00653A85"/>
    <w:rsid w:val="00674982"/>
    <w:rsid w:val="00685058"/>
    <w:rsid w:val="00685B6D"/>
    <w:rsid w:val="00693A64"/>
    <w:rsid w:val="006A16A6"/>
    <w:rsid w:val="006D1766"/>
    <w:rsid w:val="006D32F5"/>
    <w:rsid w:val="007118EA"/>
    <w:rsid w:val="00726A9C"/>
    <w:rsid w:val="007359BF"/>
    <w:rsid w:val="00741CA5"/>
    <w:rsid w:val="00743F26"/>
    <w:rsid w:val="00745919"/>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7F36FC"/>
    <w:rsid w:val="00803AC4"/>
    <w:rsid w:val="00813FF0"/>
    <w:rsid w:val="008321A4"/>
    <w:rsid w:val="00840093"/>
    <w:rsid w:val="00852DC3"/>
    <w:rsid w:val="0087013F"/>
    <w:rsid w:val="00876CBB"/>
    <w:rsid w:val="00891265"/>
    <w:rsid w:val="008B4E4F"/>
    <w:rsid w:val="008C2559"/>
    <w:rsid w:val="008D596D"/>
    <w:rsid w:val="008E01C3"/>
    <w:rsid w:val="008E4142"/>
    <w:rsid w:val="009021F5"/>
    <w:rsid w:val="00911717"/>
    <w:rsid w:val="009134C4"/>
    <w:rsid w:val="009163A5"/>
    <w:rsid w:val="00917FCA"/>
    <w:rsid w:val="00953363"/>
    <w:rsid w:val="0096007E"/>
    <w:rsid w:val="009854F6"/>
    <w:rsid w:val="00991635"/>
    <w:rsid w:val="009951EA"/>
    <w:rsid w:val="009A18A7"/>
    <w:rsid w:val="009A3C71"/>
    <w:rsid w:val="009A7DA2"/>
    <w:rsid w:val="009B3666"/>
    <w:rsid w:val="009B5327"/>
    <w:rsid w:val="009C69F6"/>
    <w:rsid w:val="009E1AB2"/>
    <w:rsid w:val="009E357F"/>
    <w:rsid w:val="00A02200"/>
    <w:rsid w:val="00A11CD8"/>
    <w:rsid w:val="00A31827"/>
    <w:rsid w:val="00A32974"/>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500B"/>
    <w:rsid w:val="00B35E0C"/>
    <w:rsid w:val="00B447E6"/>
    <w:rsid w:val="00B5649A"/>
    <w:rsid w:val="00B72D0B"/>
    <w:rsid w:val="00B77F67"/>
    <w:rsid w:val="00B913C7"/>
    <w:rsid w:val="00B95452"/>
    <w:rsid w:val="00BC3150"/>
    <w:rsid w:val="00BD31C6"/>
    <w:rsid w:val="00BF37E2"/>
    <w:rsid w:val="00BF5863"/>
    <w:rsid w:val="00C25C7E"/>
    <w:rsid w:val="00C312EA"/>
    <w:rsid w:val="00C44C35"/>
    <w:rsid w:val="00C472D6"/>
    <w:rsid w:val="00C60822"/>
    <w:rsid w:val="00C60FEB"/>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ED51F7"/>
    <w:rsid w:val="00F03C60"/>
    <w:rsid w:val="00F1703D"/>
    <w:rsid w:val="00F33FEC"/>
    <w:rsid w:val="00F51C17"/>
    <w:rsid w:val="00F5571A"/>
    <w:rsid w:val="00F65949"/>
    <w:rsid w:val="00F754AB"/>
    <w:rsid w:val="00F87EA6"/>
    <w:rsid w:val="00FB0ABC"/>
    <w:rsid w:val="00FB7230"/>
    <w:rsid w:val="00FC154C"/>
    <w:rsid w:val="00FC2064"/>
    <w:rsid w:val="00FD595E"/>
    <w:rsid w:val="00FF57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7CD47-DD4C-4FFD-9E2D-0F846B34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E1C1-A653-40D2-B238-15EB21B6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2018-11-16T12:34:00Z</cp:lastPrinted>
  <dcterms:created xsi:type="dcterms:W3CDTF">2018-12-31T13:42:00Z</dcterms:created>
  <dcterms:modified xsi:type="dcterms:W3CDTF">2018-12-31T13:42:00Z</dcterms:modified>
</cp:coreProperties>
</file>