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19CA3" w14:textId="77777777" w:rsidR="006A6CC2" w:rsidRDefault="006A6CC2" w:rsidP="009C454A">
      <w:pPr>
        <w:spacing w:before="100" w:beforeAutospacing="1" w:after="100" w:afterAutospacing="1" w:line="360" w:lineRule="auto"/>
        <w:jc w:val="both"/>
        <w:outlineLvl w:val="0"/>
        <w:rPr>
          <w:rFonts w:ascii="Arial" w:eastAsia="Calibri" w:hAnsi="Arial" w:cs="Arial"/>
          <w:b/>
          <w:lang w:val="en-ZA"/>
        </w:rPr>
      </w:pPr>
    </w:p>
    <w:p w14:paraId="1625D740" w14:textId="77777777" w:rsidR="00A45518" w:rsidRPr="00A45518" w:rsidRDefault="00A45518" w:rsidP="00A80059">
      <w:pPr>
        <w:spacing w:before="100" w:beforeAutospacing="1" w:after="100" w:afterAutospacing="1" w:line="360" w:lineRule="auto"/>
        <w:jc w:val="both"/>
        <w:outlineLvl w:val="0"/>
        <w:rPr>
          <w:rFonts w:ascii="Arial" w:eastAsia="Calibri" w:hAnsi="Arial" w:cs="Arial"/>
          <w:b/>
          <w:lang w:val="en-ZA"/>
        </w:rPr>
      </w:pPr>
      <w:r w:rsidRPr="00A45518">
        <w:rPr>
          <w:rFonts w:ascii="Arial" w:eastAsia="Calibri" w:hAnsi="Arial" w:cs="Arial"/>
          <w:b/>
          <w:lang w:val="en-ZA"/>
        </w:rPr>
        <w:t>National Assembly:</w:t>
      </w:r>
    </w:p>
    <w:p w14:paraId="44BF8126" w14:textId="77777777" w:rsidR="00A45518" w:rsidRPr="00A45518" w:rsidRDefault="00A45518" w:rsidP="00A80059">
      <w:pPr>
        <w:spacing w:before="100" w:beforeAutospacing="1" w:after="100" w:afterAutospacing="1" w:line="360" w:lineRule="auto"/>
        <w:jc w:val="both"/>
        <w:outlineLvl w:val="0"/>
        <w:rPr>
          <w:rFonts w:ascii="Arial" w:eastAsia="Calibri" w:hAnsi="Arial" w:cs="Arial"/>
          <w:b/>
          <w:lang w:val="en-ZA"/>
        </w:rPr>
      </w:pPr>
      <w:r w:rsidRPr="00A45518">
        <w:rPr>
          <w:rFonts w:ascii="Arial" w:eastAsia="Calibri" w:hAnsi="Arial" w:cs="Arial"/>
          <w:b/>
          <w:lang w:val="en-ZA"/>
        </w:rPr>
        <w:t>Question Number: 3416</w:t>
      </w:r>
    </w:p>
    <w:p w14:paraId="01CA72EA" w14:textId="0EF47795" w:rsidR="00A45518" w:rsidRPr="00A45518" w:rsidRDefault="00A45518" w:rsidP="00A80059">
      <w:pPr>
        <w:spacing w:before="100" w:beforeAutospacing="1" w:after="100" w:afterAutospacing="1" w:line="360" w:lineRule="auto"/>
        <w:ind w:left="720" w:hanging="720"/>
        <w:jc w:val="both"/>
        <w:outlineLvl w:val="0"/>
        <w:rPr>
          <w:rFonts w:ascii="Arial" w:hAnsi="Arial" w:cs="Arial"/>
          <w:b/>
        </w:rPr>
      </w:pPr>
      <w:r w:rsidRPr="00A45518">
        <w:rPr>
          <w:rFonts w:ascii="Arial" w:hAnsi="Arial" w:cs="Arial"/>
          <w:b/>
        </w:rPr>
        <w:t>Mr C H H Hunsinger (DA) to ask the Minister of Transport:</w:t>
      </w:r>
    </w:p>
    <w:p w14:paraId="6F628994" w14:textId="77777777" w:rsidR="00A80059" w:rsidRDefault="00A45518" w:rsidP="00A80059">
      <w:pPr>
        <w:widowControl w:val="0"/>
        <w:autoSpaceDE w:val="0"/>
        <w:autoSpaceDN w:val="0"/>
        <w:adjustRightInd w:val="0"/>
        <w:spacing w:before="100" w:beforeAutospacing="1" w:after="100" w:afterAutospacing="1" w:line="360" w:lineRule="auto"/>
        <w:ind w:left="709" w:firstLine="11"/>
        <w:jc w:val="both"/>
        <w:rPr>
          <w:rFonts w:ascii="Arial" w:hAnsi="Arial" w:cs="Arial"/>
        </w:rPr>
      </w:pPr>
      <w:r w:rsidRPr="00A45518">
        <w:rPr>
          <w:rFonts w:ascii="Arial" w:hAnsi="Arial" w:cs="Arial"/>
        </w:rPr>
        <w:t>(a) What are the reasons that the rental for accommodation at train stations has been increased at train stations, (b) on what date did the rental increase and (c) what is the impact of the increased rental on the tenants and potential tenants?</w:t>
      </w:r>
      <w:r w:rsidRPr="00A45518">
        <w:rPr>
          <w:rFonts w:ascii="Arial" w:hAnsi="Arial" w:cs="Arial"/>
        </w:rPr>
        <w:tab/>
      </w:r>
      <w:r w:rsidRPr="00A45518">
        <w:rPr>
          <w:rFonts w:ascii="Arial" w:hAnsi="Arial" w:cs="Arial"/>
        </w:rPr>
        <w:tab/>
      </w:r>
    </w:p>
    <w:p w14:paraId="4EA721E5" w14:textId="771EB068" w:rsidR="00A45518" w:rsidRPr="00A45518" w:rsidRDefault="00A45518" w:rsidP="00A80059">
      <w:pPr>
        <w:widowControl w:val="0"/>
        <w:autoSpaceDE w:val="0"/>
        <w:autoSpaceDN w:val="0"/>
        <w:adjustRightInd w:val="0"/>
        <w:spacing w:before="100" w:beforeAutospacing="1" w:after="100" w:afterAutospacing="1" w:line="360" w:lineRule="auto"/>
        <w:ind w:left="8629" w:firstLine="11"/>
        <w:jc w:val="both"/>
        <w:rPr>
          <w:rFonts w:ascii="Arial" w:hAnsi="Arial" w:cs="Arial"/>
          <w:b/>
        </w:rPr>
      </w:pPr>
      <w:r w:rsidRPr="00A45518">
        <w:rPr>
          <w:rFonts w:ascii="Arial" w:hAnsi="Arial" w:cs="Arial"/>
          <w:b/>
        </w:rPr>
        <w:t>NW3905E</w:t>
      </w:r>
    </w:p>
    <w:p w14:paraId="7CCC3272" w14:textId="77777777" w:rsidR="00A45518" w:rsidRPr="00A45518" w:rsidRDefault="00A45518" w:rsidP="00A80059">
      <w:pPr>
        <w:spacing w:after="0" w:line="360" w:lineRule="auto"/>
        <w:jc w:val="both"/>
        <w:outlineLvl w:val="0"/>
        <w:rPr>
          <w:rFonts w:ascii="Arial" w:eastAsia="Calibri" w:hAnsi="Arial" w:cs="Arial"/>
          <w:lang w:val="en-ZA"/>
        </w:rPr>
      </w:pPr>
    </w:p>
    <w:p w14:paraId="40B8319B" w14:textId="77777777" w:rsidR="00A45518" w:rsidRPr="00A45518" w:rsidRDefault="00A45518" w:rsidP="00A80059">
      <w:pPr>
        <w:spacing w:after="0" w:line="360" w:lineRule="auto"/>
        <w:jc w:val="both"/>
        <w:outlineLvl w:val="0"/>
        <w:rPr>
          <w:rFonts w:ascii="Arial" w:eastAsia="Calibri" w:hAnsi="Arial" w:cs="Arial"/>
          <w:lang w:val="en-ZA"/>
        </w:rPr>
      </w:pPr>
    </w:p>
    <w:p w14:paraId="7553DA40" w14:textId="009E421E" w:rsidR="00A45518" w:rsidRPr="00A45518" w:rsidRDefault="00A45518" w:rsidP="00A80059">
      <w:pPr>
        <w:spacing w:after="0" w:line="360" w:lineRule="auto"/>
        <w:jc w:val="both"/>
        <w:outlineLvl w:val="0"/>
        <w:rPr>
          <w:rFonts w:ascii="Arial" w:eastAsia="Calibri" w:hAnsi="Arial" w:cs="Arial"/>
          <w:lang w:val="en-ZA"/>
        </w:rPr>
      </w:pPr>
      <w:r w:rsidRPr="00A45518">
        <w:rPr>
          <w:rFonts w:ascii="Arial" w:eastAsia="Calibri" w:hAnsi="Arial" w:cs="Arial"/>
          <w:b/>
          <w:lang w:val="en-ZA"/>
        </w:rPr>
        <w:t>R</w:t>
      </w:r>
      <w:r w:rsidR="00A80059">
        <w:rPr>
          <w:rFonts w:ascii="Arial" w:eastAsia="Calibri" w:hAnsi="Arial" w:cs="Arial"/>
          <w:b/>
          <w:lang w:val="en-ZA"/>
        </w:rPr>
        <w:t>EPLY</w:t>
      </w:r>
      <w:r w:rsidRPr="00A45518">
        <w:rPr>
          <w:rFonts w:ascii="Arial" w:eastAsia="Calibri" w:hAnsi="Arial" w:cs="Arial"/>
          <w:b/>
          <w:lang w:val="en-ZA"/>
        </w:rPr>
        <w:t>:</w:t>
      </w:r>
    </w:p>
    <w:p w14:paraId="2CE8CC60" w14:textId="77777777" w:rsidR="00A45518" w:rsidRPr="00A45518" w:rsidRDefault="00A45518" w:rsidP="00A80059">
      <w:pPr>
        <w:spacing w:after="0" w:line="360" w:lineRule="auto"/>
        <w:jc w:val="both"/>
        <w:outlineLvl w:val="0"/>
        <w:rPr>
          <w:rFonts w:ascii="Arial" w:eastAsia="Calibri" w:hAnsi="Arial" w:cs="Arial"/>
          <w:lang w:val="en-ZA"/>
        </w:rPr>
      </w:pPr>
    </w:p>
    <w:p w14:paraId="79F553EA" w14:textId="77777777" w:rsidR="00A45518" w:rsidRPr="00A45518" w:rsidRDefault="00A45518" w:rsidP="00A80059">
      <w:pPr>
        <w:numPr>
          <w:ilvl w:val="0"/>
          <w:numId w:val="48"/>
        </w:numPr>
        <w:spacing w:after="0" w:line="360" w:lineRule="auto"/>
        <w:ind w:left="567" w:hanging="567"/>
        <w:contextualSpacing/>
        <w:jc w:val="both"/>
        <w:outlineLvl w:val="0"/>
        <w:rPr>
          <w:rFonts w:ascii="Arial" w:eastAsia="Calibri" w:hAnsi="Arial" w:cs="Arial"/>
          <w:b/>
          <w:lang w:val="en-ZA"/>
        </w:rPr>
      </w:pPr>
      <w:r w:rsidRPr="00A45518">
        <w:rPr>
          <w:rFonts w:ascii="Arial" w:eastAsia="Calibri" w:hAnsi="Arial" w:cs="Arial"/>
          <w:lang w:val="en-ZA"/>
        </w:rPr>
        <w:t>Reasons that the rental for accommodation at train stations has been increased are:</w:t>
      </w:r>
    </w:p>
    <w:p w14:paraId="53A13E6E" w14:textId="77777777" w:rsidR="00A45518" w:rsidRPr="00A45518" w:rsidRDefault="00A45518" w:rsidP="00A80059">
      <w:pPr>
        <w:spacing w:after="0" w:line="360" w:lineRule="auto"/>
        <w:ind w:left="567"/>
        <w:contextualSpacing/>
        <w:jc w:val="both"/>
        <w:outlineLvl w:val="0"/>
        <w:rPr>
          <w:rFonts w:ascii="Arial" w:eastAsia="Calibri" w:hAnsi="Arial" w:cs="Arial"/>
          <w:lang w:val="en-ZA"/>
        </w:rPr>
      </w:pPr>
    </w:p>
    <w:p w14:paraId="6BE4D6B4" w14:textId="77777777" w:rsidR="00A45518" w:rsidRPr="00A45518" w:rsidRDefault="00A45518" w:rsidP="00A80059">
      <w:pPr>
        <w:numPr>
          <w:ilvl w:val="0"/>
          <w:numId w:val="49"/>
        </w:numPr>
        <w:spacing w:after="0" w:line="360" w:lineRule="auto"/>
        <w:ind w:left="1134" w:hanging="567"/>
        <w:contextualSpacing/>
        <w:jc w:val="both"/>
        <w:outlineLvl w:val="0"/>
        <w:rPr>
          <w:rFonts w:ascii="Arial" w:eastAsia="Calibri" w:hAnsi="Arial" w:cs="Arial"/>
          <w:b/>
          <w:lang w:val="en-ZA"/>
        </w:rPr>
      </w:pPr>
      <w:r w:rsidRPr="00A45518">
        <w:rPr>
          <w:rFonts w:ascii="Arial" w:eastAsia="Calibri" w:hAnsi="Arial" w:cs="Arial"/>
          <w:lang w:val="en-ZA"/>
        </w:rPr>
        <w:t>Tenants at all stations entered into Lease Agreements as prescribed by the Passenger Rail Agency of South Africa’s (PRASA) Leasing Policy for the use of such premises.</w:t>
      </w:r>
    </w:p>
    <w:p w14:paraId="450DA1F0" w14:textId="77777777" w:rsidR="00A45518" w:rsidRPr="00A45518" w:rsidRDefault="00A45518" w:rsidP="00A80059">
      <w:pPr>
        <w:numPr>
          <w:ilvl w:val="0"/>
          <w:numId w:val="49"/>
        </w:numPr>
        <w:spacing w:after="0" w:line="360" w:lineRule="auto"/>
        <w:ind w:left="1134" w:hanging="567"/>
        <w:contextualSpacing/>
        <w:jc w:val="both"/>
        <w:outlineLvl w:val="0"/>
        <w:rPr>
          <w:rFonts w:ascii="Arial" w:eastAsia="Calibri" w:hAnsi="Arial" w:cs="Arial"/>
          <w:b/>
          <w:lang w:val="en-ZA"/>
        </w:rPr>
      </w:pPr>
      <w:r w:rsidRPr="00A45518">
        <w:rPr>
          <w:rFonts w:ascii="Arial" w:eastAsia="Calibri" w:hAnsi="Arial" w:cs="Arial"/>
          <w:lang w:val="en-ZA"/>
        </w:rPr>
        <w:t>The rentals paid at the station are market related and are negotiated and agreed upon with the tenant on a lease document signed by both parties.</w:t>
      </w:r>
    </w:p>
    <w:p w14:paraId="370A596B" w14:textId="77777777" w:rsidR="00A45518" w:rsidRPr="00A45518" w:rsidRDefault="00A45518" w:rsidP="00A80059">
      <w:pPr>
        <w:numPr>
          <w:ilvl w:val="0"/>
          <w:numId w:val="49"/>
        </w:numPr>
        <w:spacing w:after="0" w:line="360" w:lineRule="auto"/>
        <w:ind w:left="1134" w:hanging="567"/>
        <w:contextualSpacing/>
        <w:jc w:val="both"/>
        <w:outlineLvl w:val="0"/>
        <w:rPr>
          <w:rFonts w:ascii="Arial" w:eastAsia="Calibri" w:hAnsi="Arial" w:cs="Arial"/>
          <w:b/>
          <w:lang w:val="en-ZA"/>
        </w:rPr>
      </w:pPr>
      <w:r w:rsidRPr="00A45518">
        <w:rPr>
          <w:rFonts w:ascii="Arial" w:eastAsia="Calibri" w:hAnsi="Arial" w:cs="Arial"/>
          <w:lang w:val="en-ZA"/>
        </w:rPr>
        <w:t>PRASA’s lease agreements provides for a rental escalation which occurs at the anniversary of each agreement.</w:t>
      </w:r>
    </w:p>
    <w:p w14:paraId="2315208F" w14:textId="77777777" w:rsidR="00A45518" w:rsidRPr="00A45518" w:rsidRDefault="00A45518" w:rsidP="00A80059">
      <w:pPr>
        <w:numPr>
          <w:ilvl w:val="0"/>
          <w:numId w:val="49"/>
        </w:numPr>
        <w:spacing w:after="0" w:line="360" w:lineRule="auto"/>
        <w:ind w:left="1134" w:hanging="567"/>
        <w:contextualSpacing/>
        <w:jc w:val="both"/>
        <w:outlineLvl w:val="0"/>
        <w:rPr>
          <w:rFonts w:ascii="Arial" w:eastAsia="Calibri" w:hAnsi="Arial" w:cs="Arial"/>
          <w:b/>
          <w:lang w:val="en-ZA"/>
        </w:rPr>
      </w:pPr>
      <w:r w:rsidRPr="00A45518">
        <w:rPr>
          <w:rFonts w:ascii="Arial" w:eastAsia="Calibri" w:hAnsi="Arial" w:cs="Arial"/>
          <w:lang w:val="en-ZA"/>
        </w:rPr>
        <w:t>Such annual rentals escalation are market related researched and determined by the approved registered property valuers serving in the property sector.</w:t>
      </w:r>
    </w:p>
    <w:p w14:paraId="7C8EDABF" w14:textId="77777777" w:rsidR="00A45518" w:rsidRPr="00A45518" w:rsidRDefault="00A45518" w:rsidP="00A80059">
      <w:pPr>
        <w:spacing w:after="0" w:line="360" w:lineRule="auto"/>
        <w:ind w:left="1134"/>
        <w:contextualSpacing/>
        <w:jc w:val="both"/>
        <w:outlineLvl w:val="0"/>
        <w:rPr>
          <w:rFonts w:ascii="Arial" w:eastAsia="Calibri" w:hAnsi="Arial" w:cs="Arial"/>
          <w:b/>
          <w:lang w:val="en-ZA"/>
        </w:rPr>
      </w:pPr>
    </w:p>
    <w:p w14:paraId="0F6AD890" w14:textId="77777777" w:rsidR="00A45518" w:rsidRPr="00A45518" w:rsidRDefault="00A45518" w:rsidP="00A80059">
      <w:pPr>
        <w:spacing w:after="0" w:line="360" w:lineRule="auto"/>
        <w:ind w:left="1134"/>
        <w:contextualSpacing/>
        <w:jc w:val="both"/>
        <w:outlineLvl w:val="0"/>
        <w:rPr>
          <w:rFonts w:ascii="Arial" w:eastAsia="Calibri" w:hAnsi="Arial" w:cs="Arial"/>
          <w:b/>
          <w:lang w:val="en-ZA"/>
        </w:rPr>
      </w:pPr>
    </w:p>
    <w:p w14:paraId="1102B381" w14:textId="77777777" w:rsidR="00A45518" w:rsidRPr="00A45518" w:rsidRDefault="00A45518" w:rsidP="00A80059">
      <w:pPr>
        <w:numPr>
          <w:ilvl w:val="0"/>
          <w:numId w:val="48"/>
        </w:numPr>
        <w:spacing w:after="0" w:line="360" w:lineRule="auto"/>
        <w:ind w:left="567" w:hanging="567"/>
        <w:contextualSpacing/>
        <w:jc w:val="both"/>
        <w:outlineLvl w:val="0"/>
        <w:rPr>
          <w:rFonts w:ascii="Arial" w:eastAsia="Calibri" w:hAnsi="Arial" w:cs="Arial"/>
          <w:b/>
          <w:lang w:val="en-ZA"/>
        </w:rPr>
      </w:pPr>
      <w:r w:rsidRPr="00A45518">
        <w:rPr>
          <w:rFonts w:ascii="Arial" w:eastAsia="Calibri" w:hAnsi="Arial" w:cs="Arial"/>
          <w:lang w:val="en-ZA"/>
        </w:rPr>
        <w:t>Date of rental increase:</w:t>
      </w:r>
    </w:p>
    <w:p w14:paraId="2FAD0F44" w14:textId="77777777" w:rsidR="00A45518" w:rsidRPr="00A45518" w:rsidRDefault="00A45518" w:rsidP="00A80059">
      <w:pPr>
        <w:spacing w:after="0" w:line="360" w:lineRule="auto"/>
        <w:ind w:left="567"/>
        <w:contextualSpacing/>
        <w:jc w:val="both"/>
        <w:outlineLvl w:val="0"/>
        <w:rPr>
          <w:rFonts w:ascii="Arial" w:eastAsia="Calibri" w:hAnsi="Arial" w:cs="Arial"/>
          <w:b/>
          <w:lang w:val="en-ZA"/>
        </w:rPr>
      </w:pPr>
    </w:p>
    <w:p w14:paraId="1D2F6E69" w14:textId="77777777" w:rsidR="00A45518" w:rsidRPr="00A45518" w:rsidRDefault="00A45518" w:rsidP="00A80059">
      <w:pPr>
        <w:numPr>
          <w:ilvl w:val="0"/>
          <w:numId w:val="49"/>
        </w:numPr>
        <w:spacing w:after="0" w:line="360" w:lineRule="auto"/>
        <w:ind w:left="1134" w:hanging="567"/>
        <w:contextualSpacing/>
        <w:jc w:val="both"/>
        <w:outlineLvl w:val="0"/>
        <w:rPr>
          <w:rFonts w:ascii="Arial" w:eastAsia="Calibri" w:hAnsi="Arial" w:cs="Arial"/>
          <w:b/>
          <w:lang w:val="en-ZA"/>
        </w:rPr>
      </w:pPr>
      <w:r w:rsidRPr="00A45518">
        <w:rPr>
          <w:rFonts w:ascii="Arial" w:eastAsia="Calibri" w:hAnsi="Arial" w:cs="Arial"/>
          <w:lang w:val="en-ZA"/>
        </w:rPr>
        <w:t>Law of contract prescribes the lease agreement to have a start and end date to be a valid contract.</w:t>
      </w:r>
    </w:p>
    <w:p w14:paraId="3FAB694B" w14:textId="77777777" w:rsidR="00A45518" w:rsidRPr="00A45518" w:rsidRDefault="00A45518" w:rsidP="00A80059">
      <w:pPr>
        <w:numPr>
          <w:ilvl w:val="0"/>
          <w:numId w:val="49"/>
        </w:numPr>
        <w:spacing w:after="0" w:line="360" w:lineRule="auto"/>
        <w:ind w:left="1134" w:hanging="567"/>
        <w:contextualSpacing/>
        <w:jc w:val="both"/>
        <w:outlineLvl w:val="0"/>
        <w:rPr>
          <w:rFonts w:ascii="Arial" w:eastAsia="Calibri" w:hAnsi="Arial" w:cs="Arial"/>
          <w:b/>
          <w:lang w:val="en-ZA"/>
        </w:rPr>
      </w:pPr>
      <w:r w:rsidRPr="00A45518">
        <w:rPr>
          <w:rFonts w:ascii="Arial" w:eastAsia="Calibri" w:hAnsi="Arial" w:cs="Arial"/>
          <w:lang w:val="en-ZA"/>
        </w:rPr>
        <w:t>Each contract will clearly indicate when the lease shall be due for escalation on the annual anniversary of each lease.</w:t>
      </w:r>
    </w:p>
    <w:p w14:paraId="2DF33019" w14:textId="77777777" w:rsidR="00A45518" w:rsidRPr="00A45518" w:rsidRDefault="00A45518" w:rsidP="00A80059">
      <w:pPr>
        <w:numPr>
          <w:ilvl w:val="0"/>
          <w:numId w:val="49"/>
        </w:numPr>
        <w:spacing w:after="0" w:line="360" w:lineRule="auto"/>
        <w:ind w:left="1134" w:hanging="567"/>
        <w:contextualSpacing/>
        <w:jc w:val="both"/>
        <w:outlineLvl w:val="0"/>
        <w:rPr>
          <w:rFonts w:ascii="Arial" w:eastAsia="Calibri" w:hAnsi="Arial" w:cs="Arial"/>
          <w:b/>
          <w:lang w:val="en-ZA"/>
        </w:rPr>
      </w:pPr>
      <w:r w:rsidRPr="00A45518">
        <w:rPr>
          <w:rFonts w:ascii="Arial" w:eastAsia="Calibri" w:hAnsi="Arial" w:cs="Arial"/>
          <w:lang w:val="en-ZA"/>
        </w:rPr>
        <w:t>Lease commencement dates will differ from lease to lease depending on when the agreed use of the property is envisaged to take place.</w:t>
      </w:r>
      <w:bookmarkStart w:id="0" w:name="_GoBack"/>
      <w:bookmarkEnd w:id="0"/>
    </w:p>
    <w:p w14:paraId="6588FE5B" w14:textId="77777777" w:rsidR="00A45518" w:rsidRPr="00A45518" w:rsidRDefault="00A45518" w:rsidP="00A80059">
      <w:pPr>
        <w:spacing w:after="0" w:line="360" w:lineRule="auto"/>
        <w:ind w:left="1134"/>
        <w:contextualSpacing/>
        <w:jc w:val="both"/>
        <w:outlineLvl w:val="0"/>
        <w:rPr>
          <w:rFonts w:ascii="Arial" w:eastAsia="Calibri" w:hAnsi="Arial" w:cs="Arial"/>
          <w:b/>
          <w:lang w:val="en-ZA"/>
        </w:rPr>
      </w:pPr>
    </w:p>
    <w:p w14:paraId="5392C9A4" w14:textId="77777777" w:rsidR="00A45518" w:rsidRPr="00A45518" w:rsidRDefault="00A45518" w:rsidP="00A80059">
      <w:pPr>
        <w:spacing w:after="0" w:line="360" w:lineRule="auto"/>
        <w:ind w:left="1134"/>
        <w:contextualSpacing/>
        <w:jc w:val="both"/>
        <w:outlineLvl w:val="0"/>
        <w:rPr>
          <w:rFonts w:ascii="Arial" w:eastAsia="Calibri" w:hAnsi="Arial" w:cs="Arial"/>
          <w:b/>
          <w:lang w:val="en-ZA"/>
        </w:rPr>
      </w:pPr>
    </w:p>
    <w:p w14:paraId="414E7796" w14:textId="77777777" w:rsidR="00A45518" w:rsidRPr="00A45518" w:rsidRDefault="00A45518" w:rsidP="00A80059">
      <w:pPr>
        <w:numPr>
          <w:ilvl w:val="0"/>
          <w:numId w:val="48"/>
        </w:numPr>
        <w:spacing w:after="0" w:line="360" w:lineRule="auto"/>
        <w:ind w:left="567" w:hanging="567"/>
        <w:contextualSpacing/>
        <w:jc w:val="both"/>
        <w:outlineLvl w:val="0"/>
        <w:rPr>
          <w:rFonts w:ascii="Arial" w:eastAsia="Calibri" w:hAnsi="Arial" w:cs="Arial"/>
          <w:b/>
          <w:lang w:val="en-ZA"/>
        </w:rPr>
      </w:pPr>
      <w:r w:rsidRPr="00A45518">
        <w:rPr>
          <w:rFonts w:ascii="Arial" w:eastAsia="Calibri" w:hAnsi="Arial" w:cs="Arial"/>
          <w:lang w:val="en-ZA"/>
        </w:rPr>
        <w:t>The impact of the increased rental on tenants and potential tenants are:</w:t>
      </w:r>
    </w:p>
    <w:p w14:paraId="7A4E9B9E" w14:textId="77777777" w:rsidR="00A45518" w:rsidRPr="00A45518" w:rsidRDefault="00A45518" w:rsidP="00A80059">
      <w:pPr>
        <w:spacing w:after="0" w:line="360" w:lineRule="auto"/>
        <w:ind w:left="567"/>
        <w:contextualSpacing/>
        <w:jc w:val="both"/>
        <w:outlineLvl w:val="0"/>
        <w:rPr>
          <w:rFonts w:ascii="Arial" w:eastAsia="Calibri" w:hAnsi="Arial" w:cs="Arial"/>
          <w:b/>
          <w:lang w:val="en-ZA"/>
        </w:rPr>
      </w:pPr>
    </w:p>
    <w:p w14:paraId="34B4EC58" w14:textId="77777777" w:rsidR="00A45518" w:rsidRPr="00A45518" w:rsidRDefault="00A45518" w:rsidP="00A80059">
      <w:pPr>
        <w:numPr>
          <w:ilvl w:val="0"/>
          <w:numId w:val="49"/>
        </w:numPr>
        <w:spacing w:after="0" w:line="360" w:lineRule="auto"/>
        <w:ind w:left="1134" w:hanging="567"/>
        <w:contextualSpacing/>
        <w:jc w:val="both"/>
        <w:outlineLvl w:val="0"/>
        <w:rPr>
          <w:rFonts w:ascii="Arial" w:eastAsia="Calibri" w:hAnsi="Arial" w:cs="Arial"/>
          <w:b/>
          <w:lang w:val="en-ZA"/>
        </w:rPr>
      </w:pPr>
      <w:r w:rsidRPr="00A45518">
        <w:rPr>
          <w:rFonts w:ascii="Arial" w:eastAsia="Calibri" w:hAnsi="Arial" w:cs="Arial"/>
          <w:lang w:val="en-ZA"/>
        </w:rPr>
        <w:t>Payment of increased rental based on escalation rates which is aligned to inflation and increased rates and taxes as well as electricity, the tenants will consider and adopt cost effective ways of doing business.</w:t>
      </w:r>
    </w:p>
    <w:p w14:paraId="76C43CEC" w14:textId="6F618507" w:rsidR="001068D0" w:rsidRPr="00311C73" w:rsidRDefault="001068D0" w:rsidP="00702A1E">
      <w:pPr>
        <w:spacing w:before="100" w:beforeAutospacing="1" w:after="100" w:afterAutospacing="1" w:line="360" w:lineRule="auto"/>
        <w:jc w:val="both"/>
        <w:outlineLvl w:val="0"/>
      </w:pPr>
    </w:p>
    <w:sectPr w:rsidR="001068D0" w:rsidRPr="00311C73"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7DDD8" w14:textId="77777777" w:rsidR="000D2472" w:rsidRDefault="000D2472" w:rsidP="00DB1508">
      <w:pPr>
        <w:spacing w:after="0" w:line="240" w:lineRule="auto"/>
      </w:pPr>
      <w:r>
        <w:separator/>
      </w:r>
    </w:p>
  </w:endnote>
  <w:endnote w:type="continuationSeparator" w:id="0">
    <w:p w14:paraId="1493E4AC" w14:textId="77777777" w:rsidR="000D2472" w:rsidRDefault="000D2472"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3C8B" w14:textId="77777777" w:rsidR="000D2472" w:rsidRDefault="000D2472" w:rsidP="00DB1508">
      <w:pPr>
        <w:spacing w:after="0" w:line="240" w:lineRule="auto"/>
      </w:pPr>
      <w:r>
        <w:separator/>
      </w:r>
    </w:p>
  </w:footnote>
  <w:footnote w:type="continuationSeparator" w:id="0">
    <w:p w14:paraId="1D60D20A" w14:textId="77777777" w:rsidR="000D2472" w:rsidRDefault="000D2472"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59E3654"/>
    <w:multiLevelType w:val="hybridMultilevel"/>
    <w:tmpl w:val="2DC07E12"/>
    <w:lvl w:ilvl="0" w:tplc="1F767C3E">
      <w:start w:val="1"/>
      <w:numFmt w:val="lowerLetter"/>
      <w:lvlText w:val="(%1)"/>
      <w:lvlJc w:val="left"/>
      <w:pPr>
        <w:ind w:left="1080" w:hanging="360"/>
      </w:pPr>
      <w:rPr>
        <w:rFonts w:ascii="Arial" w:eastAsiaTheme="minorEastAsia" w:hAnsi="Arial" w:cs="Arial"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6CC6DA6"/>
    <w:multiLevelType w:val="hybridMultilevel"/>
    <w:tmpl w:val="36CCBA2C"/>
    <w:lvl w:ilvl="0" w:tplc="E1A62414">
      <w:start w:val="1"/>
      <w:numFmt w:val="lowerRoman"/>
      <w:lvlText w:val="(%1)"/>
      <w:lvlJc w:val="right"/>
      <w:pPr>
        <w:ind w:left="1800" w:hanging="360"/>
      </w:pPr>
      <w:rPr>
        <w:rFonts w:ascii="Arial" w:eastAsia="Calibri" w:hAnsi="Arial" w:cs="Arial"/>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7C81170"/>
    <w:multiLevelType w:val="hybridMultilevel"/>
    <w:tmpl w:val="2E283798"/>
    <w:lvl w:ilvl="0" w:tplc="04090001">
      <w:start w:val="1"/>
      <w:numFmt w:val="bullet"/>
      <w:lvlText w:val=""/>
      <w:lvlJc w:val="left"/>
      <w:pPr>
        <w:ind w:left="1797" w:hanging="360"/>
      </w:pPr>
      <w:rPr>
        <w:rFonts w:ascii="Symbol" w:hAnsi="Symbol"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9"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293978"/>
    <w:multiLevelType w:val="hybridMultilevel"/>
    <w:tmpl w:val="C75825DA"/>
    <w:lvl w:ilvl="0" w:tplc="10D06400">
      <w:start w:val="1"/>
      <w:numFmt w:val="bullet"/>
      <w:lvlText w:val="-"/>
      <w:lvlJc w:val="left"/>
      <w:pPr>
        <w:ind w:left="927" w:hanging="360"/>
      </w:pPr>
      <w:rPr>
        <w:rFonts w:ascii="Arial" w:eastAsia="Calibri" w:hAnsi="Arial" w:cs="Arial" w:hint="default"/>
        <w:b w:val="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B453B7C"/>
    <w:multiLevelType w:val="hybridMultilevel"/>
    <w:tmpl w:val="723AA180"/>
    <w:lvl w:ilvl="0" w:tplc="8F728FD4">
      <w:start w:val="3"/>
      <w:numFmt w:val="decimal"/>
      <w:lvlText w:val="(%1)"/>
      <w:lvlJc w:val="left"/>
      <w:pPr>
        <w:ind w:left="1539" w:hanging="360"/>
      </w:pPr>
      <w:rPr>
        <w:rFonts w:hint="default"/>
      </w:rPr>
    </w:lvl>
    <w:lvl w:ilvl="1" w:tplc="1C090019" w:tentative="1">
      <w:start w:val="1"/>
      <w:numFmt w:val="lowerLetter"/>
      <w:lvlText w:val="%2."/>
      <w:lvlJc w:val="left"/>
      <w:pPr>
        <w:ind w:left="2052" w:hanging="360"/>
      </w:pPr>
    </w:lvl>
    <w:lvl w:ilvl="2" w:tplc="1C09001B" w:tentative="1">
      <w:start w:val="1"/>
      <w:numFmt w:val="lowerRoman"/>
      <w:lvlText w:val="%3."/>
      <w:lvlJc w:val="right"/>
      <w:pPr>
        <w:ind w:left="2772" w:hanging="180"/>
      </w:pPr>
    </w:lvl>
    <w:lvl w:ilvl="3" w:tplc="1C09000F" w:tentative="1">
      <w:start w:val="1"/>
      <w:numFmt w:val="decimal"/>
      <w:lvlText w:val="%4."/>
      <w:lvlJc w:val="left"/>
      <w:pPr>
        <w:ind w:left="3492" w:hanging="360"/>
      </w:pPr>
    </w:lvl>
    <w:lvl w:ilvl="4" w:tplc="1C090019" w:tentative="1">
      <w:start w:val="1"/>
      <w:numFmt w:val="lowerLetter"/>
      <w:lvlText w:val="%5."/>
      <w:lvlJc w:val="left"/>
      <w:pPr>
        <w:ind w:left="4212" w:hanging="360"/>
      </w:pPr>
    </w:lvl>
    <w:lvl w:ilvl="5" w:tplc="1C09001B" w:tentative="1">
      <w:start w:val="1"/>
      <w:numFmt w:val="lowerRoman"/>
      <w:lvlText w:val="%6."/>
      <w:lvlJc w:val="right"/>
      <w:pPr>
        <w:ind w:left="4932" w:hanging="180"/>
      </w:pPr>
    </w:lvl>
    <w:lvl w:ilvl="6" w:tplc="1C09000F" w:tentative="1">
      <w:start w:val="1"/>
      <w:numFmt w:val="decimal"/>
      <w:lvlText w:val="%7."/>
      <w:lvlJc w:val="left"/>
      <w:pPr>
        <w:ind w:left="5652" w:hanging="360"/>
      </w:pPr>
    </w:lvl>
    <w:lvl w:ilvl="7" w:tplc="1C090019" w:tentative="1">
      <w:start w:val="1"/>
      <w:numFmt w:val="lowerLetter"/>
      <w:lvlText w:val="%8."/>
      <w:lvlJc w:val="left"/>
      <w:pPr>
        <w:ind w:left="6372" w:hanging="360"/>
      </w:pPr>
    </w:lvl>
    <w:lvl w:ilvl="8" w:tplc="1C09001B" w:tentative="1">
      <w:start w:val="1"/>
      <w:numFmt w:val="lowerRoman"/>
      <w:lvlText w:val="%9."/>
      <w:lvlJc w:val="right"/>
      <w:pPr>
        <w:ind w:left="7092" w:hanging="180"/>
      </w:pPr>
    </w:lvl>
  </w:abstractNum>
  <w:abstractNum w:abstractNumId="16"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B89246A"/>
    <w:multiLevelType w:val="hybridMultilevel"/>
    <w:tmpl w:val="34BC9098"/>
    <w:lvl w:ilvl="0" w:tplc="D19CD0C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15:restartNumberingAfterBreak="0">
    <w:nsid w:val="3B9E698B"/>
    <w:multiLevelType w:val="hybridMultilevel"/>
    <w:tmpl w:val="771AB9B6"/>
    <w:lvl w:ilvl="0" w:tplc="0FA800B4">
      <w:start w:val="1"/>
      <w:numFmt w:val="lowerRoman"/>
      <w:lvlText w:val="(%1)"/>
      <w:lvlJc w:val="righ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31"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7"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ED1800"/>
    <w:multiLevelType w:val="hybridMultilevel"/>
    <w:tmpl w:val="E3BE7982"/>
    <w:lvl w:ilvl="0" w:tplc="7792952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43"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7" w15:restartNumberingAfterBreak="0">
    <w:nsid w:val="7D7D6ED7"/>
    <w:multiLevelType w:val="hybridMultilevel"/>
    <w:tmpl w:val="B3E626C8"/>
    <w:lvl w:ilvl="0" w:tplc="7AFEEA6C">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3"/>
  </w:num>
  <w:num w:numId="3">
    <w:abstractNumId w:val="3"/>
  </w:num>
  <w:num w:numId="4">
    <w:abstractNumId w:val="30"/>
  </w:num>
  <w:num w:numId="5">
    <w:abstractNumId w:val="29"/>
  </w:num>
  <w:num w:numId="6">
    <w:abstractNumId w:val="7"/>
  </w:num>
  <w:num w:numId="7">
    <w:abstractNumId w:val="0"/>
  </w:num>
  <w:num w:numId="8">
    <w:abstractNumId w:val="45"/>
  </w:num>
  <w:num w:numId="9">
    <w:abstractNumId w:val="33"/>
  </w:num>
  <w:num w:numId="10">
    <w:abstractNumId w:val="40"/>
  </w:num>
  <w:num w:numId="11">
    <w:abstractNumId w:val="25"/>
  </w:num>
  <w:num w:numId="12">
    <w:abstractNumId w:val="11"/>
  </w:num>
  <w:num w:numId="13">
    <w:abstractNumId w:val="5"/>
  </w:num>
  <w:num w:numId="14">
    <w:abstractNumId w:val="23"/>
  </w:num>
  <w:num w:numId="15">
    <w:abstractNumId w:val="37"/>
  </w:num>
  <w:num w:numId="16">
    <w:abstractNumId w:val="13"/>
  </w:num>
  <w:num w:numId="17">
    <w:abstractNumId w:val="22"/>
  </w:num>
  <w:num w:numId="18">
    <w:abstractNumId w:val="16"/>
  </w:num>
  <w:num w:numId="19">
    <w:abstractNumId w:val="46"/>
  </w:num>
  <w:num w:numId="20">
    <w:abstractNumId w:val="26"/>
  </w:num>
  <w:num w:numId="21">
    <w:abstractNumId w:val="24"/>
  </w:num>
  <w:num w:numId="22">
    <w:abstractNumId w:val="31"/>
  </w:num>
  <w:num w:numId="23">
    <w:abstractNumId w:val="20"/>
  </w:num>
  <w:num w:numId="24">
    <w:abstractNumId w:val="10"/>
  </w:num>
  <w:num w:numId="25">
    <w:abstractNumId w:val="41"/>
  </w:num>
  <w:num w:numId="26">
    <w:abstractNumId w:val="35"/>
  </w:num>
  <w:num w:numId="27">
    <w:abstractNumId w:val="44"/>
  </w:num>
  <w:num w:numId="28">
    <w:abstractNumId w:val="4"/>
  </w:num>
  <w:num w:numId="29">
    <w:abstractNumId w:val="38"/>
  </w:num>
  <w:num w:numId="30">
    <w:abstractNumId w:val="18"/>
  </w:num>
  <w:num w:numId="31">
    <w:abstractNumId w:val="17"/>
  </w:num>
  <w:num w:numId="32">
    <w:abstractNumId w:val="9"/>
  </w:num>
  <w:num w:numId="33">
    <w:abstractNumId w:val="34"/>
  </w:num>
  <w:num w:numId="34">
    <w:abstractNumId w:val="32"/>
  </w:num>
  <w:num w:numId="35">
    <w:abstractNumId w:val="19"/>
  </w:num>
  <w:num w:numId="36">
    <w:abstractNumId w:val="36"/>
  </w:num>
  <w:num w:numId="37">
    <w:abstractNumId w:val="42"/>
  </w:num>
  <w:num w:numId="38">
    <w:abstractNumId w:val="21"/>
  </w:num>
  <w:num w:numId="39">
    <w:abstractNumId w:val="6"/>
  </w:num>
  <w:num w:numId="40">
    <w:abstractNumId w:val="3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
  </w:num>
  <w:num w:numId="44">
    <w:abstractNumId w:val="2"/>
  </w:num>
  <w:num w:numId="45">
    <w:abstractNumId w:val="28"/>
  </w:num>
  <w:num w:numId="46">
    <w:abstractNumId w:val="27"/>
  </w:num>
  <w:num w:numId="47">
    <w:abstractNumId w:val="15"/>
  </w:num>
  <w:num w:numId="48">
    <w:abstractNumId w:val="47"/>
  </w:num>
  <w:num w:numId="4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D2472"/>
    <w:rsid w:val="000D6FB9"/>
    <w:rsid w:val="000E04E0"/>
    <w:rsid w:val="000E0CFE"/>
    <w:rsid w:val="000E1816"/>
    <w:rsid w:val="000E1907"/>
    <w:rsid w:val="000F14B7"/>
    <w:rsid w:val="000F15CB"/>
    <w:rsid w:val="000F183A"/>
    <w:rsid w:val="000F29A6"/>
    <w:rsid w:val="000F76BD"/>
    <w:rsid w:val="00100CF2"/>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B6016"/>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A6CC2"/>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2A1E"/>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68B"/>
    <w:rsid w:val="009A4739"/>
    <w:rsid w:val="009B0431"/>
    <w:rsid w:val="009C0DE1"/>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5518"/>
    <w:rsid w:val="00A46B71"/>
    <w:rsid w:val="00A46CC2"/>
    <w:rsid w:val="00A51004"/>
    <w:rsid w:val="00A54865"/>
    <w:rsid w:val="00A551B4"/>
    <w:rsid w:val="00A55457"/>
    <w:rsid w:val="00A60D33"/>
    <w:rsid w:val="00A66AA8"/>
    <w:rsid w:val="00A66D53"/>
    <w:rsid w:val="00A750D6"/>
    <w:rsid w:val="00A756F5"/>
    <w:rsid w:val="00A75AE8"/>
    <w:rsid w:val="00A80059"/>
    <w:rsid w:val="00A841FF"/>
    <w:rsid w:val="00A87430"/>
    <w:rsid w:val="00A90242"/>
    <w:rsid w:val="00A90517"/>
    <w:rsid w:val="00A910A7"/>
    <w:rsid w:val="00A94824"/>
    <w:rsid w:val="00A96DC3"/>
    <w:rsid w:val="00AA4667"/>
    <w:rsid w:val="00AB2A22"/>
    <w:rsid w:val="00AB3558"/>
    <w:rsid w:val="00AB5375"/>
    <w:rsid w:val="00AC0E7A"/>
    <w:rsid w:val="00AC398E"/>
    <w:rsid w:val="00AC671F"/>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21BA"/>
    <w:rsid w:val="00B246E9"/>
    <w:rsid w:val="00B31016"/>
    <w:rsid w:val="00B319B6"/>
    <w:rsid w:val="00B32459"/>
    <w:rsid w:val="00B36653"/>
    <w:rsid w:val="00B37E26"/>
    <w:rsid w:val="00B40FCE"/>
    <w:rsid w:val="00B433E2"/>
    <w:rsid w:val="00B4384D"/>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264DC"/>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0E3F"/>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303F"/>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3269-8C32-4687-8C6F-18B83A80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2018-11-22T07:54:00Z</dcterms:created>
  <dcterms:modified xsi:type="dcterms:W3CDTF">2018-11-22T07:55:00Z</dcterms:modified>
</cp:coreProperties>
</file>