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41</w:t>
      </w:r>
      <w:r w:rsidR="00525D63">
        <w:rPr>
          <w:rFonts w:cs="Arial"/>
          <w:sz w:val="22"/>
          <w:szCs w:val="22"/>
          <w:u w:val="none"/>
          <w:lang w:val="en-ZA"/>
        </w:rPr>
        <w:t>4</w:t>
      </w:r>
    </w:p>
    <w:p w:rsidR="00EB1E93" w:rsidRDefault="00EB1E93" w:rsidP="00EB1E93">
      <w:pPr>
        <w:rPr>
          <w:lang w:val="en-ZA" w:eastAsia="x-none"/>
        </w:rPr>
      </w:pPr>
    </w:p>
    <w:p w:rsidR="00A477E3" w:rsidRDefault="00830DB6" w:rsidP="00A477E3">
      <w:pPr>
        <w:spacing w:before="100" w:beforeAutospacing="1" w:after="100" w:afterAutospacing="1" w:line="240" w:lineRule="auto"/>
        <w:ind w:left="851" w:hanging="851"/>
        <w:rPr>
          <w:rFonts w:ascii="Arial" w:hAnsi="Arial" w:cs="Arial"/>
          <w:b/>
          <w:noProof/>
          <w:lang w:val="af-ZA"/>
        </w:rPr>
      </w:pPr>
      <w:r w:rsidRPr="00830DB6">
        <w:rPr>
          <w:rFonts w:ascii="Arial" w:hAnsi="Arial" w:cs="Arial"/>
          <w:b/>
          <w:noProof/>
          <w:lang w:val="af-ZA"/>
        </w:rPr>
        <w:t>341</w:t>
      </w:r>
      <w:r w:rsidR="00525D63">
        <w:rPr>
          <w:rFonts w:ascii="Arial" w:hAnsi="Arial" w:cs="Arial"/>
          <w:b/>
          <w:noProof/>
          <w:lang w:val="af-ZA"/>
        </w:rPr>
        <w:t>4</w:t>
      </w:r>
      <w:bookmarkStart w:id="0" w:name="_GoBack"/>
      <w:bookmarkEnd w:id="0"/>
      <w:r w:rsidRPr="00830DB6">
        <w:rPr>
          <w:rFonts w:ascii="Arial" w:hAnsi="Arial" w:cs="Arial"/>
          <w:b/>
          <w:noProof/>
          <w:lang w:val="af-ZA"/>
        </w:rPr>
        <w:t>.</w:t>
      </w:r>
      <w:r w:rsidRPr="00830DB6">
        <w:rPr>
          <w:rFonts w:ascii="Arial" w:hAnsi="Arial" w:cs="Arial"/>
          <w:b/>
          <w:noProof/>
          <w:lang w:val="af-ZA"/>
        </w:rPr>
        <w:tab/>
        <w:t>Mr C H H Hunsinger (DA) to ask the Minister of Transport:</w:t>
      </w:r>
    </w:p>
    <w:p w:rsidR="00A477E3" w:rsidRDefault="00A477E3" w:rsidP="00A477E3">
      <w:pPr>
        <w:spacing w:before="100" w:beforeAutospacing="1" w:after="100" w:afterAutospacing="1" w:line="240" w:lineRule="auto"/>
        <w:ind w:left="1440" w:hanging="629"/>
        <w:jc w:val="both"/>
        <w:rPr>
          <w:rFonts w:ascii="Arial" w:hAnsi="Arial" w:cs="Arial"/>
        </w:rPr>
      </w:pPr>
      <w:r w:rsidRPr="00830DB6">
        <w:rPr>
          <w:rFonts w:ascii="Arial" w:hAnsi="Arial" w:cs="Arial"/>
        </w:rPr>
        <w:t>(</w:t>
      </w:r>
      <w:r w:rsidRPr="00922855">
        <w:rPr>
          <w:rFonts w:ascii="Arial" w:hAnsi="Arial" w:cs="Arial"/>
        </w:rPr>
        <w:t>1)</w:t>
      </w:r>
      <w:r w:rsidRPr="00922855">
        <w:rPr>
          <w:rFonts w:ascii="Arial" w:hAnsi="Arial" w:cs="Arial"/>
        </w:rPr>
        <w:tab/>
        <w:t>(a) What salary, remuneration or benefit increases have been granted in each salary grade to employees of (</w:t>
      </w:r>
      <w:proofErr w:type="spellStart"/>
      <w:r w:rsidRPr="00922855">
        <w:rPr>
          <w:rFonts w:ascii="Arial" w:hAnsi="Arial" w:cs="Arial"/>
        </w:rPr>
        <w:t>i</w:t>
      </w:r>
      <w:proofErr w:type="spellEnd"/>
      <w:r w:rsidRPr="00922855">
        <w:rPr>
          <w:rFonts w:ascii="Arial" w:hAnsi="Arial" w:cs="Arial"/>
        </w:rPr>
        <w:t xml:space="preserve">) his department and (ii) each entity reporting to him in each of the past three financial years, </w:t>
      </w:r>
      <w:r w:rsidR="00922855">
        <w:rPr>
          <w:rFonts w:ascii="Arial" w:hAnsi="Arial" w:cs="Arial"/>
        </w:rPr>
        <w:t>(b) what criteria were used when granting the specified increases in each grade of employee in each case and (c) who authorized the increases in each specified financial year,</w:t>
      </w:r>
    </w:p>
    <w:p w:rsidR="00922855" w:rsidRPr="00922855" w:rsidRDefault="00922855" w:rsidP="00A477E3">
      <w:pPr>
        <w:spacing w:before="100" w:beforeAutospacing="1" w:after="100" w:afterAutospacing="1" w:line="240" w:lineRule="auto"/>
        <w:ind w:left="1440" w:hanging="629"/>
        <w:jc w:val="both"/>
        <w:rPr>
          <w:rFonts w:ascii="Arial" w:hAnsi="Arial" w:cs="Arial"/>
        </w:rPr>
      </w:pPr>
      <w:r>
        <w:rPr>
          <w:rFonts w:ascii="Arial" w:hAnsi="Arial" w:cs="Arial"/>
        </w:rPr>
        <w:t xml:space="preserve">(2) </w:t>
      </w:r>
      <w:r>
        <w:rPr>
          <w:rFonts w:ascii="Arial" w:hAnsi="Arial" w:cs="Arial"/>
        </w:rPr>
        <w:tab/>
      </w:r>
      <w:proofErr w:type="gramStart"/>
      <w:r>
        <w:rPr>
          <w:rFonts w:ascii="Arial" w:hAnsi="Arial" w:cs="Arial"/>
        </w:rPr>
        <w:t>what</w:t>
      </w:r>
      <w:proofErr w:type="gramEnd"/>
      <w:r>
        <w:rPr>
          <w:rFonts w:ascii="Arial" w:hAnsi="Arial" w:cs="Arial"/>
        </w:rPr>
        <w:t xml:space="preserve"> bonuses have been given in each grade of employee in the past three financial years, (b) what criteria were used when granting the specified bonuses in each specified financial year and who authorized the bonuses in each financial year? </w:t>
      </w:r>
      <w:r w:rsidRPr="00830DB6">
        <w:rPr>
          <w:rFonts w:ascii="Arial" w:hAnsi="Arial" w:cs="Arial"/>
          <w:noProof/>
          <w:lang w:val="af-ZA"/>
        </w:rPr>
        <w:t>NW3806E</w:t>
      </w:r>
    </w:p>
    <w:p w:rsidR="00A477E3" w:rsidRDefault="00A477E3" w:rsidP="00A477E3">
      <w:pPr>
        <w:spacing w:before="100" w:beforeAutospacing="1" w:after="100" w:afterAutospacing="1" w:line="240" w:lineRule="auto"/>
        <w:jc w:val="both"/>
        <w:rPr>
          <w:rFonts w:ascii="Arial" w:hAnsi="Arial" w:cs="Arial"/>
          <w:b/>
        </w:rPr>
      </w:pPr>
      <w:r>
        <w:rPr>
          <w:rFonts w:ascii="Arial" w:hAnsi="Arial" w:cs="Arial"/>
          <w:b/>
        </w:rPr>
        <w:t>Reply:</w:t>
      </w:r>
    </w:p>
    <w:p w:rsidR="00922855" w:rsidRDefault="00922855" w:rsidP="00A477E3">
      <w:pPr>
        <w:spacing w:before="100" w:beforeAutospacing="1" w:after="100" w:afterAutospacing="1" w:line="240" w:lineRule="auto"/>
        <w:jc w:val="both"/>
        <w:rPr>
          <w:rFonts w:ascii="Arial" w:hAnsi="Arial" w:cs="Arial"/>
          <w:b/>
        </w:rPr>
      </w:pPr>
      <w:r>
        <w:rPr>
          <w:rFonts w:ascii="Arial" w:hAnsi="Arial" w:cs="Arial"/>
          <w:b/>
        </w:rPr>
        <w:t xml:space="preserve">Department </w:t>
      </w:r>
    </w:p>
    <w:p w:rsidR="00525D63" w:rsidRDefault="00525D63" w:rsidP="00525D63">
      <w:pPr>
        <w:rPr>
          <w:rFonts w:ascii="Arial" w:hAnsi="Arial" w:cs="Arial"/>
          <w:b/>
          <w:u w:val="single"/>
          <w:lang w:val="en-ZA" w:eastAsia="x-none"/>
        </w:rPr>
      </w:pPr>
      <w:r w:rsidRPr="00E73EC4">
        <w:rPr>
          <w:rFonts w:ascii="Arial" w:hAnsi="Arial" w:cs="Arial"/>
          <w:b/>
          <w:u w:val="single"/>
          <w:lang w:val="en-ZA" w:eastAsia="x-none"/>
        </w:rPr>
        <w:t>REPLY</w:t>
      </w:r>
    </w:p>
    <w:p w:rsidR="00525D63" w:rsidRPr="00F327B3" w:rsidRDefault="00525D63" w:rsidP="00F05BC8">
      <w:pPr>
        <w:pStyle w:val="ListParagraph"/>
        <w:numPr>
          <w:ilvl w:val="0"/>
          <w:numId w:val="27"/>
        </w:numPr>
        <w:spacing w:before="100" w:beforeAutospacing="1" w:after="100" w:afterAutospacing="1" w:line="240" w:lineRule="auto"/>
        <w:jc w:val="both"/>
        <w:rPr>
          <w:rFonts w:ascii="Arial" w:hAnsi="Arial" w:cs="Arial"/>
        </w:rPr>
      </w:pPr>
      <w:r w:rsidRPr="00F327B3">
        <w:rPr>
          <w:rFonts w:ascii="Arial" w:hAnsi="Arial" w:cs="Arial"/>
        </w:rPr>
        <w:t xml:space="preserve">(a) of and (ii) each entity reporting to him, (b) what criteria were used when granting the specified increases in each grade of employee in each case and (c) who </w:t>
      </w:r>
      <w:proofErr w:type="spellStart"/>
      <w:r w:rsidRPr="00F327B3">
        <w:rPr>
          <w:rFonts w:ascii="Arial" w:hAnsi="Arial" w:cs="Arial"/>
        </w:rPr>
        <w:t>authorised</w:t>
      </w:r>
      <w:proofErr w:type="spellEnd"/>
      <w:r w:rsidRPr="00F327B3">
        <w:rPr>
          <w:rFonts w:ascii="Arial" w:hAnsi="Arial" w:cs="Arial"/>
        </w:rPr>
        <w:t xml:space="preserve"> the increases in each specified financial year;</w:t>
      </w:r>
    </w:p>
    <w:p w:rsidR="00525D63" w:rsidRDefault="00525D63" w:rsidP="00525D63">
      <w:pPr>
        <w:pStyle w:val="ListParagraph"/>
        <w:spacing w:before="100" w:beforeAutospacing="1" w:after="100" w:afterAutospacing="1" w:line="240" w:lineRule="auto"/>
        <w:ind w:left="713"/>
        <w:jc w:val="both"/>
        <w:rPr>
          <w:rFonts w:ascii="Arial" w:hAnsi="Arial" w:cs="Arial"/>
        </w:rPr>
      </w:pPr>
    </w:p>
    <w:p w:rsidR="00525D63" w:rsidRDefault="00525D63" w:rsidP="00F05BC8">
      <w:pPr>
        <w:pStyle w:val="ListParagraph"/>
        <w:numPr>
          <w:ilvl w:val="0"/>
          <w:numId w:val="28"/>
        </w:numPr>
        <w:spacing w:before="100" w:beforeAutospacing="1" w:after="100" w:afterAutospacing="1" w:line="240" w:lineRule="auto"/>
        <w:jc w:val="both"/>
        <w:rPr>
          <w:rFonts w:ascii="Arial" w:hAnsi="Arial" w:cs="Arial"/>
        </w:rPr>
      </w:pPr>
      <w:r w:rsidRPr="00DA58C2">
        <w:rPr>
          <w:rFonts w:ascii="Arial" w:hAnsi="Arial" w:cs="Arial"/>
        </w:rPr>
        <w:t>What salary, remuneration or benefit increases have been granted in each salary grade to employees in (</w:t>
      </w:r>
      <w:proofErr w:type="spellStart"/>
      <w:r w:rsidRPr="00DA58C2">
        <w:rPr>
          <w:rFonts w:ascii="Arial" w:hAnsi="Arial" w:cs="Arial"/>
        </w:rPr>
        <w:t>i</w:t>
      </w:r>
      <w:proofErr w:type="spellEnd"/>
      <w:r w:rsidRPr="00DA58C2">
        <w:rPr>
          <w:rFonts w:ascii="Arial" w:hAnsi="Arial" w:cs="Arial"/>
        </w:rPr>
        <w:t>) his department in each of the past three financial years</w:t>
      </w:r>
      <w:r>
        <w:rPr>
          <w:rFonts w:ascii="Arial" w:hAnsi="Arial" w:cs="Arial"/>
        </w:rPr>
        <w:t>:</w:t>
      </w:r>
    </w:p>
    <w:p w:rsidR="00525D63" w:rsidRDefault="00525D63" w:rsidP="00525D63">
      <w:pPr>
        <w:pStyle w:val="ListParagraph"/>
        <w:spacing w:before="100" w:beforeAutospacing="1" w:after="100" w:afterAutospacing="1" w:line="240" w:lineRule="auto"/>
        <w:ind w:left="713"/>
        <w:jc w:val="both"/>
        <w:rPr>
          <w:rFonts w:ascii="Arial" w:hAnsi="Arial" w:cs="Arial"/>
        </w:rPr>
      </w:pPr>
    </w:p>
    <w:tbl>
      <w:tblPr>
        <w:tblStyle w:val="TableGrid"/>
        <w:tblW w:w="0" w:type="auto"/>
        <w:tblInd w:w="-147" w:type="dxa"/>
        <w:tblLook w:val="04A0" w:firstRow="1" w:lastRow="0" w:firstColumn="1" w:lastColumn="0" w:noHBand="0" w:noVBand="1"/>
      </w:tblPr>
      <w:tblGrid>
        <w:gridCol w:w="2127"/>
        <w:gridCol w:w="2693"/>
        <w:gridCol w:w="2693"/>
        <w:gridCol w:w="2666"/>
      </w:tblGrid>
      <w:tr w:rsidR="00525D63" w:rsidTr="0036357A">
        <w:tc>
          <w:tcPr>
            <w:tcW w:w="2127"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PAST THREE FINANCIAL YEARS</w:t>
            </w:r>
          </w:p>
        </w:tc>
        <w:tc>
          <w:tcPr>
            <w:tcW w:w="2693"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LOWER LEVEL EMPLOYEES - SALARY LEVELS 1 TO 10</w:t>
            </w:r>
          </w:p>
        </w:tc>
        <w:tc>
          <w:tcPr>
            <w:tcW w:w="2693"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MIDDEL MANAGEMENT – SALARY LEVEL 11 &amp; 12</w:t>
            </w:r>
          </w:p>
        </w:tc>
        <w:tc>
          <w:tcPr>
            <w:tcW w:w="2666"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SMS MEMBERS – SALARY LEVEL 13 - 16</w:t>
            </w:r>
          </w:p>
        </w:tc>
      </w:tr>
      <w:tr w:rsidR="00525D63" w:rsidTr="0036357A">
        <w:tc>
          <w:tcPr>
            <w:tcW w:w="2127"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2015-04-01</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7%</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7%</w:t>
            </w:r>
          </w:p>
        </w:tc>
        <w:tc>
          <w:tcPr>
            <w:tcW w:w="2666"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5.5%</w:t>
            </w:r>
          </w:p>
        </w:tc>
      </w:tr>
      <w:tr w:rsidR="00525D63" w:rsidTr="0036357A">
        <w:tc>
          <w:tcPr>
            <w:tcW w:w="2127"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2016-04-01</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7,6%</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7,6%</w:t>
            </w:r>
          </w:p>
        </w:tc>
        <w:tc>
          <w:tcPr>
            <w:tcW w:w="2666" w:type="dxa"/>
          </w:tcPr>
          <w:p w:rsidR="00525D63" w:rsidRDefault="00525D63" w:rsidP="0036357A">
            <w:pPr>
              <w:pStyle w:val="ListParagraph"/>
              <w:spacing w:before="100" w:beforeAutospacing="1" w:after="100" w:afterAutospacing="1"/>
              <w:ind w:left="0"/>
              <w:jc w:val="both"/>
              <w:rPr>
                <w:rFonts w:ascii="Arial" w:hAnsi="Arial" w:cs="Arial"/>
              </w:rPr>
            </w:pPr>
            <w:proofErr w:type="spellStart"/>
            <w:r>
              <w:rPr>
                <w:rFonts w:ascii="Arial" w:hAnsi="Arial" w:cs="Arial"/>
              </w:rPr>
              <w:t>Wef</w:t>
            </w:r>
            <w:proofErr w:type="spellEnd"/>
            <w:r>
              <w:rPr>
                <w:rFonts w:ascii="Arial" w:hAnsi="Arial" w:cs="Arial"/>
              </w:rPr>
              <w:t xml:space="preserve"> 2016/01/01:</w:t>
            </w:r>
          </w:p>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Level 13: 4%</w:t>
            </w:r>
          </w:p>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Level 14 &amp; 15: 2,5%</w:t>
            </w:r>
          </w:p>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Level 16: 2%</w:t>
            </w:r>
          </w:p>
        </w:tc>
      </w:tr>
      <w:tr w:rsidR="00525D63" w:rsidTr="0036357A">
        <w:tc>
          <w:tcPr>
            <w:tcW w:w="2127"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2017-04-01</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7,3%</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7,3%</w:t>
            </w:r>
          </w:p>
        </w:tc>
        <w:tc>
          <w:tcPr>
            <w:tcW w:w="2666"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5.5%</w:t>
            </w:r>
          </w:p>
        </w:tc>
      </w:tr>
    </w:tbl>
    <w:p w:rsidR="00525D63" w:rsidRDefault="00525D63" w:rsidP="00525D63">
      <w:pPr>
        <w:pStyle w:val="ListParagraph"/>
        <w:spacing w:before="100" w:beforeAutospacing="1" w:after="100" w:afterAutospacing="1" w:line="240" w:lineRule="auto"/>
        <w:ind w:left="713"/>
        <w:jc w:val="both"/>
        <w:rPr>
          <w:rFonts w:ascii="Arial" w:hAnsi="Arial" w:cs="Arial"/>
        </w:rPr>
      </w:pPr>
    </w:p>
    <w:p w:rsidR="00525D63" w:rsidRPr="00205E49" w:rsidRDefault="00525D63" w:rsidP="00F05BC8">
      <w:pPr>
        <w:pStyle w:val="ListParagraph"/>
        <w:numPr>
          <w:ilvl w:val="0"/>
          <w:numId w:val="28"/>
        </w:numPr>
        <w:spacing w:before="100" w:beforeAutospacing="1" w:after="100" w:afterAutospacing="1" w:line="240" w:lineRule="auto"/>
        <w:jc w:val="both"/>
        <w:rPr>
          <w:rFonts w:ascii="Arial" w:hAnsi="Arial" w:cs="Arial"/>
          <w:b/>
        </w:rPr>
      </w:pPr>
    </w:p>
    <w:p w:rsidR="00525D63" w:rsidRDefault="00525D63" w:rsidP="00525D63">
      <w:pPr>
        <w:pStyle w:val="ListParagraph"/>
        <w:spacing w:before="100" w:beforeAutospacing="1" w:after="100" w:afterAutospacing="1" w:line="240" w:lineRule="auto"/>
        <w:ind w:left="713"/>
        <w:jc w:val="both"/>
        <w:rPr>
          <w:rFonts w:ascii="Arial" w:hAnsi="Arial" w:cs="Arial"/>
        </w:rPr>
      </w:pPr>
      <w:r>
        <w:rPr>
          <w:rFonts w:ascii="Arial" w:hAnsi="Arial" w:cs="Arial"/>
        </w:rPr>
        <w:t>The salary increases of employees who are employed by the State and fall within the registered scope of the Public Service Co-</w:t>
      </w:r>
      <w:proofErr w:type="spellStart"/>
      <w:r>
        <w:rPr>
          <w:rFonts w:ascii="Arial" w:hAnsi="Arial" w:cs="Arial"/>
        </w:rPr>
        <w:t>ordinating</w:t>
      </w:r>
      <w:proofErr w:type="spellEnd"/>
      <w:r>
        <w:rPr>
          <w:rFonts w:ascii="Arial" w:hAnsi="Arial" w:cs="Arial"/>
        </w:rPr>
        <w:t xml:space="preserve"> Bargaining Council (PSCBC) are determined by National Treasury based on the average projected CPI and approved by the Minister for Public Service and Administration. </w:t>
      </w:r>
    </w:p>
    <w:p w:rsidR="00525D63" w:rsidRDefault="00525D63" w:rsidP="00525D63">
      <w:pPr>
        <w:pStyle w:val="ListParagraph"/>
        <w:spacing w:before="100" w:beforeAutospacing="1" w:after="100" w:afterAutospacing="1" w:line="240" w:lineRule="auto"/>
        <w:ind w:left="713"/>
        <w:jc w:val="both"/>
        <w:rPr>
          <w:rFonts w:ascii="Arial" w:hAnsi="Arial" w:cs="Arial"/>
        </w:rPr>
      </w:pPr>
    </w:p>
    <w:p w:rsidR="00525D63" w:rsidRPr="00205E49" w:rsidRDefault="00525D63" w:rsidP="00F05BC8">
      <w:pPr>
        <w:pStyle w:val="ListParagraph"/>
        <w:numPr>
          <w:ilvl w:val="0"/>
          <w:numId w:val="28"/>
        </w:numPr>
        <w:spacing w:before="100" w:beforeAutospacing="1" w:after="100" w:afterAutospacing="1" w:line="240" w:lineRule="auto"/>
        <w:jc w:val="both"/>
        <w:rPr>
          <w:rFonts w:ascii="Arial" w:hAnsi="Arial" w:cs="Arial"/>
          <w:b/>
        </w:rPr>
      </w:pPr>
      <w:r w:rsidRPr="00205E49">
        <w:rPr>
          <w:rFonts w:ascii="Arial" w:hAnsi="Arial" w:cs="Arial"/>
          <w:b/>
        </w:rPr>
        <w:t xml:space="preserve"> </w:t>
      </w:r>
    </w:p>
    <w:p w:rsidR="00525D63" w:rsidRDefault="00525D63" w:rsidP="00525D63">
      <w:pPr>
        <w:pStyle w:val="ListParagraph"/>
        <w:spacing w:before="100" w:beforeAutospacing="1" w:after="100" w:afterAutospacing="1" w:line="240" w:lineRule="auto"/>
        <w:ind w:left="713"/>
        <w:jc w:val="both"/>
        <w:rPr>
          <w:rFonts w:ascii="Arial" w:hAnsi="Arial" w:cs="Arial"/>
        </w:rPr>
      </w:pPr>
      <w:r>
        <w:rPr>
          <w:rFonts w:ascii="Arial" w:hAnsi="Arial" w:cs="Arial"/>
        </w:rPr>
        <w:t>Section 3 (5</w:t>
      </w:r>
      <w:proofErr w:type="gramStart"/>
      <w:r>
        <w:rPr>
          <w:rFonts w:ascii="Arial" w:hAnsi="Arial" w:cs="Arial"/>
        </w:rPr>
        <w:t>)(</w:t>
      </w:r>
      <w:proofErr w:type="gramEnd"/>
      <w:r>
        <w:rPr>
          <w:rFonts w:ascii="Arial" w:hAnsi="Arial" w:cs="Arial"/>
        </w:rPr>
        <w:t xml:space="preserve">a) of the Public Service Act, 1994, as amended, (Act) prescribed that subject to the </w:t>
      </w:r>
      <w:proofErr w:type="spellStart"/>
      <w:r>
        <w:rPr>
          <w:rFonts w:ascii="Arial" w:hAnsi="Arial" w:cs="Arial"/>
        </w:rPr>
        <w:t>Labour</w:t>
      </w:r>
      <w:proofErr w:type="spellEnd"/>
      <w:r>
        <w:rPr>
          <w:rFonts w:ascii="Arial" w:hAnsi="Arial" w:cs="Arial"/>
        </w:rPr>
        <w:t xml:space="preserve"> Relations Act and any collective agreement, the Minister for Public Service and Administration may make determinations regarding any conditions of service of employees generally or categories of employees, including determinations regarding a salary scale for all employees or salary scales for particular categories of employees and allowances for particular categories of employees. </w:t>
      </w:r>
    </w:p>
    <w:p w:rsidR="00525D63" w:rsidRDefault="00525D63" w:rsidP="00525D63">
      <w:pPr>
        <w:pStyle w:val="ListParagraph"/>
        <w:spacing w:before="100" w:beforeAutospacing="1" w:after="100" w:afterAutospacing="1" w:line="240" w:lineRule="auto"/>
        <w:ind w:left="713"/>
        <w:jc w:val="both"/>
        <w:rPr>
          <w:rFonts w:ascii="Arial" w:hAnsi="Arial" w:cs="Arial"/>
        </w:rPr>
      </w:pPr>
    </w:p>
    <w:p w:rsidR="00525D63" w:rsidRDefault="00525D63" w:rsidP="00525D63">
      <w:pPr>
        <w:pStyle w:val="ListParagraph"/>
        <w:spacing w:before="100" w:beforeAutospacing="1" w:after="100" w:afterAutospacing="1" w:line="240" w:lineRule="auto"/>
        <w:ind w:left="713"/>
        <w:jc w:val="both"/>
        <w:rPr>
          <w:rFonts w:ascii="Arial" w:hAnsi="Arial" w:cs="Arial"/>
        </w:rPr>
      </w:pPr>
      <w:r>
        <w:rPr>
          <w:rFonts w:ascii="Arial" w:hAnsi="Arial" w:cs="Arial"/>
        </w:rPr>
        <w:t xml:space="preserve">Furthermore, in terms of section (6) (a) of the Act, any provision of a collective agreement contemplated in subsection (4), concluded on or after the commencement of the Public Service Amendment Act, 2007, shall, in respect of conditions of service of employees appointed in terms of the Act, be deemed to be a determination made by the Minister for Public Service and Administration. </w:t>
      </w:r>
    </w:p>
    <w:p w:rsidR="00525D63" w:rsidRDefault="00525D63" w:rsidP="00525D63">
      <w:pPr>
        <w:ind w:left="713" w:hanging="855"/>
        <w:rPr>
          <w:rFonts w:ascii="Arial" w:hAnsi="Arial" w:cs="Arial"/>
          <w:noProof/>
          <w:lang w:val="af-ZA"/>
        </w:rPr>
      </w:pPr>
      <w:r w:rsidRPr="00830DB6">
        <w:rPr>
          <w:rFonts w:ascii="Arial" w:hAnsi="Arial" w:cs="Arial"/>
        </w:rPr>
        <w:t>(2)</w:t>
      </w:r>
      <w:r w:rsidRPr="00830DB6">
        <w:rPr>
          <w:rFonts w:ascii="Arial" w:hAnsi="Arial" w:cs="Arial"/>
        </w:rPr>
        <w:tab/>
      </w:r>
    </w:p>
    <w:p w:rsidR="00525D63" w:rsidRDefault="00525D63" w:rsidP="00525D63">
      <w:pPr>
        <w:ind w:left="713" w:hanging="855"/>
        <w:rPr>
          <w:rFonts w:ascii="Arial" w:hAnsi="Arial" w:cs="Arial"/>
          <w:b/>
        </w:rPr>
      </w:pPr>
      <w:r w:rsidRPr="00205E49">
        <w:rPr>
          <w:rFonts w:ascii="Arial" w:hAnsi="Arial" w:cs="Arial"/>
          <w:b/>
          <w:noProof/>
          <w:lang w:val="af-ZA"/>
        </w:rPr>
        <w:t>(a)</w:t>
      </w:r>
      <w:r w:rsidRPr="00205E49">
        <w:rPr>
          <w:rFonts w:ascii="Arial" w:hAnsi="Arial" w:cs="Arial"/>
          <w:b/>
          <w:noProof/>
          <w:lang w:val="af-ZA"/>
        </w:rPr>
        <w:tab/>
      </w:r>
    </w:p>
    <w:p w:rsidR="00525D63" w:rsidRDefault="00525D63" w:rsidP="00525D63">
      <w:pPr>
        <w:spacing w:line="240" w:lineRule="auto"/>
        <w:ind w:left="713" w:hanging="713"/>
        <w:jc w:val="both"/>
        <w:rPr>
          <w:rFonts w:ascii="Arial" w:hAnsi="Arial" w:cs="Arial"/>
          <w:lang w:val="en-GB"/>
        </w:rPr>
      </w:pPr>
      <w:r>
        <w:rPr>
          <w:rFonts w:ascii="Arial" w:hAnsi="Arial" w:cs="Arial"/>
          <w:lang w:val="en-GB"/>
        </w:rPr>
        <w:t>(</w:t>
      </w: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t>A service bonus/13</w:t>
      </w:r>
      <w:r w:rsidRPr="00205E49">
        <w:rPr>
          <w:rFonts w:ascii="Arial" w:hAnsi="Arial" w:cs="Arial"/>
          <w:vertAlign w:val="superscript"/>
          <w:lang w:val="en-GB"/>
        </w:rPr>
        <w:t>th</w:t>
      </w:r>
      <w:r>
        <w:rPr>
          <w:rFonts w:ascii="Arial" w:hAnsi="Arial" w:cs="Arial"/>
          <w:lang w:val="en-GB"/>
        </w:rPr>
        <w:t xml:space="preserve"> cheque of 100% of an employees’ gross monthly basic salary is paid to employees on salary levels 1 to 10. In the case of MMS or SMS members (salary level 11 and above), the 13</w:t>
      </w:r>
      <w:r>
        <w:rPr>
          <w:rFonts w:ascii="Arial" w:hAnsi="Arial" w:cs="Arial"/>
          <w:vertAlign w:val="superscript"/>
          <w:lang w:val="en-GB"/>
        </w:rPr>
        <w:t>th</w:t>
      </w:r>
      <w:r>
        <w:rPr>
          <w:rFonts w:ascii="Arial" w:hAnsi="Arial" w:cs="Arial"/>
          <w:lang w:val="en-GB"/>
        </w:rPr>
        <w:t xml:space="preserve"> cheque may be structured from the flexible portion of their all-inclusive remuneration package. </w:t>
      </w:r>
    </w:p>
    <w:p w:rsidR="00525D63" w:rsidRDefault="00525D63" w:rsidP="00525D63">
      <w:pPr>
        <w:spacing w:line="240" w:lineRule="auto"/>
        <w:ind w:left="713" w:hanging="713"/>
        <w:jc w:val="both"/>
        <w:rPr>
          <w:rFonts w:ascii="Arial" w:hAnsi="Arial" w:cs="Arial"/>
          <w:lang w:val="en-GB"/>
        </w:rPr>
      </w:pPr>
      <w:r>
        <w:rPr>
          <w:rFonts w:ascii="Arial" w:hAnsi="Arial" w:cs="Arial"/>
          <w:lang w:val="en-GB"/>
        </w:rPr>
        <w:t>(ii)</w:t>
      </w:r>
      <w:r>
        <w:rPr>
          <w:rFonts w:ascii="Arial" w:hAnsi="Arial" w:cs="Arial"/>
          <w:lang w:val="en-GB"/>
        </w:rPr>
        <w:tab/>
        <w:t>Performance incentives (bonus)</w:t>
      </w:r>
    </w:p>
    <w:tbl>
      <w:tblPr>
        <w:tblStyle w:val="TableGrid"/>
        <w:tblW w:w="0" w:type="auto"/>
        <w:tblInd w:w="-147" w:type="dxa"/>
        <w:tblLook w:val="04A0" w:firstRow="1" w:lastRow="0" w:firstColumn="1" w:lastColumn="0" w:noHBand="0" w:noVBand="1"/>
      </w:tblPr>
      <w:tblGrid>
        <w:gridCol w:w="2127"/>
        <w:gridCol w:w="2693"/>
        <w:gridCol w:w="2693"/>
        <w:gridCol w:w="2666"/>
      </w:tblGrid>
      <w:tr w:rsidR="00525D63" w:rsidRPr="002C6173" w:rsidTr="0036357A">
        <w:tc>
          <w:tcPr>
            <w:tcW w:w="2127"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PAST THREE FINANCIAL YEARS</w:t>
            </w:r>
          </w:p>
        </w:tc>
        <w:tc>
          <w:tcPr>
            <w:tcW w:w="2693"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LOWER LEVEL EMPLOYEES - SALARY LEVELS 1 TO 10</w:t>
            </w:r>
          </w:p>
        </w:tc>
        <w:tc>
          <w:tcPr>
            <w:tcW w:w="2693"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MIDDEL MANAGEMENT – SALARY LEVEL 11 &amp; 12</w:t>
            </w:r>
          </w:p>
        </w:tc>
        <w:tc>
          <w:tcPr>
            <w:tcW w:w="2666" w:type="dxa"/>
          </w:tcPr>
          <w:p w:rsidR="00525D63" w:rsidRPr="002C6173" w:rsidRDefault="00525D63" w:rsidP="0036357A">
            <w:pPr>
              <w:pStyle w:val="ListParagraph"/>
              <w:spacing w:before="100" w:beforeAutospacing="1" w:after="100" w:afterAutospacing="1"/>
              <w:ind w:left="0"/>
              <w:jc w:val="both"/>
              <w:rPr>
                <w:rFonts w:ascii="Arial" w:hAnsi="Arial" w:cs="Arial"/>
                <w:b/>
              </w:rPr>
            </w:pPr>
            <w:r w:rsidRPr="002C6173">
              <w:rPr>
                <w:rFonts w:ascii="Arial" w:hAnsi="Arial" w:cs="Arial"/>
                <w:b/>
              </w:rPr>
              <w:t>SMS MEMBERS – SALARY LEVEL 13 - 16</w:t>
            </w:r>
          </w:p>
        </w:tc>
      </w:tr>
      <w:tr w:rsidR="00525D63" w:rsidTr="0036357A">
        <w:tc>
          <w:tcPr>
            <w:tcW w:w="2127"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2015-04-01</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p>
        </w:tc>
        <w:tc>
          <w:tcPr>
            <w:tcW w:w="2666" w:type="dxa"/>
          </w:tcPr>
          <w:p w:rsidR="00525D63" w:rsidRDefault="00525D63" w:rsidP="0036357A">
            <w:pPr>
              <w:pStyle w:val="ListParagraph"/>
              <w:spacing w:before="100" w:beforeAutospacing="1" w:after="100" w:afterAutospacing="1"/>
              <w:ind w:left="0"/>
              <w:jc w:val="both"/>
              <w:rPr>
                <w:rFonts w:ascii="Arial" w:hAnsi="Arial" w:cs="Arial"/>
              </w:rPr>
            </w:pPr>
          </w:p>
        </w:tc>
      </w:tr>
      <w:tr w:rsidR="00525D63" w:rsidTr="0036357A">
        <w:tc>
          <w:tcPr>
            <w:tcW w:w="2127"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2016-04-01</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p>
        </w:tc>
        <w:tc>
          <w:tcPr>
            <w:tcW w:w="2666" w:type="dxa"/>
          </w:tcPr>
          <w:p w:rsidR="00525D63" w:rsidRDefault="00525D63" w:rsidP="0036357A">
            <w:pPr>
              <w:pStyle w:val="ListParagraph"/>
              <w:spacing w:before="100" w:beforeAutospacing="1" w:after="100" w:afterAutospacing="1"/>
              <w:ind w:left="0"/>
              <w:jc w:val="both"/>
              <w:rPr>
                <w:rFonts w:ascii="Arial" w:hAnsi="Arial" w:cs="Arial"/>
              </w:rPr>
            </w:pPr>
          </w:p>
        </w:tc>
      </w:tr>
      <w:tr w:rsidR="00525D63" w:rsidTr="0036357A">
        <w:tc>
          <w:tcPr>
            <w:tcW w:w="2127" w:type="dxa"/>
          </w:tcPr>
          <w:p w:rsidR="00525D63" w:rsidRDefault="00525D63" w:rsidP="0036357A">
            <w:pPr>
              <w:pStyle w:val="ListParagraph"/>
              <w:spacing w:before="100" w:beforeAutospacing="1" w:after="100" w:afterAutospacing="1"/>
              <w:ind w:left="0"/>
              <w:jc w:val="both"/>
              <w:rPr>
                <w:rFonts w:ascii="Arial" w:hAnsi="Arial" w:cs="Arial"/>
              </w:rPr>
            </w:pPr>
            <w:r>
              <w:rPr>
                <w:rFonts w:ascii="Arial" w:hAnsi="Arial" w:cs="Arial"/>
              </w:rPr>
              <w:t>2017-04-01</w:t>
            </w: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p>
        </w:tc>
        <w:tc>
          <w:tcPr>
            <w:tcW w:w="2693" w:type="dxa"/>
          </w:tcPr>
          <w:p w:rsidR="00525D63" w:rsidRDefault="00525D63" w:rsidP="0036357A">
            <w:pPr>
              <w:pStyle w:val="ListParagraph"/>
              <w:spacing w:before="100" w:beforeAutospacing="1" w:after="100" w:afterAutospacing="1"/>
              <w:ind w:left="0"/>
              <w:jc w:val="both"/>
              <w:rPr>
                <w:rFonts w:ascii="Arial" w:hAnsi="Arial" w:cs="Arial"/>
              </w:rPr>
            </w:pPr>
          </w:p>
        </w:tc>
        <w:tc>
          <w:tcPr>
            <w:tcW w:w="2666" w:type="dxa"/>
          </w:tcPr>
          <w:p w:rsidR="00525D63" w:rsidRDefault="00525D63" w:rsidP="0036357A">
            <w:pPr>
              <w:pStyle w:val="ListParagraph"/>
              <w:spacing w:before="100" w:beforeAutospacing="1" w:after="100" w:afterAutospacing="1"/>
              <w:ind w:left="0"/>
              <w:jc w:val="both"/>
              <w:rPr>
                <w:rFonts w:ascii="Arial" w:hAnsi="Arial" w:cs="Arial"/>
              </w:rPr>
            </w:pPr>
          </w:p>
        </w:tc>
      </w:tr>
    </w:tbl>
    <w:p w:rsidR="00525D63" w:rsidRDefault="00525D63" w:rsidP="00525D63">
      <w:pPr>
        <w:spacing w:line="240" w:lineRule="auto"/>
        <w:ind w:left="713" w:hanging="713"/>
        <w:jc w:val="both"/>
        <w:rPr>
          <w:rFonts w:ascii="Arial" w:hAnsi="Arial" w:cs="Arial"/>
          <w:lang w:val="en-GB"/>
        </w:rPr>
      </w:pPr>
    </w:p>
    <w:p w:rsidR="00525D63" w:rsidRPr="00AF04DB" w:rsidRDefault="00525D63" w:rsidP="00525D63">
      <w:pPr>
        <w:jc w:val="both"/>
        <w:rPr>
          <w:rFonts w:ascii="Arial" w:hAnsi="Arial" w:cs="Arial"/>
        </w:rPr>
      </w:pPr>
      <w:r w:rsidRPr="00AF04DB">
        <w:rPr>
          <w:rFonts w:ascii="Arial" w:hAnsi="Arial" w:cs="Arial"/>
          <w:b/>
        </w:rPr>
        <w:t xml:space="preserve">b) </w:t>
      </w:r>
      <w:r w:rsidRPr="00AF04DB">
        <w:rPr>
          <w:rFonts w:ascii="Arial" w:hAnsi="Arial" w:cs="Arial"/>
        </w:rPr>
        <w:t xml:space="preserve"> </w:t>
      </w:r>
    </w:p>
    <w:p w:rsidR="00525D63" w:rsidRPr="00AF04DB" w:rsidRDefault="00525D63" w:rsidP="00525D63">
      <w:pPr>
        <w:autoSpaceDE w:val="0"/>
        <w:autoSpaceDN w:val="0"/>
        <w:adjustRightInd w:val="0"/>
        <w:spacing w:after="0" w:line="240" w:lineRule="auto"/>
        <w:rPr>
          <w:rFonts w:ascii="Arial" w:eastAsiaTheme="minorHAnsi" w:hAnsi="Arial" w:cs="Arial"/>
          <w:lang w:val="en-ZA"/>
        </w:rPr>
      </w:pPr>
      <w:r w:rsidRPr="00AF04DB">
        <w:rPr>
          <w:rFonts w:ascii="Arial" w:eastAsiaTheme="minorHAnsi" w:hAnsi="Arial" w:cs="Arial"/>
          <w:lang w:val="en-ZA"/>
        </w:rPr>
        <w:t>Service bonus/13</w:t>
      </w:r>
      <w:r w:rsidRPr="00AF04DB">
        <w:rPr>
          <w:rFonts w:ascii="Arial" w:eastAsiaTheme="minorHAnsi" w:hAnsi="Arial" w:cs="Arial"/>
          <w:vertAlign w:val="superscript"/>
          <w:lang w:val="en-ZA"/>
        </w:rPr>
        <w:t>th</w:t>
      </w:r>
      <w:r w:rsidRPr="00AF04DB">
        <w:rPr>
          <w:rFonts w:ascii="Arial" w:eastAsiaTheme="minorHAnsi" w:hAnsi="Arial" w:cs="Arial"/>
          <w:lang w:val="en-ZA"/>
        </w:rPr>
        <w:t xml:space="preserve"> cheque</w:t>
      </w:r>
    </w:p>
    <w:p w:rsidR="00525D63" w:rsidRPr="00AF04DB" w:rsidRDefault="00525D63" w:rsidP="00525D63">
      <w:pPr>
        <w:autoSpaceDE w:val="0"/>
        <w:autoSpaceDN w:val="0"/>
        <w:adjustRightInd w:val="0"/>
        <w:spacing w:after="0" w:line="240" w:lineRule="auto"/>
        <w:rPr>
          <w:rFonts w:ascii="Arial" w:eastAsiaTheme="minorHAnsi" w:hAnsi="Arial" w:cs="Arial"/>
          <w:lang w:val="en-ZA"/>
        </w:rPr>
      </w:pPr>
      <w:r w:rsidRPr="00AF04DB">
        <w:rPr>
          <w:rFonts w:ascii="Arial" w:eastAsiaTheme="minorHAnsi" w:hAnsi="Arial" w:cs="Arial"/>
          <w:lang w:val="en-ZA"/>
        </w:rPr>
        <w:t>In terms of PSCBC Resolution 3 of 1999 “an employee shall receive a service bonus if she or he</w:t>
      </w:r>
    </w:p>
    <w:p w:rsidR="00525D63" w:rsidRPr="00AF04DB" w:rsidRDefault="00525D63" w:rsidP="00525D63">
      <w:pPr>
        <w:autoSpaceDE w:val="0"/>
        <w:autoSpaceDN w:val="0"/>
        <w:adjustRightInd w:val="0"/>
        <w:spacing w:after="0" w:line="240" w:lineRule="auto"/>
        <w:ind w:left="567" w:hanging="630"/>
        <w:rPr>
          <w:rFonts w:ascii="Arial" w:eastAsiaTheme="minorHAnsi" w:hAnsi="Arial" w:cs="Arial"/>
          <w:lang w:val="en-ZA"/>
        </w:rPr>
      </w:pPr>
      <w:r w:rsidRPr="00AF04DB">
        <w:rPr>
          <w:rFonts w:ascii="Arial" w:eastAsiaTheme="minorHAnsi" w:hAnsi="Arial" w:cs="Arial"/>
          <w:lang w:val="en-ZA"/>
        </w:rPr>
        <w:t>(a)</w:t>
      </w:r>
      <w:r>
        <w:rPr>
          <w:rFonts w:ascii="Arial" w:eastAsiaTheme="minorHAnsi" w:hAnsi="Arial" w:cs="Arial"/>
          <w:lang w:val="en-ZA"/>
        </w:rPr>
        <w:tab/>
      </w:r>
      <w:r w:rsidRPr="00AF04DB">
        <w:rPr>
          <w:rFonts w:ascii="Arial" w:eastAsiaTheme="minorHAnsi" w:hAnsi="Arial" w:cs="Arial"/>
          <w:lang w:val="en-ZA"/>
        </w:rPr>
        <w:t>has a permanent contract or a fixed-term contract lasting at least three months, unless the contract specifies otherwise, and</w:t>
      </w:r>
    </w:p>
    <w:p w:rsidR="00525D63" w:rsidRPr="00AF04DB" w:rsidRDefault="00525D63" w:rsidP="00525D63">
      <w:pPr>
        <w:autoSpaceDE w:val="0"/>
        <w:autoSpaceDN w:val="0"/>
        <w:adjustRightInd w:val="0"/>
        <w:spacing w:after="0" w:line="240" w:lineRule="auto"/>
        <w:ind w:left="567" w:hanging="567"/>
        <w:rPr>
          <w:rFonts w:ascii="Arial" w:hAnsi="Arial" w:cs="Arial"/>
        </w:rPr>
      </w:pPr>
      <w:r w:rsidRPr="00AF04DB">
        <w:rPr>
          <w:rFonts w:ascii="Arial" w:eastAsiaTheme="minorHAnsi" w:hAnsi="Arial" w:cs="Arial"/>
          <w:lang w:val="en-ZA"/>
        </w:rPr>
        <w:t>(b)</w:t>
      </w:r>
      <w:r>
        <w:rPr>
          <w:rFonts w:ascii="Arial" w:eastAsiaTheme="minorHAnsi" w:hAnsi="Arial" w:cs="Arial"/>
          <w:lang w:val="en-ZA"/>
        </w:rPr>
        <w:tab/>
      </w:r>
      <w:proofErr w:type="gramStart"/>
      <w:r w:rsidRPr="00AF04DB">
        <w:rPr>
          <w:rFonts w:ascii="Arial" w:eastAsiaTheme="minorHAnsi" w:hAnsi="Arial" w:cs="Arial"/>
          <w:lang w:val="en-ZA"/>
        </w:rPr>
        <w:t>in</w:t>
      </w:r>
      <w:proofErr w:type="gramEnd"/>
      <w:r w:rsidRPr="00AF04DB">
        <w:rPr>
          <w:rFonts w:ascii="Arial" w:eastAsiaTheme="minorHAnsi" w:hAnsi="Arial" w:cs="Arial"/>
          <w:lang w:val="en-ZA"/>
        </w:rPr>
        <w:t xml:space="preserve"> the year ending on her or his bonus date, does not resign or undergo discharge due to misconduct.”</w:t>
      </w:r>
    </w:p>
    <w:p w:rsidR="00525D63" w:rsidRPr="00AF04DB" w:rsidRDefault="00525D63" w:rsidP="00525D63">
      <w:pPr>
        <w:jc w:val="both"/>
        <w:rPr>
          <w:rFonts w:ascii="Arial" w:hAnsi="Arial" w:cs="Arial"/>
          <w:b/>
        </w:rPr>
      </w:pPr>
    </w:p>
    <w:p w:rsidR="00525D63" w:rsidRDefault="00525D63" w:rsidP="00525D63">
      <w:pPr>
        <w:jc w:val="both"/>
        <w:rPr>
          <w:rFonts w:ascii="Arial" w:hAnsi="Arial" w:cs="Arial"/>
          <w:b/>
          <w:noProof/>
          <w:lang w:val="af-ZA"/>
        </w:rPr>
      </w:pPr>
      <w:r w:rsidRPr="00AF04DB">
        <w:rPr>
          <w:rFonts w:ascii="Arial" w:hAnsi="Arial" w:cs="Arial"/>
          <w:b/>
        </w:rPr>
        <w:t xml:space="preserve">(c) </w:t>
      </w:r>
      <w:r w:rsidRPr="00AF04DB">
        <w:rPr>
          <w:rFonts w:ascii="Arial" w:hAnsi="Arial" w:cs="Arial"/>
          <w:b/>
          <w:noProof/>
          <w:lang w:val="af-ZA"/>
        </w:rPr>
        <w:tab/>
      </w:r>
    </w:p>
    <w:p w:rsidR="00525D63" w:rsidRPr="00AF04DB" w:rsidRDefault="00525D63" w:rsidP="00525D63">
      <w:pPr>
        <w:autoSpaceDE w:val="0"/>
        <w:autoSpaceDN w:val="0"/>
        <w:adjustRightInd w:val="0"/>
        <w:spacing w:after="0" w:line="240" w:lineRule="auto"/>
        <w:rPr>
          <w:rFonts w:ascii="Arial" w:eastAsiaTheme="minorHAnsi" w:hAnsi="Arial" w:cs="Arial"/>
          <w:lang w:val="en-ZA"/>
        </w:rPr>
      </w:pPr>
      <w:r w:rsidRPr="00AF04DB">
        <w:rPr>
          <w:rFonts w:ascii="Arial" w:eastAsiaTheme="minorHAnsi" w:hAnsi="Arial" w:cs="Arial"/>
          <w:lang w:val="en-ZA"/>
        </w:rPr>
        <w:t>Service bonus/13</w:t>
      </w:r>
      <w:r w:rsidRPr="00AF04DB">
        <w:rPr>
          <w:rFonts w:ascii="Arial" w:eastAsiaTheme="minorHAnsi" w:hAnsi="Arial" w:cs="Arial"/>
          <w:vertAlign w:val="superscript"/>
          <w:lang w:val="en-ZA"/>
        </w:rPr>
        <w:t>th</w:t>
      </w:r>
      <w:r w:rsidRPr="00AF04DB">
        <w:rPr>
          <w:rFonts w:ascii="Arial" w:eastAsiaTheme="minorHAnsi" w:hAnsi="Arial" w:cs="Arial"/>
          <w:lang w:val="en-ZA"/>
        </w:rPr>
        <w:t xml:space="preserve"> cheque</w:t>
      </w:r>
    </w:p>
    <w:p w:rsidR="00525D63" w:rsidRPr="00AF04DB" w:rsidRDefault="00525D63" w:rsidP="00525D63">
      <w:pPr>
        <w:jc w:val="both"/>
        <w:rPr>
          <w:rFonts w:ascii="Arial" w:hAnsi="Arial" w:cs="Arial"/>
          <w:noProof/>
          <w:lang w:val="af-ZA"/>
        </w:rPr>
      </w:pPr>
      <w:r w:rsidRPr="00AF04DB">
        <w:rPr>
          <w:rFonts w:ascii="Arial" w:hAnsi="Arial" w:cs="Arial"/>
          <w:noProof/>
          <w:lang w:val="af-ZA"/>
        </w:rPr>
        <w:t>As indicated in paragraph 1 (b</w:t>
      </w:r>
      <w:r>
        <w:rPr>
          <w:rFonts w:ascii="Arial" w:hAnsi="Arial" w:cs="Arial"/>
          <w:noProof/>
          <w:lang w:val="af-ZA"/>
        </w:rPr>
        <w:t>)</w:t>
      </w:r>
      <w:r w:rsidRPr="00AF04DB">
        <w:rPr>
          <w:rFonts w:ascii="Arial" w:hAnsi="Arial" w:cs="Arial"/>
          <w:noProof/>
          <w:lang w:val="af-ZA"/>
        </w:rPr>
        <w:t xml:space="preserve"> and (c) above, </w:t>
      </w:r>
      <w:r>
        <w:rPr>
          <w:rFonts w:ascii="Arial" w:hAnsi="Arial" w:cs="Arial"/>
          <w:noProof/>
          <w:lang w:val="af-ZA"/>
        </w:rPr>
        <w:t xml:space="preserve">the Minister for Public Service and Administration determines the </w:t>
      </w:r>
      <w:r>
        <w:rPr>
          <w:rFonts w:ascii="Arial" w:hAnsi="Arial" w:cs="Arial"/>
        </w:rPr>
        <w:t>conditions of service of employees appointed in terms of the Act.</w:t>
      </w:r>
    </w:p>
    <w:p w:rsidR="00525D63" w:rsidRDefault="00525D63" w:rsidP="00525D63">
      <w:pPr>
        <w:jc w:val="both"/>
        <w:rPr>
          <w:rFonts w:ascii="Arial" w:hAnsi="Arial" w:cs="Arial"/>
          <w:b/>
          <w:noProof/>
          <w:lang w:val="af-ZA"/>
        </w:rPr>
      </w:pPr>
    </w:p>
    <w:p w:rsidR="00525D63" w:rsidRDefault="00525D63" w:rsidP="00525D63">
      <w:pPr>
        <w:jc w:val="both"/>
        <w:rPr>
          <w:rFonts w:ascii="Arial" w:hAnsi="Arial" w:cs="Arial"/>
          <w:b/>
          <w:noProof/>
          <w:lang w:val="af-ZA"/>
        </w:rPr>
      </w:pPr>
    </w:p>
    <w:p w:rsidR="00525D63" w:rsidRPr="00AF04DB" w:rsidRDefault="00525D63" w:rsidP="00525D63">
      <w:pPr>
        <w:jc w:val="both"/>
        <w:rPr>
          <w:rFonts w:ascii="Arial" w:hAnsi="Arial" w:cs="Arial"/>
          <w:b/>
          <w:noProof/>
          <w:lang w:val="af-ZA"/>
        </w:rPr>
      </w:pPr>
    </w:p>
    <w:p w:rsidR="00525D63" w:rsidRPr="00205E49" w:rsidRDefault="00525D63" w:rsidP="00525D63">
      <w:pPr>
        <w:jc w:val="both"/>
        <w:rPr>
          <w:rFonts w:ascii="Arial" w:hAnsi="Arial" w:cs="Arial"/>
          <w:b/>
          <w:bCs/>
          <w:lang w:val="en-GB"/>
        </w:rPr>
      </w:pPr>
    </w:p>
    <w:p w:rsidR="00525D63" w:rsidRPr="00205E49" w:rsidRDefault="00525D63" w:rsidP="00525D63">
      <w:pPr>
        <w:ind w:left="713" w:hanging="855"/>
        <w:rPr>
          <w:rFonts w:ascii="Arial" w:hAnsi="Arial" w:cs="Arial"/>
          <w:b/>
        </w:rPr>
      </w:pPr>
    </w:p>
    <w:p w:rsidR="00525D63" w:rsidRDefault="00525D63" w:rsidP="00A477E3">
      <w:pPr>
        <w:spacing w:before="100" w:beforeAutospacing="1" w:after="100" w:afterAutospacing="1" w:line="240" w:lineRule="auto"/>
        <w:jc w:val="both"/>
        <w:rPr>
          <w:rFonts w:ascii="Arial" w:hAnsi="Arial" w:cs="Arial"/>
          <w:b/>
        </w:rPr>
      </w:pPr>
    </w:p>
    <w:p w:rsidR="00922855" w:rsidRDefault="00922855" w:rsidP="00A477E3">
      <w:pPr>
        <w:spacing w:before="100" w:beforeAutospacing="1" w:after="100" w:afterAutospacing="1" w:line="240" w:lineRule="auto"/>
        <w:jc w:val="both"/>
        <w:rPr>
          <w:rFonts w:ascii="Arial" w:hAnsi="Arial" w:cs="Arial"/>
          <w:b/>
        </w:rPr>
      </w:pPr>
    </w:p>
    <w:p w:rsidR="00922855" w:rsidRDefault="00922855" w:rsidP="00A477E3">
      <w:pPr>
        <w:spacing w:before="100" w:beforeAutospacing="1" w:after="100" w:afterAutospacing="1" w:line="240" w:lineRule="auto"/>
        <w:jc w:val="both"/>
        <w:rPr>
          <w:rFonts w:ascii="Arial" w:hAnsi="Arial" w:cs="Arial"/>
          <w:b/>
        </w:rPr>
      </w:pPr>
    </w:p>
    <w:p w:rsidR="00A477E3" w:rsidRDefault="00A477E3" w:rsidP="00A477E3">
      <w:pPr>
        <w:spacing w:before="100" w:beforeAutospacing="1" w:after="100" w:afterAutospacing="1" w:line="240" w:lineRule="auto"/>
        <w:jc w:val="both"/>
        <w:rPr>
          <w:rFonts w:ascii="Arial" w:hAnsi="Arial" w:cs="Arial"/>
          <w:b/>
        </w:rPr>
      </w:pPr>
      <w:r>
        <w:rPr>
          <w:rFonts w:ascii="Arial" w:hAnsi="Arial" w:cs="Arial"/>
          <w:b/>
        </w:rPr>
        <w:lastRenderedPageBreak/>
        <w:t>Airports Company South Africa SOC Limited (ACSA)</w:t>
      </w:r>
    </w:p>
    <w:p w:rsidR="00A477E3" w:rsidRDefault="00A477E3" w:rsidP="00A477E3">
      <w:pPr>
        <w:spacing w:before="100" w:beforeAutospacing="1" w:after="100" w:afterAutospacing="1" w:line="240" w:lineRule="auto"/>
        <w:jc w:val="both"/>
        <w:rPr>
          <w:rFonts w:ascii="Arial" w:hAnsi="Arial" w:cs="Arial"/>
          <w:b/>
        </w:rPr>
      </w:pPr>
    </w:p>
    <w:p w:rsidR="00A477E3" w:rsidRDefault="00A477E3" w:rsidP="00F05BC8">
      <w:pPr>
        <w:pStyle w:val="ListParagraph"/>
        <w:numPr>
          <w:ilvl w:val="0"/>
          <w:numId w:val="8"/>
        </w:numPr>
        <w:spacing w:before="100" w:beforeAutospacing="1" w:after="100" w:afterAutospacing="1" w:line="240" w:lineRule="auto"/>
        <w:ind w:left="426" w:hanging="426"/>
        <w:jc w:val="both"/>
        <w:rPr>
          <w:rFonts w:ascii="Arial" w:hAnsi="Arial" w:cs="Arial"/>
        </w:rPr>
      </w:pPr>
      <w:r>
        <w:rPr>
          <w:rFonts w:ascii="Arial" w:hAnsi="Arial" w:cs="Arial"/>
        </w:rPr>
        <w:t>(a) Salary increase for employees including Executives; and</w:t>
      </w:r>
    </w:p>
    <w:p w:rsidR="00A477E3" w:rsidRDefault="00A477E3" w:rsidP="00A477E3">
      <w:pPr>
        <w:pStyle w:val="ListParagraph"/>
        <w:spacing w:before="100" w:beforeAutospacing="1" w:after="100" w:afterAutospacing="1" w:line="240" w:lineRule="auto"/>
        <w:ind w:left="426"/>
        <w:jc w:val="both"/>
        <w:rPr>
          <w:rFonts w:ascii="Arial" w:hAnsi="Arial" w:cs="Arial"/>
        </w:rPr>
      </w:pPr>
      <w:r>
        <w:rPr>
          <w:rFonts w:ascii="Arial" w:hAnsi="Arial" w:cs="Arial"/>
        </w:rPr>
        <w:t xml:space="preserve">     </w:t>
      </w:r>
      <w:proofErr w:type="gramStart"/>
      <w:r>
        <w:rPr>
          <w:rFonts w:ascii="Arial" w:hAnsi="Arial" w:cs="Arial"/>
        </w:rPr>
        <w:t>Housing subsidy for only Basic salaries employees on A to C Band.</w:t>
      </w:r>
      <w:proofErr w:type="gramEnd"/>
    </w:p>
    <w:p w:rsidR="00A477E3" w:rsidRDefault="00A477E3" w:rsidP="00F05BC8">
      <w:pPr>
        <w:pStyle w:val="ListParagraph"/>
        <w:numPr>
          <w:ilvl w:val="0"/>
          <w:numId w:val="9"/>
        </w:numPr>
        <w:spacing w:before="100" w:beforeAutospacing="1" w:after="100" w:afterAutospacing="1" w:line="240" w:lineRule="auto"/>
        <w:ind w:left="709" w:hanging="274"/>
        <w:jc w:val="both"/>
        <w:rPr>
          <w:rFonts w:ascii="Arial" w:hAnsi="Arial" w:cs="Arial"/>
        </w:rPr>
      </w:pPr>
      <w:r>
        <w:rPr>
          <w:rFonts w:ascii="Arial" w:hAnsi="Arial" w:cs="Arial"/>
        </w:rPr>
        <w:t xml:space="preserve">Airports Company South Africa </w:t>
      </w:r>
      <w:proofErr w:type="spellStart"/>
      <w:r>
        <w:rPr>
          <w:rFonts w:ascii="Arial" w:hAnsi="Arial" w:cs="Arial"/>
        </w:rPr>
        <w:t>SoE</w:t>
      </w:r>
      <w:proofErr w:type="spellEnd"/>
    </w:p>
    <w:p w:rsidR="00A477E3" w:rsidRPr="00A477E3" w:rsidRDefault="00A477E3" w:rsidP="00F05BC8">
      <w:pPr>
        <w:pStyle w:val="ListParagraph"/>
        <w:numPr>
          <w:ilvl w:val="0"/>
          <w:numId w:val="9"/>
        </w:numPr>
        <w:spacing w:before="100" w:beforeAutospacing="1" w:after="100" w:afterAutospacing="1" w:line="240" w:lineRule="auto"/>
        <w:ind w:left="709" w:hanging="274"/>
        <w:jc w:val="both"/>
        <w:rPr>
          <w:rFonts w:ascii="Arial" w:hAnsi="Arial" w:cs="Arial"/>
        </w:rPr>
      </w:pPr>
      <w:r>
        <w:rPr>
          <w:rFonts w:ascii="Arial" w:hAnsi="Arial" w:cs="Arial"/>
        </w:rPr>
        <w:t>Salary Increase</w:t>
      </w:r>
    </w:p>
    <w:p w:rsidR="001C7EC6" w:rsidRDefault="001C7EC6" w:rsidP="001C7EC6">
      <w:pPr>
        <w:spacing w:before="100" w:beforeAutospacing="1" w:after="100" w:afterAutospacing="1" w:line="240" w:lineRule="auto"/>
        <w:jc w:val="both"/>
        <w:rPr>
          <w:rFonts w:ascii="Arial" w:hAnsi="Arial" w:cs="Arial"/>
          <w:b/>
        </w:rPr>
      </w:pPr>
    </w:p>
    <w:tbl>
      <w:tblPr>
        <w:tblW w:w="6369" w:type="dxa"/>
        <w:tblInd w:w="-10" w:type="dxa"/>
        <w:tblBorders>
          <w:top w:val="single" w:sz="8" w:space="0" w:color="44546A"/>
          <w:left w:val="single" w:sz="8" w:space="0" w:color="44546A"/>
          <w:bottom w:val="single" w:sz="8" w:space="0" w:color="44546A"/>
          <w:right w:val="single" w:sz="8" w:space="0" w:color="44546A"/>
          <w:insideH w:val="single" w:sz="8" w:space="0" w:color="44546A"/>
          <w:insideV w:val="single" w:sz="8" w:space="0" w:color="44546A"/>
        </w:tblBorders>
        <w:tblLook w:val="04A0" w:firstRow="1" w:lastRow="0" w:firstColumn="1" w:lastColumn="0" w:noHBand="0" w:noVBand="1"/>
      </w:tblPr>
      <w:tblGrid>
        <w:gridCol w:w="2258"/>
        <w:gridCol w:w="2835"/>
        <w:gridCol w:w="1276"/>
      </w:tblGrid>
      <w:tr w:rsidR="00BF339A" w:rsidRPr="000F0D62" w:rsidTr="00A477E3">
        <w:trPr>
          <w:trHeight w:val="488"/>
        </w:trPr>
        <w:tc>
          <w:tcPr>
            <w:tcW w:w="2258" w:type="dxa"/>
            <w:shd w:val="clear" w:color="auto" w:fill="D9D9D9" w:themeFill="background1" w:themeFillShade="D9"/>
            <w:noWrap/>
            <w:vAlign w:val="center"/>
            <w:hideMark/>
          </w:tcPr>
          <w:p w:rsidR="00BF339A" w:rsidRPr="000F0D62" w:rsidRDefault="00BF339A" w:rsidP="0095028B">
            <w:pPr>
              <w:ind w:left="172" w:hanging="172"/>
              <w:jc w:val="center"/>
              <w:rPr>
                <w:rFonts w:ascii="Arial" w:hAnsi="Arial" w:cs="Arial"/>
                <w:b/>
                <w:bCs/>
                <w:sz w:val="20"/>
                <w:szCs w:val="24"/>
              </w:rPr>
            </w:pPr>
            <w:r w:rsidRPr="000F0D62">
              <w:rPr>
                <w:rFonts w:ascii="Arial" w:hAnsi="Arial" w:cs="Arial"/>
                <w:b/>
                <w:bCs/>
                <w:sz w:val="20"/>
                <w:szCs w:val="24"/>
              </w:rPr>
              <w:t>Remuneration Increases</w:t>
            </w:r>
          </w:p>
        </w:tc>
        <w:tc>
          <w:tcPr>
            <w:tcW w:w="2835" w:type="dxa"/>
            <w:shd w:val="clear" w:color="auto" w:fill="D9D9D9" w:themeFill="background1" w:themeFillShade="D9"/>
            <w:noWrap/>
            <w:vAlign w:val="center"/>
            <w:hideMark/>
          </w:tcPr>
          <w:p w:rsidR="00BF339A" w:rsidRPr="000F0D62" w:rsidRDefault="00A2187D" w:rsidP="0095028B">
            <w:pPr>
              <w:jc w:val="center"/>
              <w:rPr>
                <w:rFonts w:ascii="Arial" w:hAnsi="Arial" w:cs="Arial"/>
                <w:b/>
                <w:bCs/>
                <w:sz w:val="20"/>
                <w:szCs w:val="24"/>
              </w:rPr>
            </w:pPr>
            <w:r w:rsidRPr="000F0D62">
              <w:rPr>
                <w:rFonts w:ascii="Arial" w:hAnsi="Arial" w:cs="Arial"/>
                <w:b/>
                <w:bCs/>
                <w:sz w:val="20"/>
                <w:szCs w:val="24"/>
              </w:rPr>
              <w:t>Grades</w:t>
            </w:r>
          </w:p>
        </w:tc>
        <w:tc>
          <w:tcPr>
            <w:tcW w:w="1276" w:type="dxa"/>
            <w:shd w:val="clear" w:color="auto" w:fill="D9D9D9" w:themeFill="background1" w:themeFillShade="D9"/>
            <w:vAlign w:val="center"/>
          </w:tcPr>
          <w:p w:rsidR="00BF339A" w:rsidRPr="000F0D62" w:rsidRDefault="00BF339A" w:rsidP="0095028B">
            <w:pPr>
              <w:jc w:val="center"/>
              <w:rPr>
                <w:rFonts w:ascii="Arial" w:hAnsi="Arial" w:cs="Arial"/>
                <w:b/>
                <w:bCs/>
                <w:sz w:val="20"/>
                <w:szCs w:val="24"/>
              </w:rPr>
            </w:pPr>
            <w:r w:rsidRPr="000F0D62">
              <w:rPr>
                <w:rFonts w:ascii="Arial" w:hAnsi="Arial" w:cs="Arial"/>
                <w:b/>
                <w:bCs/>
                <w:sz w:val="20"/>
                <w:szCs w:val="24"/>
              </w:rPr>
              <w:t>% Increase</w:t>
            </w:r>
          </w:p>
        </w:tc>
      </w:tr>
      <w:tr w:rsidR="00A2187D" w:rsidRPr="000F0D62" w:rsidTr="00A477E3">
        <w:trPr>
          <w:trHeight w:val="273"/>
        </w:trPr>
        <w:tc>
          <w:tcPr>
            <w:tcW w:w="2258" w:type="dxa"/>
            <w:vMerge w:val="restart"/>
            <w:shd w:val="clear" w:color="auto" w:fill="FFFFFF" w:themeFill="background1"/>
            <w:vAlign w:val="center"/>
          </w:tcPr>
          <w:p w:rsidR="00A2187D" w:rsidRPr="00D2565D" w:rsidRDefault="000F0D62" w:rsidP="00B97BBF">
            <w:pPr>
              <w:jc w:val="center"/>
              <w:rPr>
                <w:rFonts w:ascii="Arial" w:hAnsi="Arial" w:cs="Arial"/>
                <w:b/>
                <w:sz w:val="20"/>
                <w:szCs w:val="24"/>
              </w:rPr>
            </w:pPr>
            <w:r w:rsidRPr="00D2565D">
              <w:rPr>
                <w:rFonts w:ascii="Arial" w:hAnsi="Arial" w:cs="Arial"/>
                <w:b/>
                <w:sz w:val="20"/>
                <w:szCs w:val="24"/>
              </w:rPr>
              <w:t>2015</w:t>
            </w:r>
            <w:r w:rsidR="00A2187D" w:rsidRPr="00D2565D">
              <w:rPr>
                <w:rFonts w:ascii="Arial" w:hAnsi="Arial" w:cs="Arial"/>
                <w:b/>
                <w:sz w:val="20"/>
                <w:szCs w:val="24"/>
              </w:rPr>
              <w:t xml:space="preserve"> Financial Year</w:t>
            </w: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SOL 1 to 3 (Unionized)</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8%</w:t>
            </w:r>
          </w:p>
        </w:tc>
      </w:tr>
      <w:tr w:rsidR="00A2187D" w:rsidRPr="000F0D62" w:rsidTr="00A477E3">
        <w:trPr>
          <w:trHeight w:val="273"/>
        </w:trPr>
        <w:tc>
          <w:tcPr>
            <w:tcW w:w="2258" w:type="dxa"/>
            <w:vMerge/>
            <w:shd w:val="clear" w:color="auto" w:fill="FFFFFF" w:themeFill="background1"/>
            <w:vAlign w:val="center"/>
          </w:tcPr>
          <w:p w:rsidR="00A2187D" w:rsidRPr="00D2565D" w:rsidRDefault="00A2187D" w:rsidP="00B97BBF">
            <w:pPr>
              <w:jc w:val="center"/>
              <w:rPr>
                <w:rFonts w:ascii="Arial" w:hAnsi="Arial" w:cs="Arial"/>
                <w:b/>
                <w:sz w:val="20"/>
                <w:szCs w:val="24"/>
              </w:rPr>
            </w:pP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SOL 3 to 5</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7.5%</w:t>
            </w:r>
          </w:p>
        </w:tc>
      </w:tr>
      <w:tr w:rsidR="00A2187D" w:rsidRPr="000F0D62" w:rsidTr="00A477E3">
        <w:trPr>
          <w:trHeight w:val="258"/>
        </w:trPr>
        <w:tc>
          <w:tcPr>
            <w:tcW w:w="2258" w:type="dxa"/>
            <w:vMerge/>
            <w:shd w:val="clear" w:color="auto" w:fill="FFFFFF" w:themeFill="background1"/>
            <w:vAlign w:val="center"/>
          </w:tcPr>
          <w:p w:rsidR="00A2187D" w:rsidRPr="00D2565D" w:rsidRDefault="00A2187D" w:rsidP="00B97BBF">
            <w:pPr>
              <w:jc w:val="center"/>
              <w:rPr>
                <w:rFonts w:ascii="Arial" w:hAnsi="Arial" w:cs="Arial"/>
                <w:b/>
                <w:sz w:val="20"/>
                <w:szCs w:val="24"/>
              </w:rPr>
            </w:pP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SOL 6</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6.5%</w:t>
            </w:r>
          </w:p>
        </w:tc>
      </w:tr>
      <w:tr w:rsidR="00A2187D" w:rsidRPr="000F0D62" w:rsidTr="00A477E3">
        <w:trPr>
          <w:trHeight w:val="258"/>
        </w:trPr>
        <w:tc>
          <w:tcPr>
            <w:tcW w:w="2258" w:type="dxa"/>
            <w:vMerge/>
            <w:shd w:val="clear" w:color="auto" w:fill="FFFFFF" w:themeFill="background1"/>
            <w:vAlign w:val="center"/>
          </w:tcPr>
          <w:p w:rsidR="00A2187D" w:rsidRPr="00D2565D" w:rsidRDefault="00A2187D" w:rsidP="00B97BBF">
            <w:pPr>
              <w:jc w:val="center"/>
              <w:rPr>
                <w:rFonts w:ascii="Arial" w:hAnsi="Arial" w:cs="Arial"/>
                <w:b/>
                <w:sz w:val="20"/>
                <w:szCs w:val="24"/>
              </w:rPr>
            </w:pP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SOL 7 and 8</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6%</w:t>
            </w:r>
          </w:p>
        </w:tc>
      </w:tr>
      <w:tr w:rsidR="00A2187D" w:rsidRPr="000F0D62" w:rsidTr="00A477E3">
        <w:trPr>
          <w:trHeight w:val="395"/>
        </w:trPr>
        <w:tc>
          <w:tcPr>
            <w:tcW w:w="2258" w:type="dxa"/>
            <w:vMerge w:val="restart"/>
            <w:shd w:val="clear" w:color="auto" w:fill="FFFFFF" w:themeFill="background1"/>
            <w:vAlign w:val="center"/>
          </w:tcPr>
          <w:p w:rsidR="00A2187D" w:rsidRPr="00D2565D" w:rsidRDefault="00A2187D" w:rsidP="00B97BBF">
            <w:pPr>
              <w:jc w:val="center"/>
              <w:rPr>
                <w:rFonts w:ascii="Arial" w:hAnsi="Arial" w:cs="Arial"/>
                <w:b/>
                <w:sz w:val="20"/>
                <w:szCs w:val="24"/>
              </w:rPr>
            </w:pPr>
            <w:r w:rsidRPr="00D2565D">
              <w:rPr>
                <w:rFonts w:ascii="Arial" w:hAnsi="Arial" w:cs="Arial"/>
                <w:b/>
                <w:sz w:val="20"/>
                <w:szCs w:val="24"/>
              </w:rPr>
              <w:t>201</w:t>
            </w:r>
            <w:r w:rsidR="00B97BBF">
              <w:rPr>
                <w:rFonts w:ascii="Arial" w:hAnsi="Arial" w:cs="Arial"/>
                <w:b/>
                <w:sz w:val="20"/>
                <w:szCs w:val="24"/>
              </w:rPr>
              <w:t>6</w:t>
            </w:r>
            <w:r w:rsidRPr="00D2565D">
              <w:rPr>
                <w:rFonts w:ascii="Arial" w:hAnsi="Arial" w:cs="Arial"/>
                <w:b/>
                <w:sz w:val="20"/>
                <w:szCs w:val="24"/>
              </w:rPr>
              <w:t xml:space="preserve"> Financial Year</w:t>
            </w: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A3 to C3 (Unionized)</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8.5%</w:t>
            </w:r>
          </w:p>
        </w:tc>
      </w:tr>
      <w:tr w:rsidR="00A2187D" w:rsidRPr="000F0D62" w:rsidTr="00A477E3">
        <w:trPr>
          <w:trHeight w:val="395"/>
        </w:trPr>
        <w:tc>
          <w:tcPr>
            <w:tcW w:w="2258" w:type="dxa"/>
            <w:vMerge/>
            <w:shd w:val="clear" w:color="auto" w:fill="FFFFFF" w:themeFill="background1"/>
            <w:vAlign w:val="center"/>
          </w:tcPr>
          <w:p w:rsidR="00A2187D" w:rsidRPr="00D2565D" w:rsidRDefault="00A2187D" w:rsidP="00B97BBF">
            <w:pPr>
              <w:jc w:val="center"/>
              <w:rPr>
                <w:rFonts w:ascii="Arial" w:hAnsi="Arial" w:cs="Arial"/>
                <w:b/>
                <w:sz w:val="20"/>
                <w:szCs w:val="24"/>
              </w:rPr>
            </w:pP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C4 to D5</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7.5%</w:t>
            </w:r>
          </w:p>
        </w:tc>
      </w:tr>
      <w:tr w:rsidR="00A2187D" w:rsidRPr="000F0D62" w:rsidTr="00A477E3">
        <w:trPr>
          <w:trHeight w:val="258"/>
        </w:trPr>
        <w:tc>
          <w:tcPr>
            <w:tcW w:w="2258" w:type="dxa"/>
            <w:vMerge/>
            <w:shd w:val="clear" w:color="auto" w:fill="FFFFFF" w:themeFill="background1"/>
            <w:vAlign w:val="center"/>
          </w:tcPr>
          <w:p w:rsidR="00A2187D" w:rsidRPr="00D2565D" w:rsidRDefault="00A2187D" w:rsidP="00B97BBF">
            <w:pPr>
              <w:jc w:val="center"/>
              <w:rPr>
                <w:rFonts w:ascii="Arial" w:hAnsi="Arial" w:cs="Arial"/>
                <w:b/>
                <w:sz w:val="20"/>
                <w:szCs w:val="24"/>
              </w:rPr>
            </w:pPr>
          </w:p>
        </w:tc>
        <w:tc>
          <w:tcPr>
            <w:tcW w:w="2835" w:type="dxa"/>
            <w:vMerge w:val="restart"/>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E1 to E3</w:t>
            </w:r>
          </w:p>
          <w:p w:rsidR="00A2187D" w:rsidRPr="000F0D62" w:rsidRDefault="00A2187D" w:rsidP="00A2187D">
            <w:pPr>
              <w:jc w:val="center"/>
              <w:rPr>
                <w:rFonts w:ascii="Arial" w:hAnsi="Arial" w:cs="Arial"/>
                <w:sz w:val="20"/>
                <w:szCs w:val="24"/>
              </w:rPr>
            </w:pPr>
            <w:r w:rsidRPr="000F0D62">
              <w:rPr>
                <w:rFonts w:ascii="Arial" w:hAnsi="Arial" w:cs="Arial"/>
                <w:sz w:val="20"/>
                <w:szCs w:val="24"/>
              </w:rPr>
              <w:t>Executives</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6.5%</w:t>
            </w:r>
          </w:p>
        </w:tc>
      </w:tr>
      <w:tr w:rsidR="00A2187D" w:rsidRPr="000F0D62" w:rsidTr="00A477E3">
        <w:trPr>
          <w:trHeight w:val="258"/>
        </w:trPr>
        <w:tc>
          <w:tcPr>
            <w:tcW w:w="2258" w:type="dxa"/>
            <w:vMerge/>
            <w:shd w:val="clear" w:color="auto" w:fill="FFFFFF" w:themeFill="background1"/>
            <w:vAlign w:val="center"/>
          </w:tcPr>
          <w:p w:rsidR="00A2187D" w:rsidRPr="00D2565D" w:rsidRDefault="00A2187D" w:rsidP="00B97BBF">
            <w:pPr>
              <w:jc w:val="center"/>
              <w:rPr>
                <w:rFonts w:ascii="Arial" w:hAnsi="Arial" w:cs="Arial"/>
                <w:b/>
                <w:sz w:val="20"/>
                <w:szCs w:val="24"/>
              </w:rPr>
            </w:pPr>
          </w:p>
        </w:tc>
        <w:tc>
          <w:tcPr>
            <w:tcW w:w="2835" w:type="dxa"/>
            <w:vMerge/>
            <w:shd w:val="clear" w:color="auto" w:fill="auto"/>
            <w:noWrap/>
            <w:vAlign w:val="center"/>
          </w:tcPr>
          <w:p w:rsidR="00A2187D" w:rsidRPr="000F0D62" w:rsidRDefault="00A2187D" w:rsidP="00A2187D">
            <w:pPr>
              <w:jc w:val="center"/>
              <w:rPr>
                <w:rFonts w:ascii="Arial" w:hAnsi="Arial" w:cs="Arial"/>
                <w:sz w:val="20"/>
                <w:szCs w:val="24"/>
              </w:rPr>
            </w:pP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6.5%</w:t>
            </w:r>
          </w:p>
        </w:tc>
      </w:tr>
      <w:tr w:rsidR="00A2187D" w:rsidRPr="000F0D62" w:rsidTr="00A477E3">
        <w:trPr>
          <w:trHeight w:val="395"/>
        </w:trPr>
        <w:tc>
          <w:tcPr>
            <w:tcW w:w="2258" w:type="dxa"/>
            <w:vMerge w:val="restart"/>
            <w:shd w:val="clear" w:color="auto" w:fill="FFFFFF" w:themeFill="background1"/>
            <w:vAlign w:val="center"/>
          </w:tcPr>
          <w:p w:rsidR="00A2187D" w:rsidRPr="00D2565D" w:rsidRDefault="00A2187D" w:rsidP="00B97BBF">
            <w:pPr>
              <w:jc w:val="center"/>
              <w:rPr>
                <w:rFonts w:ascii="Arial" w:hAnsi="Arial" w:cs="Arial"/>
                <w:b/>
                <w:sz w:val="20"/>
                <w:szCs w:val="24"/>
              </w:rPr>
            </w:pPr>
            <w:r w:rsidRPr="00D2565D">
              <w:rPr>
                <w:rFonts w:ascii="Arial" w:hAnsi="Arial" w:cs="Arial"/>
                <w:b/>
                <w:sz w:val="20"/>
                <w:szCs w:val="24"/>
              </w:rPr>
              <w:t>2017</w:t>
            </w:r>
            <w:r w:rsidR="00B97BBF">
              <w:rPr>
                <w:rFonts w:ascii="Arial" w:hAnsi="Arial" w:cs="Arial"/>
                <w:b/>
                <w:sz w:val="20"/>
                <w:szCs w:val="24"/>
              </w:rPr>
              <w:t xml:space="preserve"> </w:t>
            </w:r>
            <w:r w:rsidRPr="00D2565D">
              <w:rPr>
                <w:rFonts w:ascii="Arial" w:hAnsi="Arial" w:cs="Arial"/>
                <w:b/>
                <w:sz w:val="20"/>
                <w:szCs w:val="24"/>
              </w:rPr>
              <w:t>Financial Year</w:t>
            </w: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A3 to C3 (Unionized)</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8.1%</w:t>
            </w:r>
          </w:p>
        </w:tc>
      </w:tr>
      <w:tr w:rsidR="00A2187D" w:rsidRPr="000F0D62" w:rsidTr="00A477E3">
        <w:trPr>
          <w:trHeight w:val="395"/>
        </w:trPr>
        <w:tc>
          <w:tcPr>
            <w:tcW w:w="2258" w:type="dxa"/>
            <w:vMerge/>
            <w:shd w:val="clear" w:color="auto" w:fill="FFFFFF" w:themeFill="background1"/>
            <w:vAlign w:val="center"/>
          </w:tcPr>
          <w:p w:rsidR="00A2187D" w:rsidRPr="000F0D62" w:rsidRDefault="00A2187D" w:rsidP="00A2187D">
            <w:pPr>
              <w:rPr>
                <w:rFonts w:ascii="Arial" w:hAnsi="Arial" w:cs="Arial"/>
                <w:sz w:val="20"/>
                <w:szCs w:val="24"/>
              </w:rPr>
            </w:pP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C4 to D5</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7.5%</w:t>
            </w:r>
          </w:p>
        </w:tc>
      </w:tr>
      <w:tr w:rsidR="00A2187D" w:rsidRPr="000F0D62" w:rsidTr="00A477E3">
        <w:trPr>
          <w:trHeight w:val="218"/>
        </w:trPr>
        <w:tc>
          <w:tcPr>
            <w:tcW w:w="2258" w:type="dxa"/>
            <w:vMerge/>
            <w:shd w:val="clear" w:color="auto" w:fill="FFFFFF" w:themeFill="background1"/>
            <w:vAlign w:val="center"/>
          </w:tcPr>
          <w:p w:rsidR="00A2187D" w:rsidRPr="000F0D62" w:rsidRDefault="00A2187D" w:rsidP="00A2187D">
            <w:pPr>
              <w:rPr>
                <w:rFonts w:ascii="Arial" w:hAnsi="Arial" w:cs="Arial"/>
                <w:sz w:val="20"/>
                <w:szCs w:val="24"/>
              </w:rPr>
            </w:pPr>
          </w:p>
        </w:tc>
        <w:tc>
          <w:tcPr>
            <w:tcW w:w="2835" w:type="dxa"/>
            <w:shd w:val="clear" w:color="auto" w:fill="auto"/>
            <w:noWrap/>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E1 to E3</w:t>
            </w:r>
          </w:p>
          <w:p w:rsidR="00A2187D" w:rsidRPr="000F0D62" w:rsidRDefault="00A2187D" w:rsidP="00A2187D">
            <w:pPr>
              <w:jc w:val="center"/>
              <w:rPr>
                <w:rFonts w:ascii="Arial" w:hAnsi="Arial" w:cs="Arial"/>
                <w:sz w:val="20"/>
                <w:szCs w:val="24"/>
              </w:rPr>
            </w:pPr>
            <w:r w:rsidRPr="000F0D62">
              <w:rPr>
                <w:rFonts w:ascii="Arial" w:hAnsi="Arial" w:cs="Arial"/>
                <w:sz w:val="20"/>
                <w:szCs w:val="24"/>
              </w:rPr>
              <w:t>Executives</w:t>
            </w:r>
          </w:p>
        </w:tc>
        <w:tc>
          <w:tcPr>
            <w:tcW w:w="1276" w:type="dxa"/>
            <w:vAlign w:val="center"/>
          </w:tcPr>
          <w:p w:rsidR="00A2187D" w:rsidRPr="000F0D62" w:rsidRDefault="00A2187D" w:rsidP="00A2187D">
            <w:pPr>
              <w:jc w:val="center"/>
              <w:rPr>
                <w:rFonts w:ascii="Arial" w:hAnsi="Arial" w:cs="Arial"/>
                <w:sz w:val="20"/>
                <w:szCs w:val="24"/>
              </w:rPr>
            </w:pPr>
            <w:r w:rsidRPr="000F0D62">
              <w:rPr>
                <w:rFonts w:ascii="Arial" w:hAnsi="Arial" w:cs="Arial"/>
                <w:sz w:val="20"/>
                <w:szCs w:val="24"/>
              </w:rPr>
              <w:t>7%</w:t>
            </w:r>
          </w:p>
        </w:tc>
      </w:tr>
    </w:tbl>
    <w:p w:rsidR="00BF339A" w:rsidRDefault="00BF339A" w:rsidP="00BF339A">
      <w:pPr>
        <w:spacing w:after="0" w:line="240" w:lineRule="auto"/>
        <w:ind w:left="2069"/>
        <w:jc w:val="both"/>
        <w:rPr>
          <w:rFonts w:ascii="Arial" w:hAnsi="Arial" w:cs="Arial"/>
        </w:rPr>
      </w:pPr>
    </w:p>
    <w:p w:rsidR="00BF339A" w:rsidRPr="00A477E3" w:rsidRDefault="00BF339A" w:rsidP="00F05BC8">
      <w:pPr>
        <w:pStyle w:val="ListParagraph"/>
        <w:numPr>
          <w:ilvl w:val="0"/>
          <w:numId w:val="5"/>
        </w:numPr>
        <w:spacing w:after="0" w:line="240" w:lineRule="auto"/>
        <w:ind w:left="426" w:hanging="426"/>
        <w:jc w:val="both"/>
        <w:rPr>
          <w:rFonts w:ascii="Arial" w:hAnsi="Arial" w:cs="Arial"/>
        </w:rPr>
      </w:pPr>
      <w:r w:rsidRPr="00A477E3">
        <w:rPr>
          <w:rFonts w:ascii="Arial" w:hAnsi="Arial" w:cs="Arial"/>
        </w:rPr>
        <w:t>housing subsidy for only Basic salaries employees on A to C Band</w:t>
      </w:r>
    </w:p>
    <w:p w:rsidR="001C7EC6" w:rsidRPr="00B97BBF" w:rsidRDefault="001C7EC6" w:rsidP="001C7EC6">
      <w:pPr>
        <w:pStyle w:val="ListParagraph"/>
        <w:spacing w:after="0" w:line="240" w:lineRule="auto"/>
        <w:ind w:left="1800"/>
        <w:jc w:val="both"/>
        <w:rPr>
          <w:rFonts w:ascii="Arial" w:hAnsi="Arial" w:cs="Arial"/>
          <w:b/>
        </w:rPr>
      </w:pPr>
    </w:p>
    <w:p w:rsidR="00984F5B" w:rsidRPr="00150D31" w:rsidRDefault="000F0D62" w:rsidP="00F05BC8">
      <w:pPr>
        <w:pStyle w:val="ListParagraph"/>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2015</w:t>
      </w:r>
      <w:r w:rsidR="00BF339A" w:rsidRPr="00150D31">
        <w:rPr>
          <w:rFonts w:ascii="Arial" w:hAnsi="Arial" w:cs="Arial"/>
        </w:rPr>
        <w:t xml:space="preserve"> Financial Year – No increase</w:t>
      </w:r>
    </w:p>
    <w:p w:rsidR="00BF339A" w:rsidRPr="00150D31" w:rsidRDefault="00BF339A" w:rsidP="00F05BC8">
      <w:pPr>
        <w:pStyle w:val="ListParagraph"/>
        <w:numPr>
          <w:ilvl w:val="0"/>
          <w:numId w:val="6"/>
        </w:numPr>
        <w:spacing w:before="100" w:beforeAutospacing="1" w:after="100" w:afterAutospacing="1" w:line="240" w:lineRule="auto"/>
        <w:ind w:left="709" w:hanging="283"/>
        <w:jc w:val="both"/>
        <w:rPr>
          <w:rFonts w:ascii="Arial" w:hAnsi="Arial" w:cs="Arial"/>
        </w:rPr>
      </w:pPr>
      <w:r w:rsidRPr="00150D31">
        <w:rPr>
          <w:rFonts w:ascii="Arial" w:hAnsi="Arial" w:cs="Arial"/>
        </w:rPr>
        <w:t>201</w:t>
      </w:r>
      <w:r w:rsidR="000F0D62">
        <w:rPr>
          <w:rFonts w:ascii="Arial" w:hAnsi="Arial" w:cs="Arial"/>
        </w:rPr>
        <w:t>6</w:t>
      </w:r>
      <w:r w:rsidRPr="00150D31">
        <w:rPr>
          <w:rFonts w:ascii="Arial" w:hAnsi="Arial" w:cs="Arial"/>
        </w:rPr>
        <w:t xml:space="preserve"> Financial Year – No Increase</w:t>
      </w:r>
    </w:p>
    <w:p w:rsidR="00BF339A" w:rsidRDefault="00B97BBF" w:rsidP="00F05BC8">
      <w:pPr>
        <w:pStyle w:val="ListParagraph"/>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2017 </w:t>
      </w:r>
      <w:r w:rsidR="00BF339A" w:rsidRPr="00150D31">
        <w:rPr>
          <w:rFonts w:ascii="Arial" w:hAnsi="Arial" w:cs="Arial"/>
        </w:rPr>
        <w:t>Financial Year – All housing subsidy was increase to R1,500 taxable</w:t>
      </w:r>
    </w:p>
    <w:p w:rsidR="00BF339A" w:rsidRDefault="00830DB6" w:rsidP="00A477E3">
      <w:pPr>
        <w:tabs>
          <w:tab w:val="left" w:pos="1134"/>
        </w:tabs>
        <w:spacing w:before="100" w:beforeAutospacing="1" w:after="100" w:afterAutospacing="1" w:line="240" w:lineRule="auto"/>
        <w:ind w:left="709" w:hanging="283"/>
        <w:jc w:val="both"/>
        <w:rPr>
          <w:rFonts w:ascii="Arial" w:hAnsi="Arial" w:cs="Arial"/>
        </w:rPr>
      </w:pPr>
      <w:r w:rsidRPr="00BF339A">
        <w:rPr>
          <w:rFonts w:ascii="Arial" w:hAnsi="Arial" w:cs="Arial"/>
        </w:rPr>
        <w:t xml:space="preserve">(b) </w:t>
      </w:r>
      <w:proofErr w:type="gramStart"/>
      <w:r w:rsidRPr="00BF339A">
        <w:rPr>
          <w:rFonts w:ascii="Arial" w:hAnsi="Arial" w:cs="Arial"/>
        </w:rPr>
        <w:t>what</w:t>
      </w:r>
      <w:proofErr w:type="gramEnd"/>
      <w:r w:rsidRPr="00BF339A">
        <w:rPr>
          <w:rFonts w:ascii="Arial" w:hAnsi="Arial" w:cs="Arial"/>
        </w:rPr>
        <w:t xml:space="preserve"> criteria were used when granting the specified increases in each grade of employee in each case and</w:t>
      </w:r>
    </w:p>
    <w:p w:rsidR="00BF339A" w:rsidRPr="00BF339A" w:rsidRDefault="00B97BBF" w:rsidP="003F2128">
      <w:pPr>
        <w:pStyle w:val="ListParagraph"/>
        <w:spacing w:before="100" w:beforeAutospacing="1" w:after="100" w:afterAutospacing="1" w:line="240" w:lineRule="auto"/>
        <w:ind w:left="1440" w:hanging="1014"/>
        <w:jc w:val="both"/>
        <w:rPr>
          <w:rFonts w:ascii="Arial" w:hAnsi="Arial" w:cs="Arial"/>
        </w:rPr>
      </w:pPr>
      <w:r>
        <w:rPr>
          <w:rFonts w:ascii="Arial" w:hAnsi="Arial" w:cs="Arial"/>
        </w:rPr>
        <w:t>2015, 20</w:t>
      </w:r>
      <w:r w:rsidR="00BF339A" w:rsidRPr="00BF339A">
        <w:rPr>
          <w:rFonts w:ascii="Arial" w:hAnsi="Arial" w:cs="Arial"/>
        </w:rPr>
        <w:t>16 and 2017 increases are based on:</w:t>
      </w:r>
    </w:p>
    <w:p w:rsidR="00BF339A" w:rsidRPr="00BF339A" w:rsidRDefault="00BF339A" w:rsidP="00F05BC8">
      <w:pPr>
        <w:pStyle w:val="ListParagraph"/>
        <w:numPr>
          <w:ilvl w:val="0"/>
          <w:numId w:val="1"/>
        </w:numPr>
        <w:spacing w:before="100" w:beforeAutospacing="1" w:after="100" w:afterAutospacing="1" w:line="240" w:lineRule="auto"/>
        <w:ind w:left="851" w:hanging="284"/>
        <w:jc w:val="both"/>
        <w:rPr>
          <w:rFonts w:ascii="Arial" w:hAnsi="Arial" w:cs="Arial"/>
        </w:rPr>
      </w:pPr>
      <w:r w:rsidRPr="00BF339A">
        <w:rPr>
          <w:rFonts w:ascii="Arial" w:hAnsi="Arial" w:cs="Arial"/>
        </w:rPr>
        <w:t xml:space="preserve">Projected inflation i.e. CPI as determined by stats SA (CPI refers to the Annual Percentage Change in the Consumer Price Index, excluding interest rates on mortgage bonds); </w:t>
      </w:r>
    </w:p>
    <w:p w:rsidR="00BF339A" w:rsidRPr="00BF339A" w:rsidRDefault="00BF339A" w:rsidP="00F05BC8">
      <w:pPr>
        <w:pStyle w:val="ListParagraph"/>
        <w:numPr>
          <w:ilvl w:val="0"/>
          <w:numId w:val="1"/>
        </w:numPr>
        <w:spacing w:before="100" w:beforeAutospacing="1" w:after="100" w:afterAutospacing="1" w:line="240" w:lineRule="auto"/>
        <w:ind w:left="851" w:hanging="284"/>
        <w:jc w:val="both"/>
        <w:rPr>
          <w:rFonts w:ascii="Arial" w:hAnsi="Arial" w:cs="Arial"/>
        </w:rPr>
      </w:pPr>
      <w:r w:rsidRPr="00BF339A">
        <w:rPr>
          <w:rFonts w:ascii="Arial" w:hAnsi="Arial" w:cs="Arial"/>
        </w:rPr>
        <w:t xml:space="preserve">Internal equity; </w:t>
      </w:r>
    </w:p>
    <w:p w:rsidR="00BF339A" w:rsidRPr="00BF339A" w:rsidRDefault="00BF339A" w:rsidP="00F05BC8">
      <w:pPr>
        <w:pStyle w:val="ListParagraph"/>
        <w:numPr>
          <w:ilvl w:val="0"/>
          <w:numId w:val="1"/>
        </w:numPr>
        <w:spacing w:before="100" w:beforeAutospacing="1" w:after="100" w:afterAutospacing="1" w:line="240" w:lineRule="auto"/>
        <w:ind w:left="851" w:hanging="284"/>
        <w:jc w:val="both"/>
        <w:rPr>
          <w:rFonts w:ascii="Arial" w:hAnsi="Arial" w:cs="Arial"/>
        </w:rPr>
      </w:pPr>
      <w:r w:rsidRPr="00BF339A">
        <w:rPr>
          <w:rFonts w:ascii="Arial" w:hAnsi="Arial" w:cs="Arial"/>
        </w:rPr>
        <w:t xml:space="preserve">External market movement; </w:t>
      </w:r>
    </w:p>
    <w:p w:rsidR="00BF339A" w:rsidRPr="00BF339A" w:rsidRDefault="00BF339A" w:rsidP="00F05BC8">
      <w:pPr>
        <w:pStyle w:val="ListParagraph"/>
        <w:numPr>
          <w:ilvl w:val="0"/>
          <w:numId w:val="1"/>
        </w:numPr>
        <w:spacing w:before="100" w:beforeAutospacing="1" w:after="100" w:afterAutospacing="1" w:line="240" w:lineRule="auto"/>
        <w:ind w:left="851" w:hanging="284"/>
        <w:jc w:val="both"/>
        <w:rPr>
          <w:rFonts w:ascii="Arial" w:hAnsi="Arial" w:cs="Arial"/>
        </w:rPr>
      </w:pPr>
      <w:r w:rsidRPr="00BF339A">
        <w:rPr>
          <w:rFonts w:ascii="Arial" w:hAnsi="Arial" w:cs="Arial"/>
        </w:rPr>
        <w:t>Supporting variables such performance;</w:t>
      </w:r>
    </w:p>
    <w:p w:rsidR="00BF339A" w:rsidRDefault="00BF339A" w:rsidP="00F05BC8">
      <w:pPr>
        <w:pStyle w:val="ListParagraph"/>
        <w:numPr>
          <w:ilvl w:val="0"/>
          <w:numId w:val="1"/>
        </w:numPr>
        <w:spacing w:before="100" w:beforeAutospacing="1" w:after="100" w:afterAutospacing="1" w:line="240" w:lineRule="auto"/>
        <w:ind w:left="851" w:hanging="284"/>
        <w:jc w:val="both"/>
        <w:rPr>
          <w:rFonts w:ascii="Arial" w:hAnsi="Arial" w:cs="Arial"/>
        </w:rPr>
      </w:pPr>
      <w:r>
        <w:rPr>
          <w:rFonts w:ascii="Arial" w:hAnsi="Arial" w:cs="Arial"/>
        </w:rPr>
        <w:t>Company Affordability</w:t>
      </w:r>
    </w:p>
    <w:p w:rsidR="001C7EC6" w:rsidRDefault="001C7EC6" w:rsidP="001C7EC6">
      <w:pPr>
        <w:pStyle w:val="ListParagraph"/>
        <w:spacing w:before="100" w:beforeAutospacing="1" w:after="100" w:afterAutospacing="1" w:line="240" w:lineRule="auto"/>
        <w:ind w:left="1843"/>
        <w:jc w:val="both"/>
        <w:rPr>
          <w:rFonts w:ascii="Arial" w:hAnsi="Arial" w:cs="Arial"/>
        </w:rPr>
      </w:pPr>
    </w:p>
    <w:p w:rsidR="00BF339A" w:rsidRPr="003F2128" w:rsidRDefault="00BF339A" w:rsidP="00F05BC8">
      <w:pPr>
        <w:pStyle w:val="ListParagraph"/>
        <w:numPr>
          <w:ilvl w:val="0"/>
          <w:numId w:val="1"/>
        </w:numPr>
        <w:spacing w:before="100" w:beforeAutospacing="1" w:after="100" w:afterAutospacing="1" w:line="240" w:lineRule="auto"/>
        <w:ind w:left="851" w:hanging="284"/>
        <w:jc w:val="both"/>
        <w:rPr>
          <w:rFonts w:ascii="Arial" w:hAnsi="Arial" w:cs="Arial"/>
        </w:rPr>
      </w:pPr>
      <w:r w:rsidRPr="003F2128">
        <w:rPr>
          <w:rFonts w:ascii="Arial" w:hAnsi="Arial" w:cs="Arial"/>
        </w:rPr>
        <w:t>Employee category:</w:t>
      </w:r>
    </w:p>
    <w:p w:rsidR="00BF339A" w:rsidRDefault="00BF339A" w:rsidP="00F05BC8">
      <w:pPr>
        <w:pStyle w:val="ListParagraph"/>
        <w:numPr>
          <w:ilvl w:val="1"/>
          <w:numId w:val="1"/>
        </w:numPr>
        <w:spacing w:before="100" w:beforeAutospacing="1" w:after="100" w:afterAutospacing="1" w:line="240" w:lineRule="auto"/>
        <w:ind w:left="851" w:hanging="284"/>
        <w:jc w:val="both"/>
        <w:rPr>
          <w:rFonts w:ascii="Arial" w:hAnsi="Arial" w:cs="Arial"/>
        </w:rPr>
      </w:pPr>
      <w:proofErr w:type="spellStart"/>
      <w:r>
        <w:rPr>
          <w:rFonts w:ascii="Arial" w:hAnsi="Arial" w:cs="Arial"/>
        </w:rPr>
        <w:t>Unionised</w:t>
      </w:r>
      <w:proofErr w:type="spellEnd"/>
      <w:r>
        <w:rPr>
          <w:rFonts w:ascii="Arial" w:hAnsi="Arial" w:cs="Arial"/>
        </w:rPr>
        <w:t xml:space="preserve"> employees – Wage agreement based on wage negotiations</w:t>
      </w:r>
    </w:p>
    <w:p w:rsidR="00BF339A" w:rsidRDefault="00BF339A" w:rsidP="00F05BC8">
      <w:pPr>
        <w:pStyle w:val="ListParagraph"/>
        <w:numPr>
          <w:ilvl w:val="1"/>
          <w:numId w:val="1"/>
        </w:numPr>
        <w:spacing w:before="100" w:beforeAutospacing="1" w:after="100" w:afterAutospacing="1" w:line="240" w:lineRule="auto"/>
        <w:ind w:left="851" w:hanging="284"/>
        <w:jc w:val="both"/>
        <w:rPr>
          <w:rFonts w:ascii="Arial" w:hAnsi="Arial" w:cs="Arial"/>
        </w:rPr>
      </w:pPr>
      <w:r>
        <w:rPr>
          <w:rFonts w:ascii="Arial" w:hAnsi="Arial" w:cs="Arial"/>
        </w:rPr>
        <w:lastRenderedPageBreak/>
        <w:t>Non-</w:t>
      </w:r>
      <w:proofErr w:type="spellStart"/>
      <w:r>
        <w:rPr>
          <w:rFonts w:ascii="Arial" w:hAnsi="Arial" w:cs="Arial"/>
        </w:rPr>
        <w:t>Unionised</w:t>
      </w:r>
      <w:proofErr w:type="spellEnd"/>
      <w:r>
        <w:rPr>
          <w:rFonts w:ascii="Arial" w:hAnsi="Arial" w:cs="Arial"/>
        </w:rPr>
        <w:t xml:space="preserve"> employees – Performance based increase</w:t>
      </w:r>
      <w:r w:rsidR="000F0D62">
        <w:rPr>
          <w:rFonts w:ascii="Arial" w:hAnsi="Arial" w:cs="Arial"/>
        </w:rPr>
        <w:t>.</w:t>
      </w:r>
    </w:p>
    <w:p w:rsidR="00830DB6" w:rsidRDefault="00830DB6" w:rsidP="003F2128">
      <w:pPr>
        <w:spacing w:before="100" w:beforeAutospacing="1" w:after="100" w:afterAutospacing="1" w:line="240" w:lineRule="auto"/>
        <w:ind w:left="1440" w:hanging="1014"/>
        <w:jc w:val="both"/>
        <w:rPr>
          <w:rFonts w:ascii="Arial" w:hAnsi="Arial" w:cs="Arial"/>
        </w:rPr>
      </w:pPr>
      <w:r w:rsidRPr="00BF339A">
        <w:rPr>
          <w:rFonts w:ascii="Arial" w:hAnsi="Arial" w:cs="Arial"/>
        </w:rPr>
        <w:t xml:space="preserve"> (c) </w:t>
      </w:r>
      <w:proofErr w:type="gramStart"/>
      <w:r w:rsidRPr="00BF339A">
        <w:rPr>
          <w:rFonts w:ascii="Arial" w:hAnsi="Arial" w:cs="Arial"/>
        </w:rPr>
        <w:t>who</w:t>
      </w:r>
      <w:proofErr w:type="gramEnd"/>
      <w:r w:rsidRPr="00BF339A">
        <w:rPr>
          <w:rFonts w:ascii="Arial" w:hAnsi="Arial" w:cs="Arial"/>
        </w:rPr>
        <w:t xml:space="preserve"> </w:t>
      </w:r>
      <w:proofErr w:type="spellStart"/>
      <w:r w:rsidRPr="00BF339A">
        <w:rPr>
          <w:rFonts w:ascii="Arial" w:hAnsi="Arial" w:cs="Arial"/>
        </w:rPr>
        <w:t>authorised</w:t>
      </w:r>
      <w:proofErr w:type="spellEnd"/>
      <w:r w:rsidRPr="00BF339A">
        <w:rPr>
          <w:rFonts w:ascii="Arial" w:hAnsi="Arial" w:cs="Arial"/>
        </w:rPr>
        <w:t xml:space="preserve"> the increases in each specified financial year;</w:t>
      </w:r>
    </w:p>
    <w:p w:rsidR="00150D31" w:rsidRPr="001C7EC6" w:rsidRDefault="00D2565D" w:rsidP="00F05BC8">
      <w:pPr>
        <w:pStyle w:val="ListParagraph"/>
        <w:numPr>
          <w:ilvl w:val="0"/>
          <w:numId w:val="7"/>
        </w:numPr>
        <w:spacing w:before="100" w:beforeAutospacing="1" w:after="100" w:afterAutospacing="1" w:line="240" w:lineRule="auto"/>
        <w:ind w:left="993" w:hanging="284"/>
        <w:jc w:val="both"/>
        <w:rPr>
          <w:rFonts w:ascii="Arial" w:hAnsi="Arial" w:cs="Arial"/>
        </w:rPr>
      </w:pPr>
      <w:r>
        <w:rPr>
          <w:rFonts w:ascii="Arial" w:hAnsi="Arial" w:cs="Arial"/>
        </w:rPr>
        <w:t>A</w:t>
      </w:r>
      <w:r w:rsidR="00BF339A" w:rsidRPr="00A2187D">
        <w:rPr>
          <w:rFonts w:ascii="Arial" w:hAnsi="Arial" w:cs="Arial"/>
        </w:rPr>
        <w:t xml:space="preserve">ll increases are </w:t>
      </w:r>
      <w:r w:rsidR="00150D31" w:rsidRPr="00A2187D">
        <w:rPr>
          <w:rFonts w:ascii="Arial" w:hAnsi="Arial" w:cs="Arial"/>
        </w:rPr>
        <w:t>approved by the Airports Company South Africa</w:t>
      </w:r>
      <w:r w:rsidR="00FC3F41" w:rsidRPr="00A2187D">
        <w:rPr>
          <w:rFonts w:ascii="Arial" w:hAnsi="Arial" w:cs="Arial"/>
        </w:rPr>
        <w:t xml:space="preserve"> Board.</w:t>
      </w:r>
    </w:p>
    <w:p w:rsidR="00150D31" w:rsidRDefault="003F2128" w:rsidP="003F2128">
      <w:pPr>
        <w:spacing w:before="100" w:beforeAutospacing="1" w:after="100" w:afterAutospacing="1" w:line="240" w:lineRule="auto"/>
        <w:ind w:left="993" w:hanging="567"/>
        <w:jc w:val="both"/>
        <w:rPr>
          <w:rFonts w:ascii="Arial" w:hAnsi="Arial" w:cs="Arial"/>
        </w:rPr>
      </w:pPr>
      <w:r>
        <w:rPr>
          <w:rFonts w:ascii="Arial" w:hAnsi="Arial" w:cs="Arial"/>
        </w:rPr>
        <w:t xml:space="preserve"> </w:t>
      </w:r>
      <w:r w:rsidR="00830DB6" w:rsidRPr="00830DB6">
        <w:rPr>
          <w:rFonts w:ascii="Arial" w:hAnsi="Arial" w:cs="Arial"/>
        </w:rPr>
        <w:t>(2)</w:t>
      </w:r>
      <w:r w:rsidR="00830DB6" w:rsidRPr="00830DB6">
        <w:rPr>
          <w:rFonts w:ascii="Arial" w:hAnsi="Arial" w:cs="Arial"/>
        </w:rPr>
        <w:tab/>
        <w:t>(</w:t>
      </w:r>
      <w:proofErr w:type="gramStart"/>
      <w:r w:rsidR="00830DB6" w:rsidRPr="00830DB6">
        <w:rPr>
          <w:rFonts w:ascii="Arial" w:hAnsi="Arial" w:cs="Arial"/>
        </w:rPr>
        <w:t>a</w:t>
      </w:r>
      <w:proofErr w:type="gramEnd"/>
      <w:r w:rsidR="00830DB6" w:rsidRPr="00830DB6">
        <w:rPr>
          <w:rFonts w:ascii="Arial" w:hAnsi="Arial" w:cs="Arial"/>
        </w:rPr>
        <w:t xml:space="preserve">) what </w:t>
      </w:r>
      <w:r w:rsidR="00830DB6" w:rsidRPr="00830DB6">
        <w:rPr>
          <w:rFonts w:ascii="Arial" w:hAnsi="Arial" w:cs="Arial"/>
          <w:noProof/>
          <w:lang w:val="af-ZA"/>
        </w:rPr>
        <w:t>bonuses</w:t>
      </w:r>
      <w:r w:rsidR="00830DB6" w:rsidRPr="00830DB6">
        <w:rPr>
          <w:rFonts w:ascii="Arial" w:hAnsi="Arial" w:cs="Arial"/>
        </w:rPr>
        <w:t xml:space="preserve"> have been given in each grade of employee in the past three financial years, </w:t>
      </w:r>
    </w:p>
    <w:p w:rsidR="00150D31" w:rsidRDefault="00150D31" w:rsidP="00F05BC8">
      <w:pPr>
        <w:pStyle w:val="ListParagraph"/>
        <w:numPr>
          <w:ilvl w:val="0"/>
          <w:numId w:val="4"/>
        </w:numPr>
        <w:spacing w:before="100" w:beforeAutospacing="1" w:after="100" w:afterAutospacing="1" w:line="240" w:lineRule="auto"/>
        <w:ind w:left="993" w:hanging="284"/>
        <w:jc w:val="both"/>
        <w:rPr>
          <w:rFonts w:ascii="Arial" w:hAnsi="Arial" w:cs="Arial"/>
        </w:rPr>
      </w:pPr>
      <w:r w:rsidRPr="00FC3F41">
        <w:rPr>
          <w:rFonts w:ascii="Arial" w:hAnsi="Arial" w:cs="Arial"/>
        </w:rPr>
        <w:t>For FY 2014/15, 2015/16 and 201</w:t>
      </w:r>
      <w:r w:rsidR="00E42ED6">
        <w:rPr>
          <w:rFonts w:ascii="Arial" w:hAnsi="Arial" w:cs="Arial"/>
        </w:rPr>
        <w:t>6</w:t>
      </w:r>
      <w:r w:rsidRPr="00FC3F41">
        <w:rPr>
          <w:rFonts w:ascii="Arial" w:hAnsi="Arial" w:cs="Arial"/>
        </w:rPr>
        <w:t>/1</w:t>
      </w:r>
      <w:r w:rsidR="00E42ED6">
        <w:rPr>
          <w:rFonts w:ascii="Arial" w:hAnsi="Arial" w:cs="Arial"/>
        </w:rPr>
        <w:t>7</w:t>
      </w:r>
      <w:r w:rsidRPr="00FC3F41">
        <w:rPr>
          <w:rFonts w:ascii="Arial" w:hAnsi="Arial" w:cs="Arial"/>
        </w:rPr>
        <w:t xml:space="preserve"> all bonuses are based on Company and individual performance</w:t>
      </w:r>
      <w:r w:rsidR="00FC3F41">
        <w:rPr>
          <w:rFonts w:ascii="Arial" w:hAnsi="Arial" w:cs="Arial"/>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78" w:type="dxa"/>
          <w:bottom w:w="2" w:type="dxa"/>
          <w:right w:w="27" w:type="dxa"/>
        </w:tblCellMar>
        <w:tblLook w:val="04A0" w:firstRow="1" w:lastRow="0" w:firstColumn="1" w:lastColumn="0" w:noHBand="0" w:noVBand="1"/>
      </w:tblPr>
      <w:tblGrid>
        <w:gridCol w:w="1894"/>
        <w:gridCol w:w="985"/>
        <w:gridCol w:w="1479"/>
        <w:gridCol w:w="2300"/>
        <w:gridCol w:w="1417"/>
        <w:gridCol w:w="1134"/>
        <w:gridCol w:w="1106"/>
      </w:tblGrid>
      <w:tr w:rsidR="00D2565D" w:rsidRPr="00D2565D" w:rsidTr="00D2565D">
        <w:trPr>
          <w:trHeight w:val="1257"/>
          <w:jc w:val="center"/>
        </w:trPr>
        <w:tc>
          <w:tcPr>
            <w:tcW w:w="1894" w:type="dxa"/>
            <w:shd w:val="clear" w:color="auto" w:fill="D9D9D9" w:themeFill="background1" w:themeFillShade="D9"/>
            <w:vAlign w:val="center"/>
          </w:tcPr>
          <w:p w:rsidR="00A2187D" w:rsidRPr="00D2565D" w:rsidRDefault="00A2187D" w:rsidP="00A2187D">
            <w:pPr>
              <w:spacing w:after="0" w:line="259" w:lineRule="auto"/>
              <w:ind w:right="50"/>
              <w:jc w:val="center"/>
              <w:rPr>
                <w:rFonts w:ascii="Arial" w:eastAsia="Calibri" w:hAnsi="Arial" w:cs="Arial"/>
                <w:sz w:val="18"/>
                <w:szCs w:val="18"/>
              </w:rPr>
            </w:pPr>
            <w:r w:rsidRPr="00D2565D">
              <w:rPr>
                <w:rFonts w:ascii="Arial" w:eastAsia="Arial" w:hAnsi="Arial" w:cs="Arial"/>
                <w:b/>
                <w:sz w:val="18"/>
                <w:szCs w:val="18"/>
              </w:rPr>
              <w:t>Categories</w:t>
            </w:r>
          </w:p>
        </w:tc>
        <w:tc>
          <w:tcPr>
            <w:tcW w:w="985" w:type="dxa"/>
            <w:shd w:val="clear" w:color="auto" w:fill="D9D9D9" w:themeFill="background1" w:themeFillShade="D9"/>
          </w:tcPr>
          <w:p w:rsidR="00A2187D" w:rsidRPr="00D2565D" w:rsidRDefault="00A2187D" w:rsidP="00A2187D">
            <w:pPr>
              <w:spacing w:after="0" w:line="259" w:lineRule="auto"/>
              <w:jc w:val="center"/>
              <w:rPr>
                <w:rFonts w:ascii="Arial" w:eastAsia="Arial" w:hAnsi="Arial" w:cs="Arial"/>
                <w:b/>
                <w:sz w:val="18"/>
                <w:szCs w:val="18"/>
              </w:rPr>
            </w:pPr>
          </w:p>
          <w:p w:rsidR="00A2187D" w:rsidRPr="00D2565D" w:rsidRDefault="00A2187D" w:rsidP="00A2187D">
            <w:pPr>
              <w:spacing w:after="0" w:line="259" w:lineRule="auto"/>
              <w:jc w:val="center"/>
              <w:rPr>
                <w:rFonts w:ascii="Arial" w:eastAsia="Arial" w:hAnsi="Arial" w:cs="Arial"/>
                <w:b/>
                <w:sz w:val="18"/>
                <w:szCs w:val="18"/>
              </w:rPr>
            </w:pPr>
            <w:r w:rsidRPr="00D2565D">
              <w:rPr>
                <w:rFonts w:ascii="Arial" w:eastAsia="Arial" w:hAnsi="Arial" w:cs="Arial"/>
                <w:b/>
                <w:sz w:val="18"/>
                <w:szCs w:val="18"/>
              </w:rPr>
              <w:t>ACSA Patterson Grades</w:t>
            </w:r>
          </w:p>
        </w:tc>
        <w:tc>
          <w:tcPr>
            <w:tcW w:w="1479" w:type="dxa"/>
            <w:shd w:val="clear" w:color="auto" w:fill="D9D9D9" w:themeFill="background1" w:themeFillShade="D9"/>
            <w:vAlign w:val="center"/>
          </w:tcPr>
          <w:p w:rsidR="00A2187D" w:rsidRPr="00D2565D" w:rsidRDefault="00A2187D" w:rsidP="00A2187D">
            <w:pPr>
              <w:spacing w:after="0" w:line="259" w:lineRule="auto"/>
              <w:jc w:val="center"/>
              <w:rPr>
                <w:rFonts w:ascii="Arial" w:eastAsia="Calibri" w:hAnsi="Arial" w:cs="Arial"/>
                <w:sz w:val="18"/>
                <w:szCs w:val="18"/>
              </w:rPr>
            </w:pPr>
            <w:r w:rsidRPr="00D2565D">
              <w:rPr>
                <w:rFonts w:ascii="Arial" w:eastAsia="Arial" w:hAnsi="Arial" w:cs="Arial"/>
                <w:b/>
                <w:sz w:val="18"/>
                <w:szCs w:val="18"/>
              </w:rPr>
              <w:t>Paterson Broad Band</w:t>
            </w:r>
          </w:p>
        </w:tc>
        <w:tc>
          <w:tcPr>
            <w:tcW w:w="2300" w:type="dxa"/>
            <w:shd w:val="clear" w:color="auto" w:fill="D9D9D9" w:themeFill="background1" w:themeFillShade="D9"/>
            <w:vAlign w:val="center"/>
          </w:tcPr>
          <w:p w:rsidR="00A2187D" w:rsidRPr="00D2565D" w:rsidRDefault="00A2187D" w:rsidP="00A2187D">
            <w:pPr>
              <w:spacing w:after="0" w:line="259" w:lineRule="auto"/>
              <w:ind w:right="49"/>
              <w:jc w:val="center"/>
              <w:rPr>
                <w:rFonts w:ascii="Arial" w:eastAsia="Calibri" w:hAnsi="Arial" w:cs="Arial"/>
                <w:sz w:val="18"/>
                <w:szCs w:val="18"/>
              </w:rPr>
            </w:pPr>
            <w:r w:rsidRPr="00D2565D">
              <w:rPr>
                <w:rFonts w:ascii="Arial" w:eastAsia="Arial" w:hAnsi="Arial" w:cs="Arial"/>
                <w:b/>
                <w:sz w:val="18"/>
                <w:szCs w:val="18"/>
              </w:rPr>
              <w:t xml:space="preserve">ACSA On-target </w:t>
            </w:r>
          </w:p>
          <w:p w:rsidR="00A2187D" w:rsidRPr="00D2565D" w:rsidRDefault="00A2187D" w:rsidP="00A2187D">
            <w:pPr>
              <w:spacing w:after="0" w:line="259" w:lineRule="auto"/>
              <w:jc w:val="center"/>
              <w:rPr>
                <w:rFonts w:ascii="Arial" w:eastAsia="Arial" w:hAnsi="Arial" w:cs="Arial"/>
                <w:b/>
                <w:sz w:val="18"/>
                <w:szCs w:val="18"/>
              </w:rPr>
            </w:pPr>
            <w:r w:rsidRPr="00D2565D">
              <w:rPr>
                <w:rFonts w:ascii="Arial" w:eastAsia="Arial" w:hAnsi="Arial" w:cs="Arial"/>
                <w:b/>
                <w:sz w:val="18"/>
                <w:szCs w:val="18"/>
              </w:rPr>
              <w:t>Percentages as a % of TGP</w:t>
            </w:r>
          </w:p>
          <w:p w:rsidR="00A2187D" w:rsidRPr="00D2565D" w:rsidRDefault="00A2187D" w:rsidP="00A2187D">
            <w:pPr>
              <w:spacing w:after="0" w:line="259" w:lineRule="auto"/>
              <w:jc w:val="center"/>
              <w:rPr>
                <w:rFonts w:ascii="Arial" w:eastAsia="Calibri" w:hAnsi="Arial" w:cs="Arial"/>
                <w:sz w:val="18"/>
                <w:szCs w:val="18"/>
              </w:rPr>
            </w:pPr>
            <w:r w:rsidRPr="00D2565D">
              <w:rPr>
                <w:rFonts w:ascii="Arial" w:eastAsia="Arial" w:hAnsi="Arial" w:cs="Arial"/>
                <w:b/>
                <w:sz w:val="18"/>
                <w:szCs w:val="18"/>
              </w:rPr>
              <w:t>Sliding Scale</w:t>
            </w:r>
          </w:p>
        </w:tc>
        <w:tc>
          <w:tcPr>
            <w:tcW w:w="1417" w:type="dxa"/>
            <w:shd w:val="clear" w:color="auto" w:fill="D9D9D9" w:themeFill="background1" w:themeFillShade="D9"/>
          </w:tcPr>
          <w:p w:rsidR="00A2187D" w:rsidRPr="00D2565D" w:rsidRDefault="00A2187D" w:rsidP="00A2187D">
            <w:pPr>
              <w:spacing w:after="0" w:line="259" w:lineRule="auto"/>
              <w:ind w:right="49"/>
              <w:jc w:val="center"/>
              <w:rPr>
                <w:rFonts w:ascii="Arial" w:eastAsia="Arial" w:hAnsi="Arial" w:cs="Arial"/>
                <w:b/>
                <w:sz w:val="18"/>
                <w:szCs w:val="18"/>
              </w:rPr>
            </w:pPr>
          </w:p>
          <w:p w:rsidR="00D57D61" w:rsidRPr="00D2565D" w:rsidRDefault="00D57D61" w:rsidP="00A2187D">
            <w:pPr>
              <w:spacing w:after="0" w:line="259" w:lineRule="auto"/>
              <w:ind w:right="49"/>
              <w:jc w:val="center"/>
              <w:rPr>
                <w:rFonts w:ascii="Arial" w:eastAsia="Arial" w:hAnsi="Arial" w:cs="Arial"/>
                <w:b/>
                <w:sz w:val="18"/>
                <w:szCs w:val="18"/>
              </w:rPr>
            </w:pPr>
          </w:p>
          <w:p w:rsidR="00D57D61" w:rsidRPr="00D2565D" w:rsidRDefault="00D57D61" w:rsidP="00A2187D">
            <w:pPr>
              <w:spacing w:after="0" w:line="259" w:lineRule="auto"/>
              <w:ind w:right="49"/>
              <w:jc w:val="center"/>
              <w:rPr>
                <w:rFonts w:ascii="Arial" w:eastAsia="Arial" w:hAnsi="Arial" w:cs="Arial"/>
                <w:b/>
                <w:sz w:val="18"/>
                <w:szCs w:val="18"/>
              </w:rPr>
            </w:pPr>
            <w:r w:rsidRPr="00D2565D">
              <w:rPr>
                <w:rFonts w:ascii="Arial" w:eastAsia="Arial" w:hAnsi="Arial" w:cs="Arial"/>
                <w:b/>
                <w:sz w:val="18"/>
                <w:szCs w:val="18"/>
              </w:rPr>
              <w:t>201</w:t>
            </w:r>
            <w:r w:rsidR="00B540FF" w:rsidRPr="00D2565D">
              <w:rPr>
                <w:rFonts w:ascii="Arial" w:eastAsia="Arial" w:hAnsi="Arial" w:cs="Arial"/>
                <w:b/>
                <w:sz w:val="18"/>
                <w:szCs w:val="18"/>
              </w:rPr>
              <w:t>4/15</w:t>
            </w:r>
          </w:p>
        </w:tc>
        <w:tc>
          <w:tcPr>
            <w:tcW w:w="1134" w:type="dxa"/>
            <w:shd w:val="clear" w:color="auto" w:fill="D9D9D9" w:themeFill="background1" w:themeFillShade="D9"/>
          </w:tcPr>
          <w:p w:rsidR="00A2187D" w:rsidRPr="00D2565D" w:rsidRDefault="00A2187D" w:rsidP="00A2187D">
            <w:pPr>
              <w:spacing w:after="0" w:line="259" w:lineRule="auto"/>
              <w:ind w:right="49"/>
              <w:jc w:val="center"/>
              <w:rPr>
                <w:rFonts w:ascii="Arial" w:eastAsia="Arial" w:hAnsi="Arial" w:cs="Arial"/>
                <w:b/>
                <w:sz w:val="18"/>
                <w:szCs w:val="18"/>
              </w:rPr>
            </w:pPr>
          </w:p>
          <w:p w:rsidR="00D57D61" w:rsidRPr="00D2565D" w:rsidRDefault="00D57D61" w:rsidP="00A2187D">
            <w:pPr>
              <w:spacing w:after="0" w:line="259" w:lineRule="auto"/>
              <w:ind w:right="49"/>
              <w:jc w:val="center"/>
              <w:rPr>
                <w:rFonts w:ascii="Arial" w:eastAsia="Arial" w:hAnsi="Arial" w:cs="Arial"/>
                <w:b/>
                <w:sz w:val="18"/>
                <w:szCs w:val="18"/>
              </w:rPr>
            </w:pPr>
          </w:p>
          <w:p w:rsidR="00D57D61" w:rsidRPr="00D2565D" w:rsidRDefault="00B540FF" w:rsidP="00A2187D">
            <w:pPr>
              <w:spacing w:after="0" w:line="259" w:lineRule="auto"/>
              <w:ind w:right="49"/>
              <w:jc w:val="center"/>
              <w:rPr>
                <w:rFonts w:ascii="Arial" w:eastAsia="Arial" w:hAnsi="Arial" w:cs="Arial"/>
                <w:b/>
                <w:sz w:val="18"/>
                <w:szCs w:val="18"/>
              </w:rPr>
            </w:pPr>
            <w:r w:rsidRPr="00D2565D">
              <w:rPr>
                <w:rFonts w:ascii="Arial" w:eastAsia="Arial" w:hAnsi="Arial" w:cs="Arial"/>
                <w:b/>
                <w:sz w:val="18"/>
                <w:szCs w:val="18"/>
              </w:rPr>
              <w:t>2015/16</w:t>
            </w:r>
          </w:p>
        </w:tc>
        <w:tc>
          <w:tcPr>
            <w:tcW w:w="1106" w:type="dxa"/>
            <w:shd w:val="clear" w:color="auto" w:fill="D9D9D9" w:themeFill="background1" w:themeFillShade="D9"/>
          </w:tcPr>
          <w:p w:rsidR="00A2187D" w:rsidRPr="00D2565D" w:rsidRDefault="00A2187D" w:rsidP="00A2187D">
            <w:pPr>
              <w:spacing w:after="0" w:line="259" w:lineRule="auto"/>
              <w:ind w:right="49"/>
              <w:jc w:val="center"/>
              <w:rPr>
                <w:rFonts w:ascii="Arial" w:eastAsia="Arial" w:hAnsi="Arial" w:cs="Arial"/>
                <w:b/>
                <w:sz w:val="18"/>
                <w:szCs w:val="18"/>
              </w:rPr>
            </w:pPr>
          </w:p>
          <w:p w:rsidR="00D57D61" w:rsidRPr="00D2565D" w:rsidRDefault="00D57D61" w:rsidP="00A2187D">
            <w:pPr>
              <w:spacing w:after="0" w:line="259" w:lineRule="auto"/>
              <w:ind w:right="49"/>
              <w:jc w:val="center"/>
              <w:rPr>
                <w:rFonts w:ascii="Arial" w:eastAsia="Arial" w:hAnsi="Arial" w:cs="Arial"/>
                <w:b/>
                <w:sz w:val="18"/>
                <w:szCs w:val="18"/>
              </w:rPr>
            </w:pPr>
          </w:p>
          <w:p w:rsidR="00D57D61" w:rsidRPr="00D2565D" w:rsidRDefault="00D57D61" w:rsidP="00A2187D">
            <w:pPr>
              <w:spacing w:after="0" w:line="259" w:lineRule="auto"/>
              <w:ind w:right="49"/>
              <w:jc w:val="center"/>
              <w:rPr>
                <w:rFonts w:ascii="Arial" w:eastAsia="Arial" w:hAnsi="Arial" w:cs="Arial"/>
                <w:b/>
                <w:sz w:val="18"/>
                <w:szCs w:val="18"/>
              </w:rPr>
            </w:pPr>
            <w:r w:rsidRPr="00D2565D">
              <w:rPr>
                <w:rFonts w:ascii="Arial" w:eastAsia="Arial" w:hAnsi="Arial" w:cs="Arial"/>
                <w:b/>
                <w:sz w:val="18"/>
                <w:szCs w:val="18"/>
              </w:rPr>
              <w:t>20</w:t>
            </w:r>
            <w:r w:rsidR="00B540FF" w:rsidRPr="00D2565D">
              <w:rPr>
                <w:rFonts w:ascii="Arial" w:eastAsia="Arial" w:hAnsi="Arial" w:cs="Arial"/>
                <w:b/>
                <w:sz w:val="18"/>
                <w:szCs w:val="18"/>
              </w:rPr>
              <w:t>16/</w:t>
            </w:r>
            <w:r w:rsidRPr="00D2565D">
              <w:rPr>
                <w:rFonts w:ascii="Arial" w:eastAsia="Arial" w:hAnsi="Arial" w:cs="Arial"/>
                <w:b/>
                <w:sz w:val="18"/>
                <w:szCs w:val="18"/>
              </w:rPr>
              <w:t>17</w:t>
            </w:r>
          </w:p>
        </w:tc>
      </w:tr>
      <w:tr w:rsidR="00D57D61" w:rsidRPr="00A2187D" w:rsidTr="00B540FF">
        <w:trPr>
          <w:trHeight w:val="313"/>
          <w:jc w:val="center"/>
        </w:trPr>
        <w:tc>
          <w:tcPr>
            <w:tcW w:w="1894" w:type="dxa"/>
            <w:vMerge w:val="restart"/>
            <w:shd w:val="clear" w:color="auto" w:fill="FFFFFF"/>
            <w:vAlign w:val="center"/>
          </w:tcPr>
          <w:p w:rsidR="00D57D61" w:rsidRPr="00A2187D" w:rsidRDefault="00D57D61" w:rsidP="00A2187D">
            <w:pPr>
              <w:spacing w:after="0" w:line="259" w:lineRule="auto"/>
              <w:ind w:right="52"/>
              <w:rPr>
                <w:rFonts w:ascii="Arial" w:eastAsia="Calibri" w:hAnsi="Arial" w:cs="Arial"/>
                <w:color w:val="000000"/>
                <w:sz w:val="18"/>
                <w:szCs w:val="18"/>
              </w:rPr>
            </w:pPr>
            <w:r w:rsidRPr="00A2187D">
              <w:rPr>
                <w:rFonts w:ascii="Arial" w:eastAsia="Calibri" w:hAnsi="Arial" w:cs="Arial"/>
                <w:color w:val="000000"/>
                <w:sz w:val="18"/>
                <w:szCs w:val="18"/>
              </w:rPr>
              <w:t>CEO</w:t>
            </w:r>
          </w:p>
          <w:p w:rsidR="00D57D61" w:rsidRPr="00A2187D" w:rsidRDefault="00D57D61" w:rsidP="00A2187D">
            <w:pPr>
              <w:spacing w:after="0" w:line="259" w:lineRule="auto"/>
              <w:ind w:right="53"/>
              <w:rPr>
                <w:rFonts w:ascii="Arial" w:eastAsia="Calibri" w:hAnsi="Arial" w:cs="Arial"/>
                <w:color w:val="000000"/>
                <w:sz w:val="18"/>
                <w:szCs w:val="18"/>
              </w:rPr>
            </w:pPr>
            <w:r w:rsidRPr="00A2187D">
              <w:rPr>
                <w:rFonts w:ascii="Arial" w:eastAsia="Calibri" w:hAnsi="Arial" w:cs="Arial"/>
                <w:color w:val="000000"/>
                <w:sz w:val="18"/>
                <w:szCs w:val="18"/>
              </w:rPr>
              <w:t xml:space="preserve">CFO </w:t>
            </w:r>
          </w:p>
          <w:p w:rsidR="00D57D61" w:rsidRPr="00A2187D" w:rsidRDefault="00D57D61" w:rsidP="00A2187D">
            <w:pPr>
              <w:spacing w:after="0" w:line="259" w:lineRule="auto"/>
              <w:ind w:right="53"/>
              <w:rPr>
                <w:rFonts w:ascii="Arial" w:eastAsia="Calibri" w:hAnsi="Arial" w:cs="Arial"/>
                <w:color w:val="000000"/>
                <w:sz w:val="18"/>
                <w:szCs w:val="18"/>
              </w:rPr>
            </w:pPr>
            <w:r w:rsidRPr="00A2187D">
              <w:rPr>
                <w:rFonts w:ascii="Arial" w:eastAsia="Calibri" w:hAnsi="Arial" w:cs="Arial"/>
                <w:color w:val="000000"/>
                <w:sz w:val="18"/>
                <w:szCs w:val="18"/>
              </w:rPr>
              <w:t>COO</w:t>
            </w:r>
          </w:p>
          <w:p w:rsidR="00D57D61" w:rsidRPr="00A2187D" w:rsidRDefault="00D57D61" w:rsidP="00A2187D">
            <w:pPr>
              <w:spacing w:after="0" w:line="259" w:lineRule="auto"/>
              <w:ind w:right="51"/>
              <w:rPr>
                <w:rFonts w:ascii="Arial" w:eastAsia="Calibri" w:hAnsi="Arial" w:cs="Arial"/>
                <w:color w:val="000000"/>
                <w:sz w:val="18"/>
                <w:szCs w:val="18"/>
              </w:rPr>
            </w:pPr>
            <w:r w:rsidRPr="00A2187D">
              <w:rPr>
                <w:rFonts w:ascii="Arial" w:eastAsia="Calibri" w:hAnsi="Arial" w:cs="Arial"/>
                <w:color w:val="000000"/>
                <w:sz w:val="18"/>
                <w:szCs w:val="18"/>
              </w:rPr>
              <w:t>Top Executives</w:t>
            </w:r>
          </w:p>
        </w:tc>
        <w:tc>
          <w:tcPr>
            <w:tcW w:w="985" w:type="dxa"/>
            <w:vMerge w:val="restart"/>
            <w:shd w:val="clear" w:color="auto" w:fill="FFFFFF"/>
          </w:tcPr>
          <w:p w:rsidR="00D57D61" w:rsidRPr="00A2187D" w:rsidRDefault="00D57D61" w:rsidP="00A2187D">
            <w:pPr>
              <w:spacing w:after="160" w:line="259" w:lineRule="auto"/>
              <w:jc w:val="center"/>
              <w:rPr>
                <w:rFonts w:ascii="Arial" w:eastAsia="Calibri" w:hAnsi="Arial" w:cs="Arial"/>
                <w:color w:val="000000"/>
                <w:sz w:val="18"/>
                <w:szCs w:val="18"/>
              </w:rPr>
            </w:pPr>
          </w:p>
          <w:p w:rsidR="00D57D61" w:rsidRPr="00A2187D" w:rsidRDefault="00D57D61" w:rsidP="00A2187D">
            <w:pPr>
              <w:spacing w:after="160" w:line="259" w:lineRule="auto"/>
              <w:jc w:val="center"/>
              <w:rPr>
                <w:rFonts w:ascii="Arial" w:eastAsia="Calibri" w:hAnsi="Arial" w:cs="Arial"/>
                <w:color w:val="000000"/>
                <w:sz w:val="18"/>
                <w:szCs w:val="18"/>
              </w:rPr>
            </w:pPr>
            <w:r w:rsidRPr="00A2187D">
              <w:rPr>
                <w:rFonts w:ascii="Arial" w:eastAsia="Calibri" w:hAnsi="Arial" w:cs="Arial"/>
                <w:color w:val="000000"/>
                <w:sz w:val="18"/>
                <w:szCs w:val="18"/>
              </w:rPr>
              <w:t>E4 – F3</w:t>
            </w:r>
          </w:p>
        </w:tc>
        <w:tc>
          <w:tcPr>
            <w:tcW w:w="1479" w:type="dxa"/>
            <w:shd w:val="clear" w:color="auto" w:fill="FFFFFF"/>
            <w:vAlign w:val="center"/>
          </w:tcPr>
          <w:p w:rsidR="00D57D61" w:rsidRPr="00A2187D" w:rsidRDefault="00D57D61" w:rsidP="00A2187D">
            <w:pPr>
              <w:spacing w:after="0" w:line="259" w:lineRule="auto"/>
              <w:ind w:right="51"/>
              <w:jc w:val="center"/>
              <w:rPr>
                <w:rFonts w:ascii="Arial" w:eastAsia="Calibri" w:hAnsi="Arial" w:cs="Arial"/>
                <w:color w:val="000000"/>
                <w:sz w:val="18"/>
                <w:szCs w:val="18"/>
              </w:rPr>
            </w:pPr>
            <w:r w:rsidRPr="00A2187D">
              <w:rPr>
                <w:rFonts w:ascii="Arial" w:eastAsia="Calibri" w:hAnsi="Arial" w:cs="Arial"/>
                <w:color w:val="000000"/>
                <w:sz w:val="18"/>
                <w:szCs w:val="18"/>
              </w:rPr>
              <w:t>F3</w:t>
            </w:r>
          </w:p>
        </w:tc>
        <w:tc>
          <w:tcPr>
            <w:tcW w:w="2300" w:type="dxa"/>
            <w:vMerge w:val="restart"/>
            <w:shd w:val="clear" w:color="auto" w:fill="FFFFFF"/>
            <w:vAlign w:val="center"/>
          </w:tcPr>
          <w:p w:rsidR="00D57D61" w:rsidRPr="00A2187D" w:rsidRDefault="00D57D61" w:rsidP="00A2187D">
            <w:pPr>
              <w:spacing w:after="0" w:line="259" w:lineRule="auto"/>
              <w:ind w:right="46"/>
              <w:jc w:val="center"/>
              <w:rPr>
                <w:rFonts w:ascii="Arial" w:eastAsia="Calibri" w:hAnsi="Arial" w:cs="Arial"/>
                <w:color w:val="000000"/>
                <w:sz w:val="18"/>
                <w:szCs w:val="18"/>
              </w:rPr>
            </w:pPr>
            <w:r w:rsidRPr="00A2187D">
              <w:rPr>
                <w:rFonts w:ascii="Arial" w:eastAsia="Calibri" w:hAnsi="Arial" w:cs="Arial"/>
                <w:color w:val="000000"/>
                <w:sz w:val="18"/>
                <w:szCs w:val="18"/>
              </w:rPr>
              <w:t>35% - 50%</w:t>
            </w:r>
          </w:p>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417" w:type="dxa"/>
            <w:vMerge w:val="restart"/>
            <w:shd w:val="clear" w:color="auto" w:fill="FFFFFF"/>
          </w:tcPr>
          <w:p w:rsidR="00D57D61" w:rsidRDefault="00D57D61" w:rsidP="00A2187D">
            <w:pPr>
              <w:spacing w:after="0" w:line="259" w:lineRule="auto"/>
              <w:ind w:right="46"/>
              <w:jc w:val="center"/>
              <w:rPr>
                <w:rFonts w:ascii="Arial" w:eastAsia="Calibri" w:hAnsi="Arial" w:cs="Arial"/>
                <w:color w:val="000000"/>
                <w:sz w:val="18"/>
                <w:szCs w:val="18"/>
              </w:rPr>
            </w:pPr>
          </w:p>
          <w:p w:rsidR="00B540FF" w:rsidRDefault="00B540FF" w:rsidP="00A2187D">
            <w:pPr>
              <w:spacing w:after="0" w:line="259" w:lineRule="auto"/>
              <w:ind w:right="46"/>
              <w:jc w:val="center"/>
              <w:rPr>
                <w:rFonts w:ascii="Arial" w:eastAsia="Calibri" w:hAnsi="Arial" w:cs="Arial"/>
                <w:color w:val="000000"/>
                <w:sz w:val="18"/>
                <w:szCs w:val="18"/>
              </w:rPr>
            </w:pPr>
          </w:p>
          <w:p w:rsidR="00B540FF" w:rsidRDefault="00B540FF" w:rsidP="00A2187D">
            <w:pPr>
              <w:spacing w:after="0" w:line="259" w:lineRule="auto"/>
              <w:ind w:right="46"/>
              <w:jc w:val="center"/>
              <w:rPr>
                <w:rFonts w:ascii="Arial" w:eastAsia="Calibri" w:hAnsi="Arial" w:cs="Arial"/>
                <w:color w:val="000000"/>
                <w:sz w:val="18"/>
                <w:szCs w:val="18"/>
              </w:rPr>
            </w:pPr>
          </w:p>
          <w:p w:rsidR="00B540FF" w:rsidRDefault="00B540FF" w:rsidP="00A2187D">
            <w:pPr>
              <w:spacing w:after="0" w:line="259" w:lineRule="auto"/>
              <w:ind w:right="46"/>
              <w:jc w:val="center"/>
              <w:rPr>
                <w:rFonts w:ascii="Arial" w:eastAsia="Calibri" w:hAnsi="Arial" w:cs="Arial"/>
                <w:color w:val="000000"/>
                <w:sz w:val="18"/>
                <w:szCs w:val="18"/>
              </w:rPr>
            </w:pPr>
          </w:p>
          <w:p w:rsidR="00B540FF" w:rsidRDefault="00B540FF" w:rsidP="00A2187D">
            <w:pPr>
              <w:spacing w:after="0" w:line="259" w:lineRule="auto"/>
              <w:ind w:right="46"/>
              <w:jc w:val="center"/>
              <w:rPr>
                <w:rFonts w:ascii="Arial" w:eastAsia="Calibri" w:hAnsi="Arial" w:cs="Arial"/>
                <w:color w:val="000000"/>
                <w:sz w:val="18"/>
                <w:szCs w:val="18"/>
              </w:rPr>
            </w:pPr>
          </w:p>
          <w:p w:rsidR="00B540FF" w:rsidRDefault="00B540FF" w:rsidP="00A2187D">
            <w:pPr>
              <w:spacing w:after="0" w:line="259" w:lineRule="auto"/>
              <w:ind w:right="46"/>
              <w:jc w:val="center"/>
              <w:rPr>
                <w:rFonts w:ascii="Arial" w:eastAsia="Calibri" w:hAnsi="Arial" w:cs="Arial"/>
                <w:color w:val="000000"/>
                <w:sz w:val="18"/>
                <w:szCs w:val="18"/>
              </w:rPr>
            </w:pPr>
          </w:p>
          <w:p w:rsidR="00B540FF" w:rsidRDefault="00B540FF" w:rsidP="00A2187D">
            <w:pPr>
              <w:spacing w:after="0" w:line="259" w:lineRule="auto"/>
              <w:ind w:right="46"/>
              <w:jc w:val="center"/>
              <w:rPr>
                <w:rFonts w:ascii="Arial" w:eastAsia="Calibri" w:hAnsi="Arial" w:cs="Arial"/>
                <w:color w:val="000000"/>
                <w:sz w:val="18"/>
                <w:szCs w:val="18"/>
              </w:rPr>
            </w:pPr>
          </w:p>
          <w:p w:rsidR="00D57D61" w:rsidRDefault="00B540FF" w:rsidP="00A2187D">
            <w:pPr>
              <w:spacing w:after="0" w:line="259" w:lineRule="auto"/>
              <w:ind w:right="46"/>
              <w:jc w:val="center"/>
              <w:rPr>
                <w:rFonts w:ascii="Arial" w:eastAsia="Calibri" w:hAnsi="Arial" w:cs="Arial"/>
                <w:color w:val="000000"/>
                <w:sz w:val="18"/>
                <w:szCs w:val="18"/>
              </w:rPr>
            </w:pPr>
            <w:r w:rsidRPr="00B540FF">
              <w:rPr>
                <w:rFonts w:ascii="Arial" w:eastAsia="Calibri" w:hAnsi="Arial" w:cs="Arial"/>
                <w:color w:val="000000"/>
                <w:sz w:val="18"/>
                <w:szCs w:val="18"/>
              </w:rPr>
              <w:t>R120 million</w:t>
            </w:r>
          </w:p>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34" w:type="dxa"/>
            <w:vMerge w:val="restart"/>
            <w:shd w:val="clear" w:color="auto" w:fill="FFFFFF"/>
          </w:tcPr>
          <w:p w:rsidR="00593F66" w:rsidRDefault="00593F66"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593F66" w:rsidRPr="00593F66" w:rsidRDefault="00593F66" w:rsidP="00593F66">
            <w:pPr>
              <w:spacing w:after="0" w:line="259" w:lineRule="auto"/>
              <w:rPr>
                <w:rFonts w:ascii="Arial" w:eastAsia="Calibri" w:hAnsi="Arial" w:cs="Arial"/>
                <w:color w:val="000000"/>
                <w:sz w:val="18"/>
                <w:szCs w:val="18"/>
              </w:rPr>
            </w:pPr>
            <w:r w:rsidRPr="00593F66">
              <w:rPr>
                <w:rFonts w:ascii="Arial" w:eastAsia="Calibri" w:hAnsi="Arial" w:cs="Arial"/>
                <w:color w:val="000000"/>
                <w:sz w:val="18"/>
                <w:szCs w:val="18"/>
              </w:rPr>
              <w:t xml:space="preserve">R154 million </w:t>
            </w:r>
          </w:p>
          <w:p w:rsidR="00593F66" w:rsidRPr="00A2187D" w:rsidRDefault="00593F66" w:rsidP="00A2187D">
            <w:pPr>
              <w:spacing w:after="0" w:line="259" w:lineRule="auto"/>
              <w:ind w:right="46"/>
              <w:jc w:val="center"/>
              <w:rPr>
                <w:rFonts w:ascii="Arial" w:eastAsia="Calibri" w:hAnsi="Arial" w:cs="Arial"/>
                <w:color w:val="000000"/>
                <w:sz w:val="18"/>
                <w:szCs w:val="18"/>
              </w:rPr>
            </w:pPr>
          </w:p>
        </w:tc>
        <w:tc>
          <w:tcPr>
            <w:tcW w:w="1106" w:type="dxa"/>
            <w:vMerge w:val="restart"/>
            <w:shd w:val="clear" w:color="auto" w:fill="FFFFFF"/>
          </w:tcPr>
          <w:p w:rsidR="00593F66" w:rsidRDefault="00593F66"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B540FF" w:rsidRDefault="00B540FF" w:rsidP="00593F66">
            <w:pPr>
              <w:spacing w:after="0" w:line="259" w:lineRule="auto"/>
              <w:rPr>
                <w:rFonts w:ascii="Arial" w:eastAsia="Calibri" w:hAnsi="Arial" w:cs="Arial"/>
                <w:color w:val="000000"/>
                <w:sz w:val="18"/>
                <w:szCs w:val="18"/>
              </w:rPr>
            </w:pPr>
          </w:p>
          <w:p w:rsidR="00593F66" w:rsidRPr="00A2187D" w:rsidRDefault="00593F66" w:rsidP="00593F66">
            <w:pPr>
              <w:spacing w:after="0" w:line="259" w:lineRule="auto"/>
              <w:rPr>
                <w:rFonts w:ascii="Arial" w:eastAsia="Calibri" w:hAnsi="Arial" w:cs="Arial"/>
                <w:color w:val="000000"/>
                <w:sz w:val="18"/>
                <w:szCs w:val="18"/>
              </w:rPr>
            </w:pPr>
            <w:r>
              <w:rPr>
                <w:rFonts w:ascii="Arial" w:eastAsia="Calibri" w:hAnsi="Arial" w:cs="Arial"/>
                <w:color w:val="000000"/>
                <w:sz w:val="18"/>
                <w:szCs w:val="18"/>
              </w:rPr>
              <w:t>R164 million</w:t>
            </w:r>
          </w:p>
        </w:tc>
      </w:tr>
      <w:tr w:rsidR="00D57D61" w:rsidRPr="00A2187D" w:rsidTr="00B540FF">
        <w:trPr>
          <w:trHeight w:val="291"/>
          <w:jc w:val="center"/>
        </w:trPr>
        <w:tc>
          <w:tcPr>
            <w:tcW w:w="1894" w:type="dxa"/>
            <w:vMerge/>
            <w:tcBorders>
              <w:bottom w:val="single" w:sz="4" w:space="0" w:color="auto"/>
            </w:tcBorders>
            <w:vAlign w:val="center"/>
          </w:tcPr>
          <w:p w:rsidR="00D57D61" w:rsidRPr="00A2187D" w:rsidRDefault="00D57D61" w:rsidP="00A2187D">
            <w:pPr>
              <w:spacing w:after="0" w:line="259" w:lineRule="auto"/>
              <w:ind w:right="51"/>
              <w:rPr>
                <w:rFonts w:ascii="Arial" w:eastAsia="Calibri" w:hAnsi="Arial" w:cs="Arial"/>
                <w:color w:val="000000"/>
                <w:sz w:val="18"/>
                <w:szCs w:val="18"/>
              </w:rPr>
            </w:pPr>
          </w:p>
        </w:tc>
        <w:tc>
          <w:tcPr>
            <w:tcW w:w="985" w:type="dxa"/>
            <w:vMerge/>
            <w:tcBorders>
              <w:bottom w:val="single" w:sz="4" w:space="0" w:color="auto"/>
            </w:tcBorders>
          </w:tcPr>
          <w:p w:rsidR="00D57D61" w:rsidRPr="00A2187D" w:rsidRDefault="00D57D61" w:rsidP="00A2187D">
            <w:pPr>
              <w:spacing w:after="160" w:line="259" w:lineRule="auto"/>
              <w:jc w:val="center"/>
              <w:rPr>
                <w:rFonts w:ascii="Arial" w:eastAsia="Calibri" w:hAnsi="Arial" w:cs="Arial"/>
                <w:color w:val="000000"/>
                <w:sz w:val="18"/>
                <w:szCs w:val="18"/>
              </w:rPr>
            </w:pPr>
          </w:p>
        </w:tc>
        <w:tc>
          <w:tcPr>
            <w:tcW w:w="1479" w:type="dxa"/>
            <w:tcBorders>
              <w:bottom w:val="single" w:sz="4" w:space="0" w:color="auto"/>
            </w:tcBorders>
            <w:vAlign w:val="center"/>
          </w:tcPr>
          <w:p w:rsidR="00D57D61" w:rsidRPr="00A2187D" w:rsidRDefault="00D57D61" w:rsidP="00A2187D">
            <w:pPr>
              <w:spacing w:after="0" w:line="259" w:lineRule="auto"/>
              <w:ind w:right="51"/>
              <w:jc w:val="center"/>
              <w:rPr>
                <w:rFonts w:ascii="Arial" w:eastAsia="Calibri" w:hAnsi="Arial" w:cs="Arial"/>
                <w:color w:val="000000"/>
                <w:sz w:val="18"/>
                <w:szCs w:val="18"/>
              </w:rPr>
            </w:pPr>
            <w:r w:rsidRPr="00A2187D">
              <w:rPr>
                <w:rFonts w:ascii="Arial" w:eastAsia="Calibri" w:hAnsi="Arial" w:cs="Arial"/>
                <w:color w:val="000000"/>
                <w:sz w:val="18"/>
                <w:szCs w:val="18"/>
              </w:rPr>
              <w:t>FL</w:t>
            </w:r>
          </w:p>
        </w:tc>
        <w:tc>
          <w:tcPr>
            <w:tcW w:w="2300" w:type="dxa"/>
            <w:vMerge/>
            <w:tcBorders>
              <w:bottom w:val="single" w:sz="4" w:space="0" w:color="auto"/>
            </w:tcBorders>
            <w:vAlign w:val="center"/>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417"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34"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06"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r>
      <w:tr w:rsidR="00D57D61" w:rsidRPr="00A2187D" w:rsidTr="00B540FF">
        <w:trPr>
          <w:trHeight w:val="211"/>
          <w:jc w:val="center"/>
        </w:trPr>
        <w:tc>
          <w:tcPr>
            <w:tcW w:w="1894" w:type="dxa"/>
            <w:vMerge/>
            <w:tcBorders>
              <w:bottom w:val="single" w:sz="4" w:space="0" w:color="auto"/>
            </w:tcBorders>
            <w:vAlign w:val="center"/>
          </w:tcPr>
          <w:p w:rsidR="00D57D61" w:rsidRPr="00A2187D" w:rsidRDefault="00D57D61" w:rsidP="00A2187D">
            <w:pPr>
              <w:spacing w:after="0" w:line="259" w:lineRule="auto"/>
              <w:ind w:right="51"/>
              <w:rPr>
                <w:rFonts w:ascii="Arial" w:eastAsia="Calibri" w:hAnsi="Arial" w:cs="Arial"/>
                <w:color w:val="000000"/>
                <w:sz w:val="18"/>
                <w:szCs w:val="18"/>
              </w:rPr>
            </w:pPr>
          </w:p>
        </w:tc>
        <w:tc>
          <w:tcPr>
            <w:tcW w:w="985" w:type="dxa"/>
            <w:vMerge/>
            <w:tcBorders>
              <w:bottom w:val="single" w:sz="4" w:space="0" w:color="auto"/>
            </w:tcBorders>
          </w:tcPr>
          <w:p w:rsidR="00D57D61" w:rsidRPr="00A2187D" w:rsidRDefault="00D57D61" w:rsidP="00A2187D">
            <w:pPr>
              <w:spacing w:after="0" w:line="259" w:lineRule="auto"/>
              <w:ind w:right="50"/>
              <w:jc w:val="center"/>
              <w:rPr>
                <w:rFonts w:ascii="Arial" w:eastAsia="Calibri" w:hAnsi="Arial" w:cs="Arial"/>
                <w:color w:val="000000"/>
                <w:sz w:val="18"/>
                <w:szCs w:val="18"/>
              </w:rPr>
            </w:pPr>
          </w:p>
        </w:tc>
        <w:tc>
          <w:tcPr>
            <w:tcW w:w="1479" w:type="dxa"/>
            <w:tcBorders>
              <w:bottom w:val="single" w:sz="4" w:space="0" w:color="auto"/>
            </w:tcBorders>
            <w:vAlign w:val="center"/>
          </w:tcPr>
          <w:p w:rsidR="00D57D61" w:rsidRPr="00A2187D" w:rsidRDefault="00D57D61" w:rsidP="00A2187D">
            <w:pPr>
              <w:spacing w:after="0" w:line="259" w:lineRule="auto"/>
              <w:ind w:right="50"/>
              <w:jc w:val="center"/>
              <w:rPr>
                <w:rFonts w:ascii="Arial" w:eastAsia="Calibri" w:hAnsi="Arial" w:cs="Arial"/>
                <w:color w:val="000000"/>
                <w:sz w:val="18"/>
                <w:szCs w:val="18"/>
              </w:rPr>
            </w:pPr>
            <w:r w:rsidRPr="00A2187D">
              <w:rPr>
                <w:rFonts w:ascii="Arial" w:eastAsia="Calibri" w:hAnsi="Arial" w:cs="Arial"/>
                <w:color w:val="000000"/>
                <w:sz w:val="18"/>
                <w:szCs w:val="18"/>
              </w:rPr>
              <w:t>EU</w:t>
            </w:r>
          </w:p>
        </w:tc>
        <w:tc>
          <w:tcPr>
            <w:tcW w:w="2300" w:type="dxa"/>
            <w:vMerge/>
            <w:tcBorders>
              <w:bottom w:val="single" w:sz="4" w:space="0" w:color="auto"/>
            </w:tcBorders>
            <w:vAlign w:val="center"/>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417"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34"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06"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r>
      <w:tr w:rsidR="00D57D61" w:rsidRPr="00A2187D" w:rsidTr="00B540FF">
        <w:trPr>
          <w:trHeight w:val="313"/>
          <w:jc w:val="center"/>
        </w:trPr>
        <w:tc>
          <w:tcPr>
            <w:tcW w:w="1894" w:type="dxa"/>
            <w:vAlign w:val="center"/>
          </w:tcPr>
          <w:p w:rsidR="00D57D61" w:rsidRPr="00A2187D" w:rsidRDefault="00D57D61" w:rsidP="00A2187D">
            <w:pPr>
              <w:spacing w:after="0" w:line="259" w:lineRule="auto"/>
              <w:rPr>
                <w:rFonts w:ascii="Arial" w:eastAsia="Calibri" w:hAnsi="Arial" w:cs="Arial"/>
                <w:color w:val="000000"/>
                <w:sz w:val="18"/>
                <w:szCs w:val="18"/>
              </w:rPr>
            </w:pPr>
            <w:r w:rsidRPr="00A2187D">
              <w:rPr>
                <w:rFonts w:ascii="Arial" w:eastAsia="Calibri" w:hAnsi="Arial" w:cs="Arial"/>
                <w:color w:val="000000"/>
                <w:sz w:val="18"/>
                <w:szCs w:val="18"/>
              </w:rPr>
              <w:t>General Management</w:t>
            </w:r>
          </w:p>
        </w:tc>
        <w:tc>
          <w:tcPr>
            <w:tcW w:w="985" w:type="dxa"/>
            <w:vMerge/>
          </w:tcPr>
          <w:p w:rsidR="00D57D61" w:rsidRPr="00A2187D" w:rsidRDefault="00D57D61" w:rsidP="00A2187D">
            <w:pPr>
              <w:spacing w:after="0" w:line="259" w:lineRule="auto"/>
              <w:ind w:right="49"/>
              <w:jc w:val="center"/>
              <w:rPr>
                <w:rFonts w:ascii="Arial" w:eastAsia="Calibri" w:hAnsi="Arial" w:cs="Arial"/>
                <w:color w:val="000000"/>
                <w:sz w:val="18"/>
                <w:szCs w:val="18"/>
              </w:rPr>
            </w:pPr>
          </w:p>
        </w:tc>
        <w:tc>
          <w:tcPr>
            <w:tcW w:w="1479" w:type="dxa"/>
            <w:vAlign w:val="center"/>
          </w:tcPr>
          <w:p w:rsidR="00D57D61" w:rsidRPr="00A2187D" w:rsidRDefault="00D57D61" w:rsidP="00A2187D">
            <w:pPr>
              <w:spacing w:after="0" w:line="259" w:lineRule="auto"/>
              <w:ind w:right="49"/>
              <w:jc w:val="center"/>
              <w:rPr>
                <w:rFonts w:ascii="Arial" w:eastAsia="Calibri" w:hAnsi="Arial" w:cs="Arial"/>
                <w:color w:val="000000"/>
                <w:sz w:val="18"/>
                <w:szCs w:val="18"/>
              </w:rPr>
            </w:pPr>
            <w:r w:rsidRPr="00A2187D">
              <w:rPr>
                <w:rFonts w:ascii="Arial" w:eastAsia="Calibri" w:hAnsi="Arial" w:cs="Arial"/>
                <w:color w:val="000000"/>
                <w:sz w:val="18"/>
                <w:szCs w:val="18"/>
              </w:rPr>
              <w:t>EL</w:t>
            </w:r>
          </w:p>
        </w:tc>
        <w:tc>
          <w:tcPr>
            <w:tcW w:w="2300" w:type="dxa"/>
            <w:vMerge/>
            <w:vAlign w:val="center"/>
          </w:tcPr>
          <w:p w:rsidR="00D57D61" w:rsidRPr="00A2187D" w:rsidRDefault="00D57D61" w:rsidP="00A2187D">
            <w:pPr>
              <w:spacing w:after="160" w:line="259" w:lineRule="auto"/>
              <w:rPr>
                <w:rFonts w:ascii="Arial" w:eastAsia="Calibri" w:hAnsi="Arial" w:cs="Arial"/>
                <w:color w:val="000000"/>
                <w:sz w:val="18"/>
                <w:szCs w:val="18"/>
              </w:rPr>
            </w:pPr>
          </w:p>
        </w:tc>
        <w:tc>
          <w:tcPr>
            <w:tcW w:w="1417" w:type="dxa"/>
            <w:vMerge/>
          </w:tcPr>
          <w:p w:rsidR="00D57D61" w:rsidRPr="00A2187D" w:rsidRDefault="00D57D61" w:rsidP="00A2187D">
            <w:pPr>
              <w:spacing w:after="160" w:line="259" w:lineRule="auto"/>
              <w:rPr>
                <w:rFonts w:ascii="Arial" w:eastAsia="Calibri" w:hAnsi="Arial" w:cs="Arial"/>
                <w:color w:val="000000"/>
                <w:sz w:val="18"/>
                <w:szCs w:val="18"/>
              </w:rPr>
            </w:pPr>
          </w:p>
        </w:tc>
        <w:tc>
          <w:tcPr>
            <w:tcW w:w="1134" w:type="dxa"/>
            <w:vMerge/>
          </w:tcPr>
          <w:p w:rsidR="00D57D61" w:rsidRPr="00A2187D" w:rsidRDefault="00D57D61" w:rsidP="00A2187D">
            <w:pPr>
              <w:spacing w:after="160" w:line="259" w:lineRule="auto"/>
              <w:rPr>
                <w:rFonts w:ascii="Arial" w:eastAsia="Calibri" w:hAnsi="Arial" w:cs="Arial"/>
                <w:color w:val="000000"/>
                <w:sz w:val="18"/>
                <w:szCs w:val="18"/>
              </w:rPr>
            </w:pPr>
          </w:p>
        </w:tc>
        <w:tc>
          <w:tcPr>
            <w:tcW w:w="1106" w:type="dxa"/>
            <w:vMerge/>
          </w:tcPr>
          <w:p w:rsidR="00D57D61" w:rsidRPr="00A2187D" w:rsidRDefault="00D57D61" w:rsidP="00A2187D">
            <w:pPr>
              <w:spacing w:after="160" w:line="259" w:lineRule="auto"/>
              <w:rPr>
                <w:rFonts w:ascii="Arial" w:eastAsia="Calibri" w:hAnsi="Arial" w:cs="Arial"/>
                <w:color w:val="000000"/>
                <w:sz w:val="18"/>
                <w:szCs w:val="18"/>
              </w:rPr>
            </w:pPr>
          </w:p>
        </w:tc>
      </w:tr>
      <w:tr w:rsidR="00D57D61" w:rsidRPr="00A2187D" w:rsidTr="00B540FF">
        <w:trPr>
          <w:trHeight w:val="760"/>
          <w:jc w:val="center"/>
        </w:trPr>
        <w:tc>
          <w:tcPr>
            <w:tcW w:w="1894" w:type="dxa"/>
            <w:tcBorders>
              <w:bottom w:val="single" w:sz="4" w:space="0" w:color="auto"/>
            </w:tcBorders>
            <w:vAlign w:val="center"/>
          </w:tcPr>
          <w:p w:rsidR="00D57D61" w:rsidRPr="00A2187D" w:rsidRDefault="00D57D61" w:rsidP="00A2187D">
            <w:pPr>
              <w:spacing w:after="0" w:line="259" w:lineRule="auto"/>
              <w:ind w:right="52"/>
              <w:rPr>
                <w:rFonts w:ascii="Arial" w:eastAsia="Calibri" w:hAnsi="Arial" w:cs="Arial"/>
                <w:color w:val="000000"/>
                <w:sz w:val="18"/>
                <w:szCs w:val="18"/>
              </w:rPr>
            </w:pPr>
            <w:r w:rsidRPr="00A2187D">
              <w:rPr>
                <w:rFonts w:ascii="Arial" w:eastAsia="Calibri" w:hAnsi="Arial" w:cs="Arial"/>
                <w:color w:val="000000"/>
                <w:sz w:val="18"/>
                <w:szCs w:val="18"/>
              </w:rPr>
              <w:t>Group Managers</w:t>
            </w:r>
          </w:p>
        </w:tc>
        <w:tc>
          <w:tcPr>
            <w:tcW w:w="985" w:type="dxa"/>
            <w:tcBorders>
              <w:bottom w:val="single" w:sz="4" w:space="0" w:color="auto"/>
            </w:tcBorders>
          </w:tcPr>
          <w:p w:rsidR="00D57D61" w:rsidRPr="00A2187D" w:rsidRDefault="00D57D61" w:rsidP="00A2187D">
            <w:pPr>
              <w:spacing w:after="0" w:line="259" w:lineRule="auto"/>
              <w:ind w:right="49"/>
              <w:jc w:val="center"/>
              <w:rPr>
                <w:rFonts w:ascii="Arial" w:eastAsia="Calibri" w:hAnsi="Arial" w:cs="Arial"/>
                <w:color w:val="000000"/>
                <w:sz w:val="18"/>
                <w:szCs w:val="18"/>
              </w:rPr>
            </w:pPr>
            <w:r w:rsidRPr="00A2187D">
              <w:rPr>
                <w:rFonts w:ascii="Arial" w:eastAsia="Calibri" w:hAnsi="Arial" w:cs="Arial"/>
                <w:color w:val="000000"/>
                <w:sz w:val="18"/>
                <w:szCs w:val="18"/>
              </w:rPr>
              <w:t>E1 – E3</w:t>
            </w:r>
          </w:p>
        </w:tc>
        <w:tc>
          <w:tcPr>
            <w:tcW w:w="1479" w:type="dxa"/>
            <w:tcBorders>
              <w:bottom w:val="single" w:sz="4" w:space="0" w:color="auto"/>
            </w:tcBorders>
            <w:vAlign w:val="center"/>
          </w:tcPr>
          <w:p w:rsidR="00D57D61" w:rsidRPr="00A2187D" w:rsidRDefault="00D57D61" w:rsidP="00A2187D">
            <w:pPr>
              <w:spacing w:after="0" w:line="259" w:lineRule="auto"/>
              <w:ind w:right="49"/>
              <w:jc w:val="center"/>
              <w:rPr>
                <w:rFonts w:ascii="Arial" w:eastAsia="Calibri" w:hAnsi="Arial" w:cs="Arial"/>
                <w:color w:val="000000"/>
                <w:sz w:val="18"/>
                <w:szCs w:val="18"/>
              </w:rPr>
            </w:pPr>
            <w:r w:rsidRPr="00A2187D">
              <w:rPr>
                <w:rFonts w:ascii="Arial" w:eastAsia="Calibri" w:hAnsi="Arial" w:cs="Arial"/>
                <w:color w:val="000000"/>
                <w:sz w:val="18"/>
                <w:szCs w:val="18"/>
              </w:rPr>
              <w:t>EL</w:t>
            </w:r>
          </w:p>
        </w:tc>
        <w:tc>
          <w:tcPr>
            <w:tcW w:w="2300" w:type="dxa"/>
            <w:vMerge w:val="restart"/>
            <w:vAlign w:val="center"/>
          </w:tcPr>
          <w:p w:rsidR="00D57D61" w:rsidRPr="00A2187D" w:rsidRDefault="00D57D61" w:rsidP="00A2187D">
            <w:pPr>
              <w:spacing w:after="0" w:line="259" w:lineRule="auto"/>
              <w:ind w:right="46"/>
              <w:jc w:val="center"/>
              <w:rPr>
                <w:rFonts w:ascii="Arial" w:eastAsia="Calibri" w:hAnsi="Arial" w:cs="Arial"/>
                <w:color w:val="000000"/>
                <w:sz w:val="18"/>
                <w:szCs w:val="18"/>
              </w:rPr>
            </w:pPr>
            <w:r w:rsidRPr="00A2187D">
              <w:rPr>
                <w:rFonts w:ascii="Arial" w:eastAsia="Calibri" w:hAnsi="Arial" w:cs="Arial"/>
                <w:color w:val="000000"/>
                <w:sz w:val="18"/>
                <w:szCs w:val="18"/>
              </w:rPr>
              <w:t>14% - 35%</w:t>
            </w:r>
          </w:p>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417"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34"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06"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r>
      <w:tr w:rsidR="00D57D61" w:rsidRPr="00A2187D" w:rsidTr="00B540FF">
        <w:trPr>
          <w:trHeight w:val="313"/>
          <w:jc w:val="center"/>
        </w:trPr>
        <w:tc>
          <w:tcPr>
            <w:tcW w:w="1894" w:type="dxa"/>
            <w:vAlign w:val="center"/>
          </w:tcPr>
          <w:p w:rsidR="00D57D61" w:rsidRPr="00A2187D" w:rsidRDefault="00D57D61" w:rsidP="00A2187D">
            <w:pPr>
              <w:spacing w:after="0" w:line="259" w:lineRule="auto"/>
              <w:rPr>
                <w:rFonts w:ascii="Arial" w:eastAsia="Calibri" w:hAnsi="Arial" w:cs="Arial"/>
                <w:color w:val="000000"/>
                <w:sz w:val="18"/>
                <w:szCs w:val="18"/>
              </w:rPr>
            </w:pPr>
            <w:r w:rsidRPr="00A2187D">
              <w:rPr>
                <w:rFonts w:ascii="Arial" w:eastAsia="Calibri" w:hAnsi="Arial" w:cs="Arial"/>
                <w:color w:val="000000"/>
                <w:sz w:val="18"/>
                <w:szCs w:val="18"/>
              </w:rPr>
              <w:t>Senior Management</w:t>
            </w:r>
          </w:p>
        </w:tc>
        <w:tc>
          <w:tcPr>
            <w:tcW w:w="985" w:type="dxa"/>
          </w:tcPr>
          <w:p w:rsidR="00D57D61" w:rsidRPr="00A2187D" w:rsidRDefault="00D57D61" w:rsidP="00A2187D">
            <w:pPr>
              <w:spacing w:after="0" w:line="259" w:lineRule="auto"/>
              <w:ind w:right="48"/>
              <w:jc w:val="center"/>
              <w:rPr>
                <w:rFonts w:ascii="Arial" w:eastAsia="Calibri" w:hAnsi="Arial" w:cs="Arial"/>
                <w:color w:val="000000"/>
                <w:sz w:val="18"/>
                <w:szCs w:val="18"/>
              </w:rPr>
            </w:pPr>
            <w:r w:rsidRPr="00A2187D">
              <w:rPr>
                <w:rFonts w:ascii="Arial" w:eastAsia="Calibri" w:hAnsi="Arial" w:cs="Arial"/>
                <w:color w:val="000000"/>
                <w:sz w:val="18"/>
                <w:szCs w:val="18"/>
              </w:rPr>
              <w:t>D4 - D5</w:t>
            </w:r>
          </w:p>
        </w:tc>
        <w:tc>
          <w:tcPr>
            <w:tcW w:w="1479" w:type="dxa"/>
            <w:vAlign w:val="center"/>
          </w:tcPr>
          <w:p w:rsidR="00D57D61" w:rsidRPr="00A2187D" w:rsidRDefault="00D57D61" w:rsidP="00A2187D">
            <w:pPr>
              <w:spacing w:after="0" w:line="259" w:lineRule="auto"/>
              <w:ind w:right="48"/>
              <w:jc w:val="center"/>
              <w:rPr>
                <w:rFonts w:ascii="Arial" w:eastAsia="Calibri" w:hAnsi="Arial" w:cs="Arial"/>
                <w:color w:val="000000"/>
                <w:sz w:val="18"/>
                <w:szCs w:val="18"/>
              </w:rPr>
            </w:pPr>
            <w:r w:rsidRPr="00A2187D">
              <w:rPr>
                <w:rFonts w:ascii="Arial" w:eastAsia="Calibri" w:hAnsi="Arial" w:cs="Arial"/>
                <w:color w:val="000000"/>
                <w:sz w:val="18"/>
                <w:szCs w:val="18"/>
              </w:rPr>
              <w:t>DU</w:t>
            </w:r>
          </w:p>
        </w:tc>
        <w:tc>
          <w:tcPr>
            <w:tcW w:w="2300" w:type="dxa"/>
            <w:vMerge/>
            <w:vAlign w:val="center"/>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417"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34"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06"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r>
      <w:tr w:rsidR="00D57D61" w:rsidRPr="00A2187D" w:rsidTr="00B540FF">
        <w:trPr>
          <w:trHeight w:val="313"/>
          <w:jc w:val="center"/>
        </w:trPr>
        <w:tc>
          <w:tcPr>
            <w:tcW w:w="1894" w:type="dxa"/>
            <w:vAlign w:val="center"/>
          </w:tcPr>
          <w:p w:rsidR="00D57D61" w:rsidRPr="00A2187D" w:rsidRDefault="00D57D61" w:rsidP="00A2187D">
            <w:pPr>
              <w:spacing w:after="0" w:line="259" w:lineRule="auto"/>
              <w:rPr>
                <w:rFonts w:ascii="Arial" w:eastAsia="Calibri" w:hAnsi="Arial" w:cs="Arial"/>
                <w:color w:val="000000"/>
                <w:sz w:val="18"/>
                <w:szCs w:val="18"/>
              </w:rPr>
            </w:pPr>
            <w:r w:rsidRPr="00A2187D">
              <w:rPr>
                <w:rFonts w:ascii="Arial" w:eastAsia="Calibri" w:hAnsi="Arial" w:cs="Arial"/>
                <w:color w:val="000000"/>
                <w:sz w:val="18"/>
                <w:szCs w:val="18"/>
              </w:rPr>
              <w:t>Middle Management</w:t>
            </w:r>
          </w:p>
        </w:tc>
        <w:tc>
          <w:tcPr>
            <w:tcW w:w="985" w:type="dxa"/>
          </w:tcPr>
          <w:p w:rsidR="00D57D61" w:rsidRPr="00A2187D" w:rsidRDefault="00D57D61" w:rsidP="00A2187D">
            <w:pPr>
              <w:spacing w:after="0" w:line="259" w:lineRule="auto"/>
              <w:ind w:right="51"/>
              <w:jc w:val="center"/>
              <w:rPr>
                <w:rFonts w:ascii="Arial" w:eastAsia="Calibri" w:hAnsi="Arial" w:cs="Arial"/>
                <w:color w:val="000000"/>
                <w:sz w:val="18"/>
                <w:szCs w:val="18"/>
              </w:rPr>
            </w:pPr>
            <w:r w:rsidRPr="00A2187D">
              <w:rPr>
                <w:rFonts w:ascii="Arial" w:eastAsia="Calibri" w:hAnsi="Arial" w:cs="Arial"/>
                <w:color w:val="000000"/>
                <w:sz w:val="18"/>
                <w:szCs w:val="18"/>
              </w:rPr>
              <w:t>D1- D3</w:t>
            </w:r>
          </w:p>
        </w:tc>
        <w:tc>
          <w:tcPr>
            <w:tcW w:w="1479" w:type="dxa"/>
            <w:vAlign w:val="center"/>
          </w:tcPr>
          <w:p w:rsidR="00D57D61" w:rsidRPr="00A2187D" w:rsidRDefault="00D57D61" w:rsidP="00A2187D">
            <w:pPr>
              <w:spacing w:after="0" w:line="259" w:lineRule="auto"/>
              <w:ind w:right="51"/>
              <w:jc w:val="center"/>
              <w:rPr>
                <w:rFonts w:ascii="Arial" w:eastAsia="Calibri" w:hAnsi="Arial" w:cs="Arial"/>
                <w:color w:val="000000"/>
                <w:sz w:val="18"/>
                <w:szCs w:val="18"/>
              </w:rPr>
            </w:pPr>
            <w:r w:rsidRPr="00A2187D">
              <w:rPr>
                <w:rFonts w:ascii="Arial" w:eastAsia="Calibri" w:hAnsi="Arial" w:cs="Arial"/>
                <w:color w:val="000000"/>
                <w:sz w:val="18"/>
                <w:szCs w:val="18"/>
              </w:rPr>
              <w:t>DL</w:t>
            </w:r>
          </w:p>
        </w:tc>
        <w:tc>
          <w:tcPr>
            <w:tcW w:w="2300" w:type="dxa"/>
            <w:vMerge/>
            <w:vAlign w:val="center"/>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417"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34"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06"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r>
      <w:tr w:rsidR="00D57D61" w:rsidRPr="00A2187D" w:rsidTr="00B540FF">
        <w:trPr>
          <w:trHeight w:val="313"/>
          <w:jc w:val="center"/>
        </w:trPr>
        <w:tc>
          <w:tcPr>
            <w:tcW w:w="1894" w:type="dxa"/>
            <w:vAlign w:val="center"/>
          </w:tcPr>
          <w:p w:rsidR="00D57D61" w:rsidRPr="00A2187D" w:rsidRDefault="00D57D61" w:rsidP="00A2187D">
            <w:pPr>
              <w:spacing w:after="0" w:line="259" w:lineRule="auto"/>
              <w:ind w:right="48"/>
              <w:rPr>
                <w:rFonts w:ascii="Arial" w:eastAsia="Calibri" w:hAnsi="Arial" w:cs="Arial"/>
                <w:color w:val="000000"/>
                <w:sz w:val="18"/>
                <w:szCs w:val="18"/>
              </w:rPr>
            </w:pPr>
            <w:r w:rsidRPr="00A2187D">
              <w:rPr>
                <w:rFonts w:ascii="Arial" w:eastAsia="Calibri" w:hAnsi="Arial" w:cs="Arial"/>
                <w:color w:val="000000"/>
                <w:sz w:val="18"/>
                <w:szCs w:val="18"/>
              </w:rPr>
              <w:t>Professionals</w:t>
            </w:r>
          </w:p>
        </w:tc>
        <w:tc>
          <w:tcPr>
            <w:tcW w:w="985" w:type="dxa"/>
          </w:tcPr>
          <w:p w:rsidR="00D57D61" w:rsidRPr="00A2187D" w:rsidRDefault="00D57D61" w:rsidP="00A2187D">
            <w:pPr>
              <w:spacing w:after="0" w:line="259" w:lineRule="auto"/>
              <w:ind w:right="48"/>
              <w:jc w:val="center"/>
              <w:rPr>
                <w:rFonts w:ascii="Arial" w:eastAsia="Calibri" w:hAnsi="Arial" w:cs="Arial"/>
                <w:color w:val="000000"/>
                <w:sz w:val="18"/>
                <w:szCs w:val="18"/>
              </w:rPr>
            </w:pPr>
            <w:r w:rsidRPr="00A2187D">
              <w:rPr>
                <w:rFonts w:ascii="Arial" w:eastAsia="Calibri" w:hAnsi="Arial" w:cs="Arial"/>
                <w:color w:val="000000"/>
                <w:sz w:val="18"/>
                <w:szCs w:val="18"/>
              </w:rPr>
              <w:t>C4- C5</w:t>
            </w:r>
          </w:p>
        </w:tc>
        <w:tc>
          <w:tcPr>
            <w:tcW w:w="1479" w:type="dxa"/>
            <w:vAlign w:val="center"/>
          </w:tcPr>
          <w:p w:rsidR="00D57D61" w:rsidRPr="00A2187D" w:rsidRDefault="00D57D61" w:rsidP="00A2187D">
            <w:pPr>
              <w:spacing w:after="0" w:line="259" w:lineRule="auto"/>
              <w:ind w:right="48"/>
              <w:jc w:val="center"/>
              <w:rPr>
                <w:rFonts w:ascii="Arial" w:eastAsia="Calibri" w:hAnsi="Arial" w:cs="Arial"/>
                <w:color w:val="000000"/>
                <w:sz w:val="18"/>
                <w:szCs w:val="18"/>
              </w:rPr>
            </w:pPr>
            <w:r w:rsidRPr="00A2187D">
              <w:rPr>
                <w:rFonts w:ascii="Arial" w:eastAsia="Calibri" w:hAnsi="Arial" w:cs="Arial"/>
                <w:color w:val="000000"/>
                <w:sz w:val="18"/>
                <w:szCs w:val="18"/>
              </w:rPr>
              <w:t>CU</w:t>
            </w:r>
          </w:p>
        </w:tc>
        <w:tc>
          <w:tcPr>
            <w:tcW w:w="2300" w:type="dxa"/>
            <w:vMerge/>
            <w:vAlign w:val="center"/>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417"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34"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c>
          <w:tcPr>
            <w:tcW w:w="1106" w:type="dxa"/>
            <w:vMerge/>
          </w:tcPr>
          <w:p w:rsidR="00D57D61" w:rsidRPr="00A2187D" w:rsidRDefault="00D57D61" w:rsidP="00A2187D">
            <w:pPr>
              <w:spacing w:after="0" w:line="259" w:lineRule="auto"/>
              <w:ind w:right="46"/>
              <w:jc w:val="center"/>
              <w:rPr>
                <w:rFonts w:ascii="Arial" w:eastAsia="Calibri" w:hAnsi="Arial" w:cs="Arial"/>
                <w:color w:val="000000"/>
                <w:sz w:val="18"/>
                <w:szCs w:val="18"/>
              </w:rPr>
            </w:pPr>
          </w:p>
        </w:tc>
      </w:tr>
      <w:tr w:rsidR="00D57D61" w:rsidRPr="00A2187D" w:rsidTr="00B540FF">
        <w:trPr>
          <w:trHeight w:val="305"/>
          <w:jc w:val="center"/>
        </w:trPr>
        <w:tc>
          <w:tcPr>
            <w:tcW w:w="1894" w:type="dxa"/>
            <w:vAlign w:val="center"/>
          </w:tcPr>
          <w:p w:rsidR="00D57D61" w:rsidRPr="00A2187D" w:rsidRDefault="00D57D61" w:rsidP="00A2187D">
            <w:pPr>
              <w:spacing w:after="0" w:line="259" w:lineRule="auto"/>
              <w:ind w:right="49"/>
              <w:rPr>
                <w:rFonts w:ascii="Arial" w:eastAsia="Calibri" w:hAnsi="Arial" w:cs="Arial"/>
                <w:color w:val="000000"/>
                <w:sz w:val="18"/>
                <w:szCs w:val="18"/>
              </w:rPr>
            </w:pPr>
            <w:r w:rsidRPr="00A2187D">
              <w:rPr>
                <w:rFonts w:ascii="Arial" w:eastAsia="Calibri" w:hAnsi="Arial" w:cs="Arial"/>
                <w:color w:val="000000"/>
                <w:sz w:val="18"/>
                <w:szCs w:val="18"/>
              </w:rPr>
              <w:t>General Employees (IBU)</w:t>
            </w:r>
          </w:p>
        </w:tc>
        <w:tc>
          <w:tcPr>
            <w:tcW w:w="985" w:type="dxa"/>
          </w:tcPr>
          <w:p w:rsidR="00D57D61" w:rsidRPr="00A2187D" w:rsidRDefault="00D57D61" w:rsidP="00A2187D">
            <w:pPr>
              <w:spacing w:after="160" w:line="259" w:lineRule="auto"/>
              <w:jc w:val="center"/>
              <w:rPr>
                <w:rFonts w:ascii="Arial" w:eastAsia="Calibri" w:hAnsi="Arial" w:cs="Arial"/>
                <w:color w:val="000000"/>
                <w:sz w:val="18"/>
                <w:szCs w:val="18"/>
              </w:rPr>
            </w:pPr>
            <w:r w:rsidRPr="00A2187D">
              <w:rPr>
                <w:rFonts w:ascii="Arial" w:eastAsia="Calibri" w:hAnsi="Arial" w:cs="Arial"/>
                <w:color w:val="000000"/>
                <w:sz w:val="18"/>
                <w:szCs w:val="18"/>
              </w:rPr>
              <w:t>A3 to C3</w:t>
            </w:r>
          </w:p>
        </w:tc>
        <w:tc>
          <w:tcPr>
            <w:tcW w:w="1479" w:type="dxa"/>
            <w:vAlign w:val="center"/>
          </w:tcPr>
          <w:p w:rsidR="00D57D61" w:rsidRPr="00A2187D" w:rsidRDefault="00D57D61" w:rsidP="00A2187D">
            <w:pPr>
              <w:spacing w:after="160" w:line="259" w:lineRule="auto"/>
              <w:jc w:val="center"/>
              <w:rPr>
                <w:rFonts w:ascii="Arial" w:eastAsia="Calibri" w:hAnsi="Arial" w:cs="Arial"/>
                <w:color w:val="000000"/>
                <w:sz w:val="18"/>
                <w:szCs w:val="18"/>
              </w:rPr>
            </w:pPr>
            <w:r w:rsidRPr="00A2187D">
              <w:rPr>
                <w:rFonts w:ascii="Arial" w:eastAsia="Calibri" w:hAnsi="Arial" w:cs="Arial"/>
                <w:color w:val="000000"/>
                <w:sz w:val="18"/>
                <w:szCs w:val="18"/>
              </w:rPr>
              <w:t>A to CL</w:t>
            </w:r>
          </w:p>
        </w:tc>
        <w:tc>
          <w:tcPr>
            <w:tcW w:w="2300" w:type="dxa"/>
            <w:vAlign w:val="center"/>
          </w:tcPr>
          <w:p w:rsidR="00D57D61" w:rsidRPr="00A2187D" w:rsidRDefault="00D57D61" w:rsidP="00A2187D">
            <w:pPr>
              <w:spacing w:after="0" w:line="259" w:lineRule="auto"/>
              <w:ind w:right="49"/>
              <w:jc w:val="center"/>
              <w:rPr>
                <w:rFonts w:ascii="Arial" w:eastAsia="Calibri" w:hAnsi="Arial" w:cs="Arial"/>
                <w:color w:val="000000"/>
                <w:sz w:val="18"/>
                <w:szCs w:val="18"/>
              </w:rPr>
            </w:pPr>
            <w:r w:rsidRPr="00A2187D">
              <w:rPr>
                <w:rFonts w:ascii="Arial" w:eastAsia="Calibri" w:hAnsi="Arial" w:cs="Arial"/>
                <w:color w:val="000000"/>
                <w:sz w:val="18"/>
                <w:szCs w:val="18"/>
              </w:rPr>
              <w:t>8.33%</w:t>
            </w:r>
          </w:p>
        </w:tc>
        <w:tc>
          <w:tcPr>
            <w:tcW w:w="1417" w:type="dxa"/>
            <w:vMerge/>
          </w:tcPr>
          <w:p w:rsidR="00D57D61" w:rsidRPr="00A2187D" w:rsidRDefault="00D57D61" w:rsidP="00A2187D">
            <w:pPr>
              <w:spacing w:after="0" w:line="259" w:lineRule="auto"/>
              <w:ind w:right="49"/>
              <w:jc w:val="center"/>
              <w:rPr>
                <w:rFonts w:ascii="Arial" w:eastAsia="Calibri" w:hAnsi="Arial" w:cs="Arial"/>
                <w:color w:val="000000"/>
                <w:sz w:val="18"/>
                <w:szCs w:val="18"/>
              </w:rPr>
            </w:pPr>
          </w:p>
        </w:tc>
        <w:tc>
          <w:tcPr>
            <w:tcW w:w="1134" w:type="dxa"/>
            <w:vMerge/>
          </w:tcPr>
          <w:p w:rsidR="00D57D61" w:rsidRPr="00A2187D" w:rsidRDefault="00D57D61" w:rsidP="00A2187D">
            <w:pPr>
              <w:spacing w:after="0" w:line="259" w:lineRule="auto"/>
              <w:ind w:right="49"/>
              <w:jc w:val="center"/>
              <w:rPr>
                <w:rFonts w:ascii="Arial" w:eastAsia="Calibri" w:hAnsi="Arial" w:cs="Arial"/>
                <w:color w:val="000000"/>
                <w:sz w:val="18"/>
                <w:szCs w:val="18"/>
              </w:rPr>
            </w:pPr>
          </w:p>
        </w:tc>
        <w:tc>
          <w:tcPr>
            <w:tcW w:w="1106" w:type="dxa"/>
            <w:vMerge/>
          </w:tcPr>
          <w:p w:rsidR="00D57D61" w:rsidRPr="00A2187D" w:rsidRDefault="00D57D61" w:rsidP="00A2187D">
            <w:pPr>
              <w:spacing w:after="0" w:line="259" w:lineRule="auto"/>
              <w:ind w:right="49"/>
              <w:jc w:val="center"/>
              <w:rPr>
                <w:rFonts w:ascii="Arial" w:eastAsia="Calibri" w:hAnsi="Arial" w:cs="Arial"/>
                <w:color w:val="000000"/>
                <w:sz w:val="18"/>
                <w:szCs w:val="18"/>
              </w:rPr>
            </w:pPr>
          </w:p>
        </w:tc>
      </w:tr>
    </w:tbl>
    <w:p w:rsidR="00150D31" w:rsidRDefault="00150D31" w:rsidP="00830DB6">
      <w:pPr>
        <w:spacing w:before="100" w:beforeAutospacing="1" w:after="100" w:afterAutospacing="1" w:line="240" w:lineRule="auto"/>
        <w:ind w:left="1440" w:hanging="629"/>
        <w:jc w:val="both"/>
        <w:rPr>
          <w:rFonts w:ascii="Arial" w:hAnsi="Arial" w:cs="Arial"/>
        </w:rPr>
      </w:pPr>
    </w:p>
    <w:p w:rsidR="00FC3F41" w:rsidRDefault="00830DB6" w:rsidP="003F2128">
      <w:pPr>
        <w:spacing w:before="100" w:beforeAutospacing="1" w:after="100" w:afterAutospacing="1" w:line="240" w:lineRule="auto"/>
        <w:ind w:left="2069" w:hanging="2211"/>
        <w:jc w:val="both"/>
        <w:rPr>
          <w:rFonts w:ascii="Arial" w:hAnsi="Arial" w:cs="Arial"/>
        </w:rPr>
      </w:pPr>
      <w:r w:rsidRPr="00830DB6">
        <w:rPr>
          <w:rFonts w:ascii="Arial" w:hAnsi="Arial" w:cs="Arial"/>
        </w:rPr>
        <w:t xml:space="preserve">(b) </w:t>
      </w:r>
    </w:p>
    <w:p w:rsidR="00FC3F41" w:rsidRPr="00FC3F41" w:rsidRDefault="00FC3F41" w:rsidP="00F05BC8">
      <w:pPr>
        <w:pStyle w:val="ListParagraph"/>
        <w:numPr>
          <w:ilvl w:val="2"/>
          <w:numId w:val="2"/>
        </w:numPr>
        <w:spacing w:before="100" w:beforeAutospacing="1" w:after="100" w:afterAutospacing="1" w:line="240" w:lineRule="auto"/>
        <w:ind w:left="284" w:hanging="284"/>
        <w:jc w:val="both"/>
        <w:rPr>
          <w:rFonts w:ascii="Arial" w:hAnsi="Arial" w:cs="Arial"/>
          <w:noProof/>
          <w:lang w:val="af-ZA"/>
        </w:rPr>
      </w:pPr>
      <w:r w:rsidRPr="00FC3F41">
        <w:rPr>
          <w:rFonts w:ascii="Arial" w:hAnsi="Arial" w:cs="Arial"/>
          <w:noProof/>
          <w:lang w:val="af-ZA"/>
        </w:rPr>
        <w:t>Unqualified audit report</w:t>
      </w:r>
      <w:r>
        <w:rPr>
          <w:rFonts w:ascii="Arial" w:hAnsi="Arial" w:cs="Arial"/>
          <w:noProof/>
          <w:lang w:val="af-ZA"/>
        </w:rPr>
        <w:t>;</w:t>
      </w:r>
    </w:p>
    <w:p w:rsidR="00FC3F41" w:rsidRPr="00FC3F41" w:rsidRDefault="00FC3F41" w:rsidP="00F05BC8">
      <w:pPr>
        <w:pStyle w:val="ListParagraph"/>
        <w:numPr>
          <w:ilvl w:val="2"/>
          <w:numId w:val="2"/>
        </w:numPr>
        <w:spacing w:before="100" w:beforeAutospacing="1" w:after="100" w:afterAutospacing="1" w:line="240" w:lineRule="auto"/>
        <w:ind w:left="284" w:hanging="284"/>
        <w:jc w:val="both"/>
        <w:rPr>
          <w:rFonts w:ascii="Arial" w:hAnsi="Arial" w:cs="Arial"/>
          <w:noProof/>
          <w:lang w:val="af-ZA"/>
        </w:rPr>
      </w:pPr>
      <w:r w:rsidRPr="00FC3F41">
        <w:rPr>
          <w:rFonts w:ascii="Arial" w:hAnsi="Arial" w:cs="Arial"/>
          <w:noProof/>
          <w:lang w:val="af-ZA"/>
        </w:rPr>
        <w:t>The Company must be deemed financially profitable, where financial profitability is determined by the C</w:t>
      </w:r>
      <w:r>
        <w:rPr>
          <w:rFonts w:ascii="Arial" w:hAnsi="Arial" w:cs="Arial"/>
          <w:noProof/>
          <w:lang w:val="af-ZA"/>
        </w:rPr>
        <w:t>ompany’s profit/loss after tax;</w:t>
      </w:r>
    </w:p>
    <w:p w:rsidR="00FC3F41" w:rsidRDefault="00FC3F41" w:rsidP="00F05BC8">
      <w:pPr>
        <w:pStyle w:val="ListParagraph"/>
        <w:numPr>
          <w:ilvl w:val="2"/>
          <w:numId w:val="2"/>
        </w:numPr>
        <w:spacing w:before="100" w:beforeAutospacing="1" w:after="100" w:afterAutospacing="1" w:line="240" w:lineRule="auto"/>
        <w:ind w:left="284" w:hanging="284"/>
        <w:jc w:val="both"/>
        <w:rPr>
          <w:rFonts w:ascii="Arial" w:hAnsi="Arial" w:cs="Arial"/>
          <w:noProof/>
          <w:lang w:val="af-ZA"/>
        </w:rPr>
      </w:pPr>
      <w:r w:rsidRPr="00FC3F41">
        <w:rPr>
          <w:rFonts w:ascii="Arial" w:hAnsi="Arial" w:cs="Arial"/>
          <w:noProof/>
          <w:lang w:val="af-ZA"/>
        </w:rPr>
        <w:t xml:space="preserve">The total Bonus Pool size is calculated based on 3% of EBITDA which is  dependent on the level of predetermined objectives being met. </w:t>
      </w:r>
    </w:p>
    <w:p w:rsidR="00FC3F41" w:rsidRPr="003F2128" w:rsidRDefault="00FC3F41" w:rsidP="00F05BC8">
      <w:pPr>
        <w:pStyle w:val="ListParagraph"/>
        <w:numPr>
          <w:ilvl w:val="2"/>
          <w:numId w:val="2"/>
        </w:numPr>
        <w:spacing w:before="100" w:beforeAutospacing="1" w:after="100" w:afterAutospacing="1" w:line="240" w:lineRule="auto"/>
        <w:ind w:left="284" w:hanging="284"/>
        <w:jc w:val="both"/>
        <w:rPr>
          <w:rFonts w:ascii="Arial" w:hAnsi="Arial" w:cs="Arial"/>
          <w:noProof/>
          <w:lang w:val="af-ZA"/>
        </w:rPr>
      </w:pPr>
      <w:r w:rsidRPr="00FC3F41">
        <w:rPr>
          <w:rFonts w:ascii="Arial" w:hAnsi="Arial" w:cs="Arial"/>
          <w:noProof/>
          <w:lang w:val="af-ZA"/>
        </w:rPr>
        <w:t xml:space="preserve">Seventy five percent (75%) achievement level of the set pre-determined objectives </w:t>
      </w:r>
      <w:r>
        <w:rPr>
          <w:rFonts w:ascii="Arial" w:hAnsi="Arial" w:cs="Arial"/>
          <w:noProof/>
          <w:lang w:val="af-ZA"/>
        </w:rPr>
        <w:t xml:space="preserve">is set a </w:t>
      </w:r>
      <w:r w:rsidRPr="00FC3F41">
        <w:rPr>
          <w:rFonts w:ascii="Arial" w:hAnsi="Arial" w:cs="Arial"/>
          <w:noProof/>
          <w:lang w:val="af-ZA"/>
        </w:rPr>
        <w:t xml:space="preserve">trigger </w:t>
      </w:r>
      <w:r>
        <w:rPr>
          <w:rFonts w:ascii="Arial" w:hAnsi="Arial" w:cs="Arial"/>
          <w:noProof/>
          <w:lang w:val="af-ZA"/>
        </w:rPr>
        <w:t xml:space="preserve">for </w:t>
      </w:r>
      <w:r w:rsidRPr="00FC3F41">
        <w:rPr>
          <w:rFonts w:ascii="Arial" w:hAnsi="Arial" w:cs="Arial"/>
          <w:noProof/>
          <w:lang w:val="af-ZA"/>
        </w:rPr>
        <w:t>performance bonus payments;</w:t>
      </w:r>
    </w:p>
    <w:p w:rsidR="00FC3F41" w:rsidRDefault="00830DB6" w:rsidP="003F2128">
      <w:pPr>
        <w:spacing w:before="100" w:beforeAutospacing="1" w:after="100" w:afterAutospacing="1" w:line="240" w:lineRule="auto"/>
        <w:ind w:left="2069" w:hanging="2069"/>
        <w:jc w:val="both"/>
        <w:rPr>
          <w:rFonts w:ascii="Arial" w:hAnsi="Arial" w:cs="Arial"/>
          <w:noProof/>
          <w:lang w:val="af-ZA"/>
        </w:rPr>
      </w:pPr>
      <w:r w:rsidRPr="00830DB6">
        <w:rPr>
          <w:rFonts w:ascii="Arial" w:hAnsi="Arial" w:cs="Arial"/>
        </w:rPr>
        <w:t xml:space="preserve">(c) </w:t>
      </w:r>
    </w:p>
    <w:p w:rsidR="00FC3F41" w:rsidRPr="00FC3F41" w:rsidRDefault="00F449D5" w:rsidP="00F05BC8">
      <w:pPr>
        <w:pStyle w:val="ListParagraph"/>
        <w:numPr>
          <w:ilvl w:val="0"/>
          <w:numId w:val="3"/>
        </w:numPr>
        <w:spacing w:before="100" w:beforeAutospacing="1" w:after="100" w:afterAutospacing="1" w:line="240" w:lineRule="auto"/>
        <w:ind w:left="284" w:hanging="284"/>
        <w:jc w:val="both"/>
        <w:rPr>
          <w:rFonts w:ascii="Arial" w:hAnsi="Arial" w:cs="Arial"/>
        </w:rPr>
      </w:pPr>
      <w:r>
        <w:rPr>
          <w:rFonts w:ascii="Arial" w:hAnsi="Arial" w:cs="Arial"/>
        </w:rPr>
        <w:t>All</w:t>
      </w:r>
      <w:r w:rsidR="00FC3F41" w:rsidRPr="00FC3F41">
        <w:rPr>
          <w:rFonts w:ascii="Arial" w:hAnsi="Arial" w:cs="Arial"/>
        </w:rPr>
        <w:t xml:space="preserve"> bonuses are approved by Airports Company South Africa Board.</w:t>
      </w:r>
    </w:p>
    <w:p w:rsidR="00FC3F41" w:rsidRDefault="00FC3F41" w:rsidP="00FC3F41">
      <w:pPr>
        <w:pStyle w:val="ListParagraph"/>
        <w:spacing w:before="100" w:beforeAutospacing="1" w:after="100" w:afterAutospacing="1" w:line="240" w:lineRule="auto"/>
        <w:ind w:left="2160"/>
        <w:jc w:val="both"/>
        <w:rPr>
          <w:rFonts w:ascii="Arial" w:hAnsi="Arial" w:cs="Arial"/>
        </w:rPr>
      </w:pPr>
    </w:p>
    <w:p w:rsidR="00525D63" w:rsidRDefault="00525D63" w:rsidP="00FC3F41">
      <w:pPr>
        <w:pStyle w:val="ListParagraph"/>
        <w:spacing w:before="100" w:beforeAutospacing="1" w:after="100" w:afterAutospacing="1" w:line="240" w:lineRule="auto"/>
        <w:ind w:left="2160"/>
        <w:jc w:val="both"/>
        <w:rPr>
          <w:rFonts w:ascii="Arial" w:hAnsi="Arial" w:cs="Arial"/>
        </w:rPr>
      </w:pPr>
    </w:p>
    <w:p w:rsidR="00525D63" w:rsidRDefault="00525D63" w:rsidP="00FC3F41">
      <w:pPr>
        <w:pStyle w:val="ListParagraph"/>
        <w:spacing w:before="100" w:beforeAutospacing="1" w:after="100" w:afterAutospacing="1" w:line="240" w:lineRule="auto"/>
        <w:ind w:left="2160"/>
        <w:jc w:val="both"/>
        <w:rPr>
          <w:rFonts w:ascii="Arial" w:hAnsi="Arial" w:cs="Arial"/>
        </w:rPr>
      </w:pPr>
    </w:p>
    <w:p w:rsidR="00525D63" w:rsidRDefault="00525D63" w:rsidP="00FC3F41">
      <w:pPr>
        <w:pStyle w:val="ListParagraph"/>
        <w:spacing w:before="100" w:beforeAutospacing="1" w:after="100" w:afterAutospacing="1" w:line="240" w:lineRule="auto"/>
        <w:ind w:left="2160"/>
        <w:jc w:val="both"/>
        <w:rPr>
          <w:rFonts w:ascii="Arial" w:hAnsi="Arial" w:cs="Arial"/>
        </w:rPr>
      </w:pPr>
    </w:p>
    <w:p w:rsidR="00525D63" w:rsidRDefault="00525D63" w:rsidP="00FC3F41">
      <w:pPr>
        <w:pStyle w:val="ListParagraph"/>
        <w:spacing w:before="100" w:beforeAutospacing="1" w:after="100" w:afterAutospacing="1" w:line="240" w:lineRule="auto"/>
        <w:ind w:left="2160"/>
        <w:jc w:val="both"/>
        <w:rPr>
          <w:rFonts w:ascii="Arial" w:hAnsi="Arial" w:cs="Arial"/>
        </w:rPr>
      </w:pPr>
    </w:p>
    <w:p w:rsidR="00525D63" w:rsidRDefault="00525D63" w:rsidP="00FC3F41">
      <w:pPr>
        <w:pStyle w:val="ListParagraph"/>
        <w:spacing w:before="100" w:beforeAutospacing="1" w:after="100" w:afterAutospacing="1" w:line="240" w:lineRule="auto"/>
        <w:ind w:left="2160"/>
        <w:jc w:val="both"/>
        <w:rPr>
          <w:rFonts w:ascii="Arial" w:hAnsi="Arial" w:cs="Arial"/>
        </w:rPr>
      </w:pPr>
    </w:p>
    <w:p w:rsidR="00525D63" w:rsidRPr="00FC3F41" w:rsidRDefault="00525D63" w:rsidP="00FC3F41">
      <w:pPr>
        <w:pStyle w:val="ListParagraph"/>
        <w:spacing w:before="100" w:beforeAutospacing="1" w:after="100" w:afterAutospacing="1" w:line="240" w:lineRule="auto"/>
        <w:ind w:left="2160"/>
        <w:jc w:val="both"/>
        <w:rPr>
          <w:rFonts w:ascii="Arial" w:hAnsi="Arial" w:cs="Arial"/>
        </w:rPr>
      </w:pPr>
    </w:p>
    <w:p w:rsidR="00922855" w:rsidRDefault="00922855" w:rsidP="00922855">
      <w:pPr>
        <w:spacing w:before="100" w:beforeAutospacing="1" w:after="100" w:afterAutospacing="1" w:line="240" w:lineRule="auto"/>
        <w:jc w:val="both"/>
        <w:rPr>
          <w:rFonts w:ascii="Arial" w:hAnsi="Arial" w:cs="Arial"/>
          <w:b/>
        </w:rPr>
      </w:pPr>
      <w:r w:rsidRPr="0035710E">
        <w:rPr>
          <w:rFonts w:ascii="Arial" w:hAnsi="Arial" w:cs="Arial"/>
          <w:b/>
        </w:rPr>
        <w:lastRenderedPageBreak/>
        <w:t>Air Traffic and Navigation Services SOC Limited (ATNS)</w:t>
      </w:r>
    </w:p>
    <w:p w:rsidR="00922855" w:rsidRPr="0035710E" w:rsidRDefault="00922855" w:rsidP="00922855">
      <w:pPr>
        <w:spacing w:before="100" w:beforeAutospacing="1" w:after="100" w:afterAutospacing="1" w:line="240" w:lineRule="auto"/>
        <w:jc w:val="both"/>
        <w:rPr>
          <w:rFonts w:ascii="Arial" w:hAnsi="Arial" w:cs="Arial"/>
          <w:b/>
        </w:rPr>
      </w:pPr>
    </w:p>
    <w:tbl>
      <w:tblPr>
        <w:tblStyle w:val="GridTable1LightAccent1"/>
        <w:tblW w:w="0" w:type="auto"/>
        <w:tblLook w:val="04A0" w:firstRow="1" w:lastRow="0" w:firstColumn="1" w:lastColumn="0" w:noHBand="0" w:noVBand="1"/>
      </w:tblPr>
      <w:tblGrid>
        <w:gridCol w:w="1432"/>
        <w:gridCol w:w="1437"/>
        <w:gridCol w:w="1437"/>
        <w:gridCol w:w="5358"/>
      </w:tblGrid>
      <w:tr w:rsidR="00922855" w:rsidTr="0092285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32" w:type="dxa"/>
          </w:tcPr>
          <w:p w:rsidR="00922855" w:rsidRDefault="00922855" w:rsidP="00922855">
            <w:pPr>
              <w:spacing w:before="100" w:beforeAutospacing="1" w:after="100" w:afterAutospacing="1"/>
              <w:jc w:val="both"/>
              <w:rPr>
                <w:rFonts w:ascii="Arial" w:hAnsi="Arial" w:cs="Arial"/>
              </w:rPr>
            </w:pPr>
            <w:r>
              <w:rPr>
                <w:rFonts w:ascii="Arial" w:hAnsi="Arial" w:cs="Arial"/>
              </w:rPr>
              <w:t>2015/16 FY</w:t>
            </w:r>
          </w:p>
        </w:tc>
        <w:tc>
          <w:tcPr>
            <w:tcW w:w="1437" w:type="dxa"/>
          </w:tcPr>
          <w:p w:rsidR="00922855" w:rsidRDefault="00922855" w:rsidP="0092285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2016/17 FY</w:t>
            </w:r>
          </w:p>
        </w:tc>
        <w:tc>
          <w:tcPr>
            <w:tcW w:w="1437" w:type="dxa"/>
          </w:tcPr>
          <w:p w:rsidR="00922855" w:rsidRDefault="00922855" w:rsidP="0092285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2017/18 FY</w:t>
            </w:r>
          </w:p>
        </w:tc>
        <w:tc>
          <w:tcPr>
            <w:tcW w:w="5358" w:type="dxa"/>
          </w:tcPr>
          <w:p w:rsidR="00922855" w:rsidRDefault="00922855" w:rsidP="00922855">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Notes</w:t>
            </w:r>
          </w:p>
        </w:tc>
      </w:tr>
      <w:tr w:rsidR="00922855" w:rsidTr="00922855">
        <w:trPr>
          <w:trHeight w:val="460"/>
        </w:trPr>
        <w:tc>
          <w:tcPr>
            <w:cnfStyle w:val="001000000000" w:firstRow="0" w:lastRow="0" w:firstColumn="1" w:lastColumn="0" w:oddVBand="0" w:evenVBand="0" w:oddHBand="0" w:evenHBand="0" w:firstRowFirstColumn="0" w:firstRowLastColumn="0" w:lastRowFirstColumn="0" w:lastRowLastColumn="0"/>
            <w:tcW w:w="1432" w:type="dxa"/>
          </w:tcPr>
          <w:p w:rsidR="00922855" w:rsidRDefault="00922855" w:rsidP="00922855">
            <w:pPr>
              <w:spacing w:before="100" w:beforeAutospacing="1" w:after="100" w:afterAutospacing="1"/>
              <w:jc w:val="both"/>
              <w:rPr>
                <w:rFonts w:ascii="Arial" w:hAnsi="Arial" w:cs="Arial"/>
              </w:rPr>
            </w:pPr>
          </w:p>
          <w:p w:rsidR="00922855" w:rsidRPr="00DD7EFF" w:rsidRDefault="00922855" w:rsidP="00922855">
            <w:pPr>
              <w:spacing w:before="100" w:beforeAutospacing="1" w:after="100" w:afterAutospacing="1"/>
              <w:jc w:val="both"/>
              <w:rPr>
                <w:rFonts w:ascii="Arial" w:hAnsi="Arial" w:cs="Arial"/>
                <w:b w:val="0"/>
              </w:rPr>
            </w:pPr>
            <w:r w:rsidRPr="00DD7EFF">
              <w:rPr>
                <w:rFonts w:ascii="Arial" w:hAnsi="Arial" w:cs="Arial"/>
                <w:b w:val="0"/>
              </w:rPr>
              <w:t>6.1%</w:t>
            </w:r>
          </w:p>
        </w:tc>
        <w:tc>
          <w:tcPr>
            <w:tcW w:w="1437" w:type="dxa"/>
          </w:tcPr>
          <w:p w:rsidR="00922855" w:rsidRDefault="00922855" w:rsidP="009228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22855" w:rsidRDefault="00922855" w:rsidP="009228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4.6%</w:t>
            </w:r>
          </w:p>
        </w:tc>
        <w:tc>
          <w:tcPr>
            <w:tcW w:w="1437" w:type="dxa"/>
          </w:tcPr>
          <w:p w:rsidR="00922855" w:rsidRDefault="00922855" w:rsidP="009228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922855" w:rsidRDefault="00922855" w:rsidP="009228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6.1%</w:t>
            </w:r>
          </w:p>
        </w:tc>
        <w:tc>
          <w:tcPr>
            <w:tcW w:w="5358" w:type="dxa"/>
          </w:tcPr>
          <w:p w:rsidR="00922855" w:rsidRPr="00DD7EFF" w:rsidRDefault="00922855" w:rsidP="0092285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D7EFF">
              <w:rPr>
                <w:rFonts w:ascii="Arial" w:hAnsi="Arial" w:cs="Arial"/>
              </w:rPr>
              <w:t>The remuneration increase is CPI related for both Bargaining Unit and Non-Bargaining Unit Employees,</w:t>
            </w:r>
          </w:p>
        </w:tc>
      </w:tr>
    </w:tbl>
    <w:p w:rsidR="00922855" w:rsidRPr="0035710E" w:rsidRDefault="00922855" w:rsidP="00922855">
      <w:pPr>
        <w:spacing w:before="100" w:beforeAutospacing="1" w:after="100" w:afterAutospacing="1" w:line="240" w:lineRule="auto"/>
        <w:jc w:val="both"/>
        <w:rPr>
          <w:rFonts w:ascii="Arial" w:hAnsi="Arial" w:cs="Arial"/>
        </w:rPr>
      </w:pPr>
      <w:r w:rsidRPr="0035710E">
        <w:rPr>
          <w:rFonts w:ascii="Arial" w:hAnsi="Arial" w:cs="Arial"/>
        </w:rPr>
        <w:t>(b)</w:t>
      </w:r>
      <w:r w:rsidRPr="00C22D50">
        <w:rPr>
          <w:rFonts w:ascii="Arial" w:hAnsi="Arial" w:cs="Arial"/>
          <w:b/>
        </w:rPr>
        <w:t xml:space="preserve"> </w:t>
      </w:r>
      <w:r w:rsidRPr="0035710E">
        <w:rPr>
          <w:rFonts w:ascii="Arial" w:hAnsi="Arial" w:cs="Arial"/>
        </w:rPr>
        <w:t xml:space="preserve"> </w:t>
      </w:r>
    </w:p>
    <w:p w:rsidR="00922855" w:rsidRDefault="00922855" w:rsidP="00922855">
      <w:pPr>
        <w:spacing w:before="100" w:beforeAutospacing="1" w:after="100" w:afterAutospacing="1" w:line="240" w:lineRule="auto"/>
        <w:ind w:left="720" w:hanging="720"/>
        <w:jc w:val="both"/>
        <w:rPr>
          <w:rFonts w:ascii="Arial" w:hAnsi="Arial" w:cs="Arial"/>
        </w:rPr>
      </w:pPr>
      <w:r>
        <w:rPr>
          <w:rFonts w:ascii="Arial" w:hAnsi="Arial" w:cs="Arial"/>
        </w:rPr>
        <w:t xml:space="preserve">- </w:t>
      </w:r>
      <w:r>
        <w:rPr>
          <w:rFonts w:ascii="Arial" w:hAnsi="Arial" w:cs="Arial"/>
        </w:rPr>
        <w:tab/>
        <w:t>Annual increases are linked to the employee’s performance score, employee’s placement in terms of their grade level of the position and years of experience.</w:t>
      </w:r>
    </w:p>
    <w:p w:rsidR="00922855" w:rsidRDefault="00922855" w:rsidP="00922855">
      <w:pPr>
        <w:spacing w:before="100" w:beforeAutospacing="1" w:after="100" w:afterAutospacing="1" w:line="240" w:lineRule="auto"/>
        <w:ind w:left="720" w:hanging="720"/>
        <w:jc w:val="both"/>
        <w:rPr>
          <w:rFonts w:ascii="Arial" w:hAnsi="Arial" w:cs="Arial"/>
        </w:rPr>
      </w:pPr>
      <w:r>
        <w:rPr>
          <w:rFonts w:ascii="Arial" w:hAnsi="Arial" w:cs="Arial"/>
        </w:rPr>
        <w:t xml:space="preserve">- </w:t>
      </w:r>
      <w:r>
        <w:rPr>
          <w:rFonts w:ascii="Arial" w:hAnsi="Arial" w:cs="Arial"/>
        </w:rPr>
        <w:tab/>
        <w:t>These principles are based on the collective salary agreements for the Bargaining Unit employees and Remuneration policy for Non-Bargaining Unit employees.</w:t>
      </w:r>
      <w:r>
        <w:rPr>
          <w:rFonts w:ascii="Arial" w:hAnsi="Arial" w:cs="Arial"/>
        </w:rPr>
        <w:tab/>
      </w:r>
    </w:p>
    <w:p w:rsidR="00922855" w:rsidRPr="0035710E" w:rsidRDefault="00922855" w:rsidP="00922855">
      <w:pPr>
        <w:spacing w:before="100" w:beforeAutospacing="1" w:after="100" w:afterAutospacing="1" w:line="240" w:lineRule="auto"/>
        <w:jc w:val="both"/>
        <w:rPr>
          <w:rFonts w:ascii="Arial" w:hAnsi="Arial" w:cs="Arial"/>
        </w:rPr>
      </w:pPr>
      <w:r w:rsidRPr="0035710E">
        <w:rPr>
          <w:rFonts w:ascii="Arial" w:hAnsi="Arial" w:cs="Arial"/>
        </w:rPr>
        <w:t>(c)</w:t>
      </w:r>
      <w:r w:rsidRPr="00C22D50">
        <w:rPr>
          <w:rFonts w:ascii="Arial" w:hAnsi="Arial" w:cs="Arial"/>
          <w:b/>
        </w:rPr>
        <w:t xml:space="preserve"> </w:t>
      </w:r>
    </w:p>
    <w:p w:rsidR="00922855" w:rsidRPr="00830DB6" w:rsidRDefault="00922855" w:rsidP="00922855">
      <w:pPr>
        <w:spacing w:before="100" w:beforeAutospacing="1" w:after="100" w:afterAutospacing="1" w:line="240" w:lineRule="auto"/>
        <w:jc w:val="both"/>
        <w:rPr>
          <w:rFonts w:ascii="Arial" w:hAnsi="Arial" w:cs="Arial"/>
        </w:rPr>
      </w:pPr>
      <w:r>
        <w:rPr>
          <w:rFonts w:ascii="Arial" w:hAnsi="Arial" w:cs="Arial"/>
        </w:rPr>
        <w:t>-</w:t>
      </w:r>
      <w:r>
        <w:rPr>
          <w:rFonts w:ascii="Arial" w:hAnsi="Arial" w:cs="Arial"/>
        </w:rPr>
        <w:tab/>
        <w:t>ATNS Board</w:t>
      </w:r>
    </w:p>
    <w:p w:rsidR="00922855" w:rsidRPr="0035710E" w:rsidRDefault="00922855" w:rsidP="00922855">
      <w:pPr>
        <w:spacing w:before="100" w:beforeAutospacing="1" w:after="100" w:afterAutospacing="1" w:line="240" w:lineRule="auto"/>
        <w:jc w:val="both"/>
        <w:rPr>
          <w:rFonts w:ascii="Arial" w:hAnsi="Arial" w:cs="Arial"/>
        </w:rPr>
      </w:pPr>
      <w:r w:rsidRPr="0035710E">
        <w:rPr>
          <w:rFonts w:ascii="Arial" w:hAnsi="Arial" w:cs="Arial"/>
        </w:rPr>
        <w:t>(2)</w:t>
      </w:r>
      <w:r w:rsidRPr="00225324">
        <w:rPr>
          <w:rFonts w:ascii="Arial" w:hAnsi="Arial" w:cs="Arial"/>
          <w:b/>
        </w:rPr>
        <w:tab/>
      </w:r>
      <w:r w:rsidRPr="0035710E">
        <w:rPr>
          <w:rFonts w:ascii="Arial" w:hAnsi="Arial" w:cs="Arial"/>
        </w:rPr>
        <w:t>(</w:t>
      </w:r>
      <w:proofErr w:type="gramStart"/>
      <w:r w:rsidRPr="0035710E">
        <w:rPr>
          <w:rFonts w:ascii="Arial" w:hAnsi="Arial" w:cs="Arial"/>
        </w:rPr>
        <w:t>a</w:t>
      </w:r>
      <w:proofErr w:type="gramEnd"/>
      <w:r w:rsidRPr="0035710E">
        <w:rPr>
          <w:rFonts w:ascii="Arial" w:hAnsi="Arial" w:cs="Arial"/>
        </w:rPr>
        <w:t xml:space="preserve">) what </w:t>
      </w:r>
      <w:r w:rsidRPr="0035710E">
        <w:rPr>
          <w:rFonts w:ascii="Arial" w:hAnsi="Arial" w:cs="Arial"/>
          <w:noProof/>
          <w:lang w:val="af-ZA"/>
        </w:rPr>
        <w:t>bonuses</w:t>
      </w:r>
      <w:r w:rsidRPr="0035710E">
        <w:rPr>
          <w:rFonts w:ascii="Arial" w:hAnsi="Arial" w:cs="Arial"/>
        </w:rPr>
        <w:t xml:space="preserve"> have been given in each grade of employee in the past three financial years, </w:t>
      </w:r>
    </w:p>
    <w:p w:rsidR="00922855" w:rsidRPr="0035710E" w:rsidRDefault="00922855" w:rsidP="00922855">
      <w:pPr>
        <w:spacing w:before="100" w:beforeAutospacing="1" w:after="100" w:afterAutospacing="1" w:line="240" w:lineRule="auto"/>
        <w:ind w:left="720" w:hanging="720"/>
        <w:jc w:val="both"/>
        <w:rPr>
          <w:rFonts w:ascii="Arial" w:hAnsi="Arial" w:cs="Arial"/>
        </w:rPr>
      </w:pPr>
      <w:r>
        <w:rPr>
          <w:rFonts w:ascii="Arial" w:hAnsi="Arial" w:cs="Arial"/>
          <w:b/>
        </w:rPr>
        <w:t xml:space="preserve">- </w:t>
      </w:r>
      <w:r>
        <w:rPr>
          <w:rFonts w:ascii="Arial" w:hAnsi="Arial" w:cs="Arial"/>
          <w:b/>
        </w:rPr>
        <w:tab/>
      </w:r>
      <w:r w:rsidRPr="00C22D50">
        <w:rPr>
          <w:rFonts w:ascii="Arial" w:hAnsi="Arial" w:cs="Arial"/>
        </w:rPr>
        <w:t xml:space="preserve">Only performance related bonuses have been paid to employees within the last three financial </w:t>
      </w:r>
      <w:r w:rsidRPr="0035710E">
        <w:rPr>
          <w:rFonts w:ascii="Arial" w:hAnsi="Arial" w:cs="Arial"/>
        </w:rPr>
        <w:t>years, which the Board approves annually.</w:t>
      </w:r>
    </w:p>
    <w:p w:rsidR="00922855" w:rsidRPr="0035710E" w:rsidRDefault="00922855" w:rsidP="00922855">
      <w:pPr>
        <w:spacing w:before="100" w:beforeAutospacing="1" w:after="100" w:afterAutospacing="1" w:line="240" w:lineRule="auto"/>
        <w:jc w:val="both"/>
        <w:rPr>
          <w:rFonts w:ascii="Arial" w:hAnsi="Arial" w:cs="Arial"/>
        </w:rPr>
      </w:pPr>
      <w:r w:rsidRPr="0035710E">
        <w:rPr>
          <w:rFonts w:ascii="Arial" w:hAnsi="Arial" w:cs="Arial"/>
        </w:rPr>
        <w:t>(b)</w:t>
      </w:r>
      <w:r w:rsidRPr="00225324">
        <w:rPr>
          <w:rFonts w:ascii="Arial" w:hAnsi="Arial" w:cs="Arial"/>
          <w:b/>
        </w:rPr>
        <w:t xml:space="preserve"> </w:t>
      </w:r>
      <w:r w:rsidRPr="0035710E">
        <w:rPr>
          <w:rFonts w:ascii="Arial" w:hAnsi="Arial" w:cs="Arial"/>
        </w:rPr>
        <w:t xml:space="preserve"> </w:t>
      </w:r>
    </w:p>
    <w:p w:rsidR="00922855" w:rsidRDefault="00922855" w:rsidP="00922855">
      <w:pPr>
        <w:spacing w:before="100" w:beforeAutospacing="1" w:after="100" w:afterAutospacing="1" w:line="240" w:lineRule="auto"/>
        <w:ind w:left="720" w:hanging="720"/>
        <w:jc w:val="both"/>
        <w:rPr>
          <w:rFonts w:ascii="Arial" w:hAnsi="Arial" w:cs="Arial"/>
        </w:rPr>
      </w:pPr>
      <w:r>
        <w:rPr>
          <w:rFonts w:ascii="Arial" w:hAnsi="Arial" w:cs="Arial"/>
        </w:rPr>
        <w:t xml:space="preserve">-         The criteria used </w:t>
      </w:r>
      <w:proofErr w:type="gramStart"/>
      <w:r>
        <w:rPr>
          <w:rFonts w:ascii="Arial" w:hAnsi="Arial" w:cs="Arial"/>
        </w:rPr>
        <w:t>is</w:t>
      </w:r>
      <w:proofErr w:type="gramEnd"/>
      <w:r>
        <w:rPr>
          <w:rFonts w:ascii="Arial" w:hAnsi="Arial" w:cs="Arial"/>
        </w:rPr>
        <w:t xml:space="preserve"> a combination of the company’s performance and individual employees level   of performance throughout the year of assessment.</w:t>
      </w:r>
    </w:p>
    <w:p w:rsidR="00922855" w:rsidRDefault="00922855" w:rsidP="00922855">
      <w:pPr>
        <w:spacing w:before="100" w:beforeAutospacing="1" w:after="100" w:afterAutospacing="1" w:line="240" w:lineRule="auto"/>
        <w:ind w:left="720" w:hanging="720"/>
        <w:jc w:val="both"/>
        <w:rPr>
          <w:rFonts w:ascii="Arial" w:hAnsi="Arial" w:cs="Arial"/>
        </w:rPr>
      </w:pPr>
      <w:r>
        <w:rPr>
          <w:rFonts w:ascii="Arial" w:hAnsi="Arial" w:cs="Arial"/>
        </w:rPr>
        <w:t xml:space="preserve">-       </w:t>
      </w:r>
      <w:r>
        <w:rPr>
          <w:rFonts w:ascii="Arial" w:hAnsi="Arial" w:cs="Arial"/>
        </w:rPr>
        <w:tab/>
        <w:t xml:space="preserve">The trigger for the </w:t>
      </w:r>
      <w:proofErr w:type="spellStart"/>
      <w:r>
        <w:rPr>
          <w:rFonts w:ascii="Arial" w:hAnsi="Arial" w:cs="Arial"/>
        </w:rPr>
        <w:t>organisation’s</w:t>
      </w:r>
      <w:proofErr w:type="spellEnd"/>
      <w:r>
        <w:rPr>
          <w:rFonts w:ascii="Arial" w:hAnsi="Arial" w:cs="Arial"/>
        </w:rPr>
        <w:t xml:space="preserve"> performance is a combination of set “qualifiers and modifiers for the bonus pool.</w:t>
      </w:r>
    </w:p>
    <w:p w:rsidR="00922855" w:rsidRPr="0035710E" w:rsidRDefault="00922855" w:rsidP="00922855">
      <w:pPr>
        <w:spacing w:before="100" w:beforeAutospacing="1" w:after="100" w:afterAutospacing="1" w:line="240" w:lineRule="auto"/>
        <w:ind w:left="720" w:hanging="720"/>
        <w:jc w:val="both"/>
        <w:rPr>
          <w:rFonts w:ascii="Arial" w:hAnsi="Arial" w:cs="Arial"/>
        </w:rPr>
      </w:pPr>
      <w:r>
        <w:rPr>
          <w:rFonts w:ascii="Arial" w:hAnsi="Arial" w:cs="Arial"/>
        </w:rPr>
        <w:t xml:space="preserve">-          The individual employee’s percentage is linked to the employee’s annual salary and grade level </w:t>
      </w:r>
      <w:r w:rsidRPr="0035710E">
        <w:rPr>
          <w:rFonts w:ascii="Arial" w:hAnsi="Arial" w:cs="Arial"/>
        </w:rPr>
        <w:t>of the position.</w:t>
      </w:r>
    </w:p>
    <w:p w:rsidR="00922855" w:rsidRPr="0035710E" w:rsidRDefault="00922855" w:rsidP="00922855">
      <w:pPr>
        <w:spacing w:before="100" w:beforeAutospacing="1" w:after="100" w:afterAutospacing="1" w:line="240" w:lineRule="auto"/>
        <w:jc w:val="both"/>
        <w:rPr>
          <w:rFonts w:ascii="Arial" w:hAnsi="Arial" w:cs="Arial"/>
          <w:noProof/>
          <w:lang w:val="af-ZA"/>
        </w:rPr>
      </w:pPr>
      <w:r w:rsidRPr="0035710E">
        <w:rPr>
          <w:rFonts w:ascii="Arial" w:hAnsi="Arial" w:cs="Arial"/>
        </w:rPr>
        <w:t>(c)</w:t>
      </w:r>
      <w:r w:rsidRPr="00225324">
        <w:rPr>
          <w:rFonts w:ascii="Arial" w:hAnsi="Arial" w:cs="Arial"/>
          <w:b/>
        </w:rPr>
        <w:t xml:space="preserve"> </w:t>
      </w:r>
      <w:r w:rsidRPr="0035710E">
        <w:rPr>
          <w:rFonts w:ascii="Arial" w:hAnsi="Arial" w:cs="Arial"/>
          <w:noProof/>
          <w:lang w:val="af-ZA"/>
        </w:rPr>
        <w:tab/>
      </w:r>
    </w:p>
    <w:p w:rsidR="00922855" w:rsidRPr="00545DA5" w:rsidRDefault="00922855" w:rsidP="00922855">
      <w:pPr>
        <w:spacing w:before="100" w:beforeAutospacing="1" w:after="100" w:afterAutospacing="1" w:line="240" w:lineRule="auto"/>
        <w:jc w:val="both"/>
        <w:rPr>
          <w:rFonts w:ascii="Arial" w:hAnsi="Arial" w:cs="Arial"/>
          <w:noProof/>
          <w:lang w:val="af-ZA"/>
        </w:rPr>
      </w:pPr>
      <w:r>
        <w:rPr>
          <w:rFonts w:ascii="Arial" w:hAnsi="Arial" w:cs="Arial"/>
          <w:noProof/>
          <w:lang w:val="af-ZA"/>
        </w:rPr>
        <w:t xml:space="preserve">- </w:t>
      </w:r>
      <w:r>
        <w:rPr>
          <w:rFonts w:ascii="Arial" w:hAnsi="Arial" w:cs="Arial"/>
          <w:noProof/>
          <w:lang w:val="af-ZA"/>
        </w:rPr>
        <w:tab/>
        <w:t>ATNS Board</w:t>
      </w:r>
    </w:p>
    <w:p w:rsidR="00FC3F41" w:rsidRDefault="00FC3F41" w:rsidP="00922855">
      <w:pPr>
        <w:spacing w:before="100" w:beforeAutospacing="1" w:after="100" w:afterAutospacing="1" w:line="240" w:lineRule="auto"/>
        <w:jc w:val="both"/>
        <w:rPr>
          <w:rFonts w:ascii="Arial" w:hAnsi="Arial" w:cs="Arial"/>
          <w:noProof/>
          <w:lang w:val="af-ZA"/>
        </w:rPr>
      </w:pPr>
    </w:p>
    <w:p w:rsidR="00FC3F41" w:rsidRDefault="00FC3F41" w:rsidP="00FC3F41">
      <w:pPr>
        <w:spacing w:before="100" w:beforeAutospacing="1" w:after="100" w:afterAutospacing="1" w:line="240" w:lineRule="auto"/>
        <w:ind w:left="2069" w:hanging="629"/>
        <w:jc w:val="both"/>
        <w:rPr>
          <w:rFonts w:ascii="Arial" w:hAnsi="Arial" w:cs="Arial"/>
          <w:noProof/>
          <w:lang w:val="af-ZA"/>
        </w:rPr>
      </w:pPr>
    </w:p>
    <w:p w:rsidR="00922855" w:rsidRDefault="00922855" w:rsidP="00922855">
      <w:pPr>
        <w:rPr>
          <w:rFonts w:ascii="Arial" w:hAnsi="Arial" w:cs="Arial"/>
          <w:b/>
          <w:lang w:val="en-ZA" w:eastAsia="x-none"/>
        </w:rPr>
      </w:pPr>
      <w:r>
        <w:rPr>
          <w:rFonts w:ascii="Arial" w:hAnsi="Arial" w:cs="Arial"/>
          <w:b/>
          <w:lang w:val="en-ZA" w:eastAsia="x-none"/>
        </w:rPr>
        <w:t>South African Civil Aviation Authority (SACAA)</w:t>
      </w:r>
    </w:p>
    <w:p w:rsidR="00922855" w:rsidRPr="00DF65F8" w:rsidRDefault="00922855" w:rsidP="00922855">
      <w:pPr>
        <w:spacing w:before="100" w:beforeAutospacing="1" w:after="100" w:afterAutospacing="1" w:line="240" w:lineRule="auto"/>
        <w:jc w:val="both"/>
        <w:rPr>
          <w:rFonts w:ascii="Arial" w:hAnsi="Arial" w:cs="Arial"/>
        </w:rPr>
      </w:pPr>
      <w:r w:rsidRPr="00DF65F8">
        <w:rPr>
          <w:rFonts w:ascii="Arial" w:hAnsi="Arial" w:cs="Arial"/>
          <w:lang w:val="en-ZA" w:eastAsia="x-none"/>
        </w:rPr>
        <w:t>(1)(</w:t>
      </w:r>
      <w:proofErr w:type="spellStart"/>
      <w:r w:rsidRPr="00DF65F8">
        <w:rPr>
          <w:rFonts w:ascii="Arial" w:hAnsi="Arial" w:cs="Arial"/>
          <w:lang w:val="en-ZA" w:eastAsia="x-none"/>
        </w:rPr>
        <w:t>i</w:t>
      </w:r>
      <w:proofErr w:type="spellEnd"/>
      <w:r w:rsidRPr="00DF65F8">
        <w:rPr>
          <w:rFonts w:ascii="Arial" w:hAnsi="Arial" w:cs="Arial"/>
          <w:lang w:val="en-ZA" w:eastAsia="x-none"/>
        </w:rPr>
        <w:t>) N/A (1)(a)(ii) The South African Civil Aviation Authority granted t</w:t>
      </w:r>
      <w:r w:rsidRPr="00DF65F8">
        <w:rPr>
          <w:rFonts w:ascii="Arial" w:hAnsi="Arial" w:cs="Arial"/>
        </w:rPr>
        <w:t xml:space="preserve">he following salary increases </w:t>
      </w:r>
      <w:r>
        <w:rPr>
          <w:rFonts w:ascii="Arial" w:hAnsi="Arial" w:cs="Arial"/>
        </w:rPr>
        <w:t xml:space="preserve">that </w:t>
      </w:r>
      <w:r w:rsidRPr="00DF65F8">
        <w:rPr>
          <w:rFonts w:ascii="Arial" w:hAnsi="Arial" w:cs="Arial"/>
        </w:rPr>
        <w:t xml:space="preserve">were applied across the entire </w:t>
      </w:r>
      <w:proofErr w:type="spellStart"/>
      <w:r w:rsidRPr="00DF65F8">
        <w:rPr>
          <w:rFonts w:ascii="Arial" w:hAnsi="Arial" w:cs="Arial"/>
        </w:rPr>
        <w:t>organisation</w:t>
      </w:r>
      <w:proofErr w:type="spellEnd"/>
      <w:r w:rsidRPr="00DF65F8">
        <w:rPr>
          <w:rFonts w:ascii="Arial" w:hAnsi="Arial" w:cs="Arial"/>
        </w:rPr>
        <w:t xml:space="preserve"> to all eligible employees in line with the </w:t>
      </w:r>
      <w:proofErr w:type="spellStart"/>
      <w:r>
        <w:rPr>
          <w:rFonts w:ascii="Arial" w:hAnsi="Arial" w:cs="Arial"/>
        </w:rPr>
        <w:t>organsiationa’s</w:t>
      </w:r>
      <w:proofErr w:type="spellEnd"/>
      <w:r w:rsidRPr="00DF65F8">
        <w:rPr>
          <w:rFonts w:ascii="Arial" w:hAnsi="Arial" w:cs="Arial"/>
        </w:rPr>
        <w:t xml:space="preserve"> remuneration policy: </w:t>
      </w:r>
    </w:p>
    <w:p w:rsidR="00922855" w:rsidRPr="00DF65F8" w:rsidRDefault="00922855" w:rsidP="00F05BC8">
      <w:pPr>
        <w:pStyle w:val="ListParagraph"/>
        <w:numPr>
          <w:ilvl w:val="0"/>
          <w:numId w:val="10"/>
        </w:numPr>
        <w:spacing w:before="100" w:beforeAutospacing="1" w:after="100" w:afterAutospacing="1" w:line="240" w:lineRule="auto"/>
        <w:ind w:left="284" w:hanging="284"/>
        <w:jc w:val="both"/>
        <w:rPr>
          <w:rFonts w:ascii="Arial" w:hAnsi="Arial" w:cs="Arial"/>
        </w:rPr>
      </w:pPr>
      <w:r w:rsidRPr="00DF65F8">
        <w:rPr>
          <w:rFonts w:ascii="Arial" w:hAnsi="Arial" w:cs="Arial"/>
        </w:rPr>
        <w:t>2015/16 – 7.1%</w:t>
      </w:r>
    </w:p>
    <w:p w:rsidR="00922855" w:rsidRPr="00DF65F8" w:rsidRDefault="00922855" w:rsidP="00F05BC8">
      <w:pPr>
        <w:pStyle w:val="ListParagraph"/>
        <w:numPr>
          <w:ilvl w:val="0"/>
          <w:numId w:val="10"/>
        </w:numPr>
        <w:spacing w:before="100" w:beforeAutospacing="1" w:after="100" w:afterAutospacing="1" w:line="240" w:lineRule="auto"/>
        <w:ind w:left="284" w:hanging="284"/>
        <w:jc w:val="both"/>
        <w:rPr>
          <w:rFonts w:ascii="Arial" w:hAnsi="Arial" w:cs="Arial"/>
        </w:rPr>
      </w:pPr>
      <w:r w:rsidRPr="00DF65F8">
        <w:rPr>
          <w:rFonts w:ascii="Arial" w:hAnsi="Arial" w:cs="Arial"/>
        </w:rPr>
        <w:t>2016/17 – 7.8%</w:t>
      </w:r>
    </w:p>
    <w:p w:rsidR="00922855" w:rsidRPr="00DF65F8" w:rsidRDefault="00922855" w:rsidP="00F05BC8">
      <w:pPr>
        <w:pStyle w:val="ListParagraph"/>
        <w:numPr>
          <w:ilvl w:val="0"/>
          <w:numId w:val="10"/>
        </w:numPr>
        <w:spacing w:before="100" w:beforeAutospacing="1" w:after="100" w:afterAutospacing="1" w:line="240" w:lineRule="auto"/>
        <w:ind w:left="284" w:hanging="284"/>
        <w:jc w:val="both"/>
        <w:rPr>
          <w:rFonts w:ascii="Arial" w:hAnsi="Arial" w:cs="Arial"/>
        </w:rPr>
      </w:pPr>
      <w:r w:rsidRPr="00DF65F8">
        <w:rPr>
          <w:rFonts w:ascii="Arial" w:hAnsi="Arial" w:cs="Arial"/>
        </w:rPr>
        <w:t xml:space="preserve">2017/18 – 7.7% </w:t>
      </w:r>
    </w:p>
    <w:p w:rsidR="00922855" w:rsidRDefault="00922855" w:rsidP="00922855">
      <w:pPr>
        <w:spacing w:before="100" w:beforeAutospacing="1" w:after="100" w:afterAutospacing="1" w:line="240" w:lineRule="auto"/>
        <w:jc w:val="both"/>
        <w:rPr>
          <w:rFonts w:ascii="Arial" w:hAnsi="Arial" w:cs="Arial"/>
        </w:rPr>
      </w:pPr>
      <w:r w:rsidRPr="00DF65F8">
        <w:rPr>
          <w:rFonts w:ascii="Arial" w:hAnsi="Arial" w:cs="Arial"/>
          <w:lang w:val="en-ZA" w:eastAsia="x-none"/>
        </w:rPr>
        <w:lastRenderedPageBreak/>
        <w:t xml:space="preserve">(1)(b) </w:t>
      </w:r>
      <w:r>
        <w:rPr>
          <w:rFonts w:ascii="Arial" w:hAnsi="Arial" w:cs="Arial"/>
          <w:lang w:val="en-ZA" w:eastAsia="x-none"/>
        </w:rPr>
        <w:t xml:space="preserve">The </w:t>
      </w:r>
      <w:r w:rsidRPr="00DF65F8">
        <w:rPr>
          <w:rFonts w:ascii="Arial" w:hAnsi="Arial" w:cs="Arial"/>
        </w:rPr>
        <w:t>National Treasury Guidelines</w:t>
      </w:r>
      <w:r>
        <w:rPr>
          <w:rFonts w:ascii="Arial" w:hAnsi="Arial" w:cs="Arial"/>
        </w:rPr>
        <w:t xml:space="preserve"> were applied across the </w:t>
      </w:r>
      <w:proofErr w:type="spellStart"/>
      <w:r>
        <w:rPr>
          <w:rFonts w:ascii="Arial" w:hAnsi="Arial" w:cs="Arial"/>
        </w:rPr>
        <w:t>organis</w:t>
      </w:r>
      <w:r w:rsidRPr="00DF65F8">
        <w:rPr>
          <w:rFonts w:ascii="Arial" w:hAnsi="Arial" w:cs="Arial"/>
        </w:rPr>
        <w:t>ation</w:t>
      </w:r>
      <w:proofErr w:type="spellEnd"/>
      <w:r w:rsidRPr="00DF65F8">
        <w:rPr>
          <w:rFonts w:ascii="Arial" w:hAnsi="Arial" w:cs="Arial"/>
        </w:rPr>
        <w:t>.</w:t>
      </w:r>
      <w:r>
        <w:rPr>
          <w:rFonts w:ascii="Arial" w:hAnsi="Arial" w:cs="Arial"/>
        </w:rPr>
        <w:t xml:space="preserve"> (c) </w:t>
      </w:r>
      <w:r w:rsidRPr="00DF65F8">
        <w:rPr>
          <w:rFonts w:ascii="Arial" w:hAnsi="Arial" w:cs="Arial"/>
        </w:rPr>
        <w:t>The SACAA Board approved all the salary increases</w:t>
      </w:r>
      <w:r>
        <w:rPr>
          <w:rFonts w:ascii="Arial" w:hAnsi="Arial" w:cs="Arial"/>
        </w:rPr>
        <w:t>.</w:t>
      </w:r>
    </w:p>
    <w:p w:rsidR="00922855" w:rsidRPr="00DF65F8" w:rsidRDefault="00922855" w:rsidP="00922855">
      <w:pPr>
        <w:spacing w:before="100" w:beforeAutospacing="1" w:after="100" w:afterAutospacing="1" w:line="240" w:lineRule="auto"/>
        <w:jc w:val="both"/>
        <w:rPr>
          <w:rFonts w:ascii="Arial" w:hAnsi="Arial" w:cs="Arial"/>
          <w:noProof/>
          <w:lang w:val="af-ZA"/>
        </w:rPr>
      </w:pPr>
      <w:r w:rsidRPr="00DF65F8">
        <w:rPr>
          <w:rFonts w:ascii="Arial" w:hAnsi="Arial" w:cs="Arial"/>
        </w:rPr>
        <w:t xml:space="preserve">(2)(a) Performance based bonuses were paid to all eligible employees in line with company’s Remuneration Policy.  </w:t>
      </w:r>
      <w:r>
        <w:rPr>
          <w:rFonts w:ascii="Arial" w:hAnsi="Arial" w:cs="Arial"/>
        </w:rPr>
        <w:t xml:space="preserve">(b) </w:t>
      </w:r>
      <w:r w:rsidRPr="00DF65F8">
        <w:rPr>
          <w:rFonts w:ascii="Arial" w:hAnsi="Arial" w:cs="Arial"/>
        </w:rPr>
        <w:t>Performance bonuses were based o</w:t>
      </w:r>
      <w:r>
        <w:rPr>
          <w:rFonts w:ascii="Arial" w:hAnsi="Arial" w:cs="Arial"/>
        </w:rPr>
        <w:t xml:space="preserve">n the performance of the </w:t>
      </w:r>
      <w:proofErr w:type="spellStart"/>
      <w:r>
        <w:rPr>
          <w:rFonts w:ascii="Arial" w:hAnsi="Arial" w:cs="Arial"/>
        </w:rPr>
        <w:t>organis</w:t>
      </w:r>
      <w:r w:rsidRPr="00DF65F8">
        <w:rPr>
          <w:rFonts w:ascii="Arial" w:hAnsi="Arial" w:cs="Arial"/>
        </w:rPr>
        <w:t>ation</w:t>
      </w:r>
      <w:proofErr w:type="spellEnd"/>
      <w:r w:rsidRPr="00DF65F8">
        <w:rPr>
          <w:rFonts w:ascii="Arial" w:hAnsi="Arial" w:cs="Arial"/>
        </w:rPr>
        <w:t>, individual employee performance, affordability and Board approval as per the company’s remuneration policy</w:t>
      </w:r>
      <w:r>
        <w:rPr>
          <w:rFonts w:ascii="Arial" w:hAnsi="Arial" w:cs="Arial"/>
          <w:b/>
        </w:rPr>
        <w:t xml:space="preserve"> </w:t>
      </w:r>
      <w:r w:rsidRPr="00AE7C69">
        <w:rPr>
          <w:rFonts w:ascii="Arial" w:hAnsi="Arial" w:cs="Arial"/>
        </w:rPr>
        <w:t>(</w:t>
      </w:r>
      <w:r w:rsidRPr="00DF65F8">
        <w:rPr>
          <w:rFonts w:ascii="Arial" w:hAnsi="Arial" w:cs="Arial"/>
        </w:rPr>
        <w:t xml:space="preserve">c) </w:t>
      </w:r>
      <w:r w:rsidRPr="00DF65F8">
        <w:rPr>
          <w:rFonts w:ascii="Arial" w:hAnsi="Arial" w:cs="Arial"/>
          <w:noProof/>
          <w:lang w:val="af-ZA"/>
        </w:rPr>
        <w:t xml:space="preserve">The SACAA Board approved </w:t>
      </w:r>
      <w:r>
        <w:rPr>
          <w:rFonts w:ascii="Arial" w:hAnsi="Arial" w:cs="Arial"/>
          <w:noProof/>
          <w:lang w:val="af-ZA"/>
        </w:rPr>
        <w:t xml:space="preserve">the payment of </w:t>
      </w:r>
      <w:r w:rsidRPr="00DF65F8">
        <w:rPr>
          <w:rFonts w:ascii="Arial" w:hAnsi="Arial" w:cs="Arial"/>
          <w:noProof/>
          <w:lang w:val="af-ZA"/>
        </w:rPr>
        <w:t>all perfomance bonuses</w:t>
      </w:r>
      <w:r>
        <w:rPr>
          <w:rFonts w:ascii="Arial" w:hAnsi="Arial" w:cs="Arial"/>
          <w:noProof/>
          <w:lang w:val="af-ZA"/>
        </w:rPr>
        <w:t xml:space="preserve"> as per the organisation’s Remuneration Policy.</w:t>
      </w:r>
    </w:p>
    <w:p w:rsidR="00922855" w:rsidRPr="005531E3" w:rsidRDefault="00922855" w:rsidP="00922855">
      <w:pPr>
        <w:spacing w:before="100" w:beforeAutospacing="1" w:after="100" w:afterAutospacing="1" w:line="240" w:lineRule="auto"/>
        <w:jc w:val="both"/>
        <w:rPr>
          <w:rFonts w:ascii="Arial" w:hAnsi="Arial" w:cs="Arial"/>
          <w:b/>
        </w:rPr>
      </w:pPr>
      <w:r w:rsidRPr="00DF1917">
        <w:rPr>
          <w:rFonts w:ascii="Arial" w:hAnsi="Arial" w:cs="Arial"/>
          <w:b/>
        </w:rPr>
        <w:t>RTIA</w:t>
      </w:r>
    </w:p>
    <w:p w:rsidR="00922855" w:rsidRPr="005531E3" w:rsidRDefault="00922855" w:rsidP="00F05BC8">
      <w:pPr>
        <w:pStyle w:val="ListParagraph"/>
        <w:numPr>
          <w:ilvl w:val="0"/>
          <w:numId w:val="19"/>
        </w:numPr>
        <w:spacing w:before="100" w:beforeAutospacing="1" w:after="100" w:afterAutospacing="1" w:line="240" w:lineRule="auto"/>
        <w:jc w:val="both"/>
        <w:rPr>
          <w:rFonts w:ascii="Arial" w:hAnsi="Arial" w:cs="Arial"/>
        </w:rPr>
      </w:pPr>
      <w:r w:rsidRPr="005531E3">
        <w:rPr>
          <w:rFonts w:ascii="Arial" w:hAnsi="Arial" w:cs="Arial"/>
        </w:rPr>
        <w:t>(a) (</w:t>
      </w:r>
      <w:proofErr w:type="gramStart"/>
      <w:r w:rsidRPr="005531E3">
        <w:rPr>
          <w:rFonts w:ascii="Arial" w:hAnsi="Arial" w:cs="Arial"/>
        </w:rPr>
        <w:t>ii</w:t>
      </w:r>
      <w:proofErr w:type="gramEnd"/>
      <w:r w:rsidRPr="005531E3">
        <w:rPr>
          <w:rFonts w:ascii="Arial" w:hAnsi="Arial" w:cs="Arial"/>
        </w:rPr>
        <w:t xml:space="preserve">) All salary increases that took place for the past three financial years were in accordance with DPSA cost of living adjustments indicated in the PSCBC Multi-year resolution. See below table salary increases that took place; </w:t>
      </w:r>
    </w:p>
    <w:p w:rsidR="00922855" w:rsidRDefault="00922855" w:rsidP="00922855">
      <w:pPr>
        <w:pStyle w:val="ListParagraph"/>
        <w:spacing w:before="100" w:beforeAutospacing="1" w:after="100" w:afterAutospacing="1" w:line="240" w:lineRule="auto"/>
        <w:ind w:left="1171"/>
        <w:jc w:val="both"/>
        <w:rPr>
          <w:rFonts w:ascii="Arial" w:hAnsi="Arial" w:cs="Arial"/>
        </w:rPr>
      </w:pPr>
    </w:p>
    <w:p w:rsidR="00922855" w:rsidRDefault="00922855" w:rsidP="00922855">
      <w:pPr>
        <w:spacing w:before="100" w:beforeAutospacing="1" w:after="100" w:afterAutospacing="1" w:line="240" w:lineRule="auto"/>
        <w:ind w:left="1440" w:hanging="629"/>
        <w:jc w:val="right"/>
        <w:rPr>
          <w:rFonts w:ascii="Arial" w:hAnsi="Arial" w:cs="Arial"/>
        </w:rPr>
      </w:pPr>
      <w:r w:rsidRPr="00592A09">
        <w:rPr>
          <w:noProof/>
          <w:lang w:val="en-ZA" w:eastAsia="en-ZA"/>
        </w:rPr>
        <w:drawing>
          <wp:inline distT="0" distB="0" distL="0" distR="0" wp14:anchorId="243FB89B" wp14:editId="3B99E973">
            <wp:extent cx="536257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3629025"/>
                    </a:xfrm>
                    <a:prstGeom prst="rect">
                      <a:avLst/>
                    </a:prstGeom>
                    <a:noFill/>
                    <a:ln>
                      <a:noFill/>
                    </a:ln>
                  </pic:spPr>
                </pic:pic>
              </a:graphicData>
            </a:graphic>
          </wp:inline>
        </w:drawing>
      </w:r>
    </w:p>
    <w:p w:rsidR="00922855" w:rsidRDefault="00922855" w:rsidP="00F05BC8">
      <w:pPr>
        <w:pStyle w:val="ListParagraph"/>
        <w:numPr>
          <w:ilvl w:val="0"/>
          <w:numId w:val="11"/>
        </w:numPr>
        <w:spacing w:before="100" w:beforeAutospacing="1" w:after="100" w:afterAutospacing="1" w:line="240" w:lineRule="auto"/>
        <w:jc w:val="both"/>
        <w:rPr>
          <w:rFonts w:ascii="Arial" w:hAnsi="Arial" w:cs="Arial"/>
        </w:rPr>
      </w:pPr>
      <w:r>
        <w:rPr>
          <w:rFonts w:ascii="Arial" w:hAnsi="Arial" w:cs="Arial"/>
        </w:rPr>
        <w:t>The salary increases were in line with PSCBC Resolutions for Salary Levels 1-12 were as follows:</w:t>
      </w:r>
    </w:p>
    <w:p w:rsidR="00922855" w:rsidRDefault="00922855" w:rsidP="00922855">
      <w:pPr>
        <w:pStyle w:val="ListParagraph"/>
        <w:spacing w:before="100" w:beforeAutospacing="1" w:after="100" w:afterAutospacing="1" w:line="240" w:lineRule="auto"/>
        <w:jc w:val="both"/>
        <w:rPr>
          <w:rFonts w:ascii="Arial" w:hAnsi="Arial" w:cs="Arial"/>
        </w:rPr>
      </w:pPr>
    </w:p>
    <w:p w:rsidR="00922855" w:rsidRDefault="00922855" w:rsidP="00F05BC8">
      <w:pPr>
        <w:pStyle w:val="ListParagraph"/>
        <w:numPr>
          <w:ilvl w:val="0"/>
          <w:numId w:val="17"/>
        </w:numPr>
        <w:spacing w:before="100" w:beforeAutospacing="1" w:after="100" w:afterAutospacing="1" w:line="240" w:lineRule="auto"/>
        <w:jc w:val="both"/>
        <w:rPr>
          <w:rFonts w:ascii="Arial" w:hAnsi="Arial" w:cs="Arial"/>
        </w:rPr>
      </w:pPr>
      <w:r>
        <w:rPr>
          <w:rFonts w:ascii="Arial" w:hAnsi="Arial" w:cs="Arial"/>
        </w:rPr>
        <w:t>Year 2015=7%</w:t>
      </w:r>
    </w:p>
    <w:p w:rsidR="00922855" w:rsidRDefault="00922855" w:rsidP="00F05BC8">
      <w:pPr>
        <w:pStyle w:val="ListParagraph"/>
        <w:numPr>
          <w:ilvl w:val="0"/>
          <w:numId w:val="17"/>
        </w:numPr>
        <w:spacing w:before="100" w:beforeAutospacing="1" w:after="100" w:afterAutospacing="1" w:line="240" w:lineRule="auto"/>
        <w:jc w:val="both"/>
        <w:rPr>
          <w:rFonts w:ascii="Arial" w:hAnsi="Arial" w:cs="Arial"/>
        </w:rPr>
      </w:pPr>
      <w:r>
        <w:rPr>
          <w:rFonts w:ascii="Arial" w:hAnsi="Arial" w:cs="Arial"/>
        </w:rPr>
        <w:t>Year 2016=7.6</w:t>
      </w:r>
    </w:p>
    <w:p w:rsidR="00922855" w:rsidRDefault="00922855" w:rsidP="00F05BC8">
      <w:pPr>
        <w:pStyle w:val="ListParagraph"/>
        <w:numPr>
          <w:ilvl w:val="0"/>
          <w:numId w:val="17"/>
        </w:numPr>
        <w:spacing w:before="100" w:beforeAutospacing="1" w:after="100" w:afterAutospacing="1" w:line="240" w:lineRule="auto"/>
        <w:jc w:val="both"/>
        <w:rPr>
          <w:rFonts w:ascii="Arial" w:hAnsi="Arial" w:cs="Arial"/>
        </w:rPr>
      </w:pPr>
      <w:r>
        <w:rPr>
          <w:rFonts w:ascii="Arial" w:hAnsi="Arial" w:cs="Arial"/>
        </w:rPr>
        <w:t>Year 2017=7.3%</w:t>
      </w:r>
    </w:p>
    <w:p w:rsidR="00922855" w:rsidRDefault="00922855" w:rsidP="00922855">
      <w:pPr>
        <w:spacing w:before="100" w:beforeAutospacing="1" w:after="100" w:afterAutospacing="1" w:line="240" w:lineRule="auto"/>
        <w:ind w:firstLine="720"/>
        <w:jc w:val="both"/>
        <w:rPr>
          <w:rFonts w:ascii="Arial" w:hAnsi="Arial" w:cs="Arial"/>
        </w:rPr>
      </w:pPr>
    </w:p>
    <w:p w:rsidR="00922855" w:rsidRDefault="00922855" w:rsidP="00922855">
      <w:pPr>
        <w:spacing w:before="100" w:beforeAutospacing="1" w:after="100" w:afterAutospacing="1" w:line="240" w:lineRule="auto"/>
        <w:ind w:firstLine="720"/>
        <w:jc w:val="both"/>
        <w:rPr>
          <w:rFonts w:ascii="Arial" w:hAnsi="Arial" w:cs="Arial"/>
        </w:rPr>
      </w:pPr>
    </w:p>
    <w:p w:rsidR="00922855" w:rsidRDefault="00922855" w:rsidP="00922855">
      <w:pPr>
        <w:spacing w:before="100" w:beforeAutospacing="1" w:after="100" w:afterAutospacing="1" w:line="240" w:lineRule="auto"/>
        <w:ind w:firstLine="720"/>
        <w:jc w:val="both"/>
        <w:rPr>
          <w:rFonts w:ascii="Arial" w:hAnsi="Arial" w:cs="Arial"/>
        </w:rPr>
      </w:pPr>
      <w:r w:rsidRPr="00FB4C11">
        <w:rPr>
          <w:rFonts w:ascii="Arial" w:hAnsi="Arial" w:cs="Arial"/>
        </w:rPr>
        <w:t>The sal</w:t>
      </w:r>
      <w:r>
        <w:rPr>
          <w:rFonts w:ascii="Arial" w:hAnsi="Arial" w:cs="Arial"/>
        </w:rPr>
        <w:t>ary increases for SMS members, L</w:t>
      </w:r>
      <w:r w:rsidRPr="00FB4C11">
        <w:rPr>
          <w:rFonts w:ascii="Arial" w:hAnsi="Arial" w:cs="Arial"/>
        </w:rPr>
        <w:t>evels 13-16</w:t>
      </w:r>
      <w:r>
        <w:rPr>
          <w:rFonts w:ascii="Arial" w:hAnsi="Arial" w:cs="Arial"/>
        </w:rPr>
        <w:t xml:space="preserve"> were as follows</w:t>
      </w:r>
      <w:r w:rsidRPr="00FB4C11">
        <w:rPr>
          <w:rFonts w:ascii="Arial" w:hAnsi="Arial" w:cs="Arial"/>
        </w:rPr>
        <w:t>:</w:t>
      </w:r>
    </w:p>
    <w:p w:rsidR="00922855" w:rsidRPr="00FB4C11" w:rsidRDefault="00922855" w:rsidP="00F05BC8">
      <w:pPr>
        <w:pStyle w:val="ListParagraph"/>
        <w:numPr>
          <w:ilvl w:val="0"/>
          <w:numId w:val="18"/>
        </w:numPr>
        <w:spacing w:before="100" w:beforeAutospacing="1" w:after="100" w:afterAutospacing="1" w:line="240" w:lineRule="auto"/>
        <w:jc w:val="both"/>
        <w:rPr>
          <w:rFonts w:ascii="Arial" w:hAnsi="Arial" w:cs="Arial"/>
        </w:rPr>
      </w:pPr>
      <w:r w:rsidRPr="00FB4C11">
        <w:rPr>
          <w:rFonts w:ascii="Arial" w:hAnsi="Arial" w:cs="Arial"/>
        </w:rPr>
        <w:t>Year 2015=5.5% level 13-16</w:t>
      </w:r>
    </w:p>
    <w:p w:rsidR="00922855" w:rsidRDefault="00922855" w:rsidP="00F05BC8">
      <w:pPr>
        <w:pStyle w:val="ListParagraph"/>
        <w:numPr>
          <w:ilvl w:val="0"/>
          <w:numId w:val="18"/>
        </w:numPr>
        <w:spacing w:after="100" w:afterAutospacing="1" w:line="240" w:lineRule="auto"/>
        <w:jc w:val="both"/>
        <w:rPr>
          <w:rFonts w:ascii="Arial" w:hAnsi="Arial" w:cs="Arial"/>
        </w:rPr>
      </w:pPr>
      <w:r>
        <w:rPr>
          <w:rFonts w:ascii="Arial" w:hAnsi="Arial" w:cs="Arial"/>
        </w:rPr>
        <w:t>Year 2016=4% level 13, 2.5% level 14 and 2.0% level 16</w:t>
      </w:r>
    </w:p>
    <w:p w:rsidR="00922855" w:rsidRDefault="00922855" w:rsidP="00F05BC8">
      <w:pPr>
        <w:pStyle w:val="ListParagraph"/>
        <w:numPr>
          <w:ilvl w:val="0"/>
          <w:numId w:val="18"/>
        </w:numPr>
        <w:spacing w:after="100" w:afterAutospacing="1" w:line="240" w:lineRule="auto"/>
        <w:jc w:val="both"/>
        <w:rPr>
          <w:rFonts w:ascii="Arial" w:hAnsi="Arial" w:cs="Arial"/>
        </w:rPr>
      </w:pPr>
      <w:r>
        <w:rPr>
          <w:rFonts w:ascii="Arial" w:hAnsi="Arial" w:cs="Arial"/>
        </w:rPr>
        <w:t xml:space="preserve">Year </w:t>
      </w:r>
      <w:r w:rsidRPr="00592A09">
        <w:rPr>
          <w:rFonts w:ascii="Arial" w:hAnsi="Arial" w:cs="Arial"/>
        </w:rPr>
        <w:t>2017=</w:t>
      </w:r>
      <w:r>
        <w:rPr>
          <w:rFonts w:ascii="Arial" w:hAnsi="Arial" w:cs="Arial"/>
        </w:rPr>
        <w:t>5.5%</w:t>
      </w:r>
    </w:p>
    <w:p w:rsidR="00922855" w:rsidRPr="008C1B83" w:rsidRDefault="00922855" w:rsidP="00922855">
      <w:pPr>
        <w:ind w:left="709" w:hanging="349"/>
        <w:jc w:val="both"/>
        <w:rPr>
          <w:rFonts w:ascii="Arial" w:eastAsia="Times New Roman" w:hAnsi="Arial" w:cs="Arial"/>
          <w:color w:val="000000"/>
          <w:lang w:val="en-ZA" w:eastAsia="en-ZA"/>
        </w:rPr>
      </w:pPr>
      <w:r>
        <w:rPr>
          <w:rFonts w:ascii="Arial" w:hAnsi="Arial" w:cs="Arial"/>
        </w:rPr>
        <w:lastRenderedPageBreak/>
        <w:t xml:space="preserve">(c) The </w:t>
      </w:r>
      <w:r w:rsidRPr="00E12BE1">
        <w:rPr>
          <w:rFonts w:ascii="Arial" w:eastAsia="Times New Roman" w:hAnsi="Arial" w:cs="Arial"/>
          <w:color w:val="000000"/>
          <w:lang w:val="en-ZA" w:eastAsia="en-ZA"/>
        </w:rPr>
        <w:t>M</w:t>
      </w:r>
      <w:r>
        <w:rPr>
          <w:rFonts w:ascii="Arial" w:eastAsia="Times New Roman" w:hAnsi="Arial" w:cs="Arial"/>
          <w:color w:val="000000"/>
          <w:lang w:val="en-ZA" w:eastAsia="en-ZA"/>
        </w:rPr>
        <w:t xml:space="preserve">inister of Public Service and </w:t>
      </w:r>
      <w:r w:rsidRPr="00E12BE1">
        <w:rPr>
          <w:rFonts w:ascii="Arial" w:eastAsia="Times New Roman" w:hAnsi="Arial" w:cs="Arial"/>
          <w:color w:val="000000"/>
          <w:lang w:val="en-ZA" w:eastAsia="en-ZA"/>
        </w:rPr>
        <w:t>A</w:t>
      </w:r>
      <w:r>
        <w:rPr>
          <w:rFonts w:ascii="Arial" w:eastAsia="Times New Roman" w:hAnsi="Arial" w:cs="Arial"/>
          <w:color w:val="000000"/>
          <w:lang w:val="en-ZA" w:eastAsia="en-ZA"/>
        </w:rPr>
        <w:t>dministration</w:t>
      </w:r>
      <w:r w:rsidRPr="00E12BE1">
        <w:rPr>
          <w:rFonts w:ascii="Arial" w:eastAsia="Times New Roman" w:hAnsi="Arial" w:cs="Arial"/>
          <w:color w:val="000000"/>
          <w:lang w:val="en-ZA" w:eastAsia="en-ZA"/>
        </w:rPr>
        <w:t xml:space="preserve"> determined/approved </w:t>
      </w:r>
      <w:r>
        <w:rPr>
          <w:rFonts w:ascii="Arial" w:eastAsia="Times New Roman" w:hAnsi="Arial" w:cs="Arial"/>
          <w:color w:val="000000"/>
          <w:lang w:val="en-ZA" w:eastAsia="en-ZA"/>
        </w:rPr>
        <w:t>the</w:t>
      </w:r>
      <w:r w:rsidRPr="00E12BE1">
        <w:rPr>
          <w:rFonts w:ascii="Arial" w:eastAsia="Times New Roman" w:hAnsi="Arial" w:cs="Arial"/>
          <w:color w:val="000000"/>
          <w:lang w:val="en-ZA" w:eastAsia="en-ZA"/>
        </w:rPr>
        <w:t xml:space="preserve"> adjustments</w:t>
      </w:r>
      <w:r>
        <w:rPr>
          <w:rFonts w:ascii="Arial" w:eastAsia="Times New Roman" w:hAnsi="Arial" w:cs="Arial"/>
          <w:color w:val="000000"/>
          <w:lang w:val="en-ZA" w:eastAsia="en-ZA"/>
        </w:rPr>
        <w:t xml:space="preserve"> for</w:t>
      </w:r>
      <w:r w:rsidRPr="00E12BE1">
        <w:rPr>
          <w:rFonts w:ascii="Arial" w:eastAsia="Times New Roman" w:hAnsi="Arial" w:cs="Arial"/>
          <w:color w:val="000000"/>
          <w:lang w:val="en-ZA" w:eastAsia="en-ZA"/>
        </w:rPr>
        <w:t xml:space="preserve"> members employed in terms of the </w:t>
      </w:r>
      <w:r>
        <w:rPr>
          <w:rFonts w:ascii="Arial" w:eastAsia="Times New Roman" w:hAnsi="Arial" w:cs="Arial"/>
          <w:color w:val="000000"/>
          <w:lang w:val="en-ZA" w:eastAsia="en-ZA"/>
        </w:rPr>
        <w:t>Public Service.</w:t>
      </w:r>
      <w:r w:rsidRPr="00E12BE1">
        <w:rPr>
          <w:rFonts w:ascii="Arial" w:eastAsia="Times New Roman" w:hAnsi="Arial" w:cs="Arial"/>
          <w:color w:val="000000"/>
          <w:lang w:val="en-ZA" w:eastAsia="en-ZA"/>
        </w:rPr>
        <w:t xml:space="preserve"> </w:t>
      </w:r>
      <w:r w:rsidRPr="007A7E7A">
        <w:rPr>
          <w:rFonts w:ascii="Arial" w:hAnsi="Arial" w:cs="Arial"/>
        </w:rPr>
        <w:t>The</w:t>
      </w:r>
      <w:r>
        <w:rPr>
          <w:rFonts w:ascii="Arial" w:hAnsi="Arial" w:cs="Arial"/>
        </w:rPr>
        <w:t xml:space="preserve"> adjustments are determined </w:t>
      </w:r>
      <w:r>
        <w:rPr>
          <w:rFonts w:ascii="Arial" w:eastAsia="Times New Roman" w:hAnsi="Arial" w:cs="Arial"/>
          <w:color w:val="000000"/>
          <w:lang w:val="en-ZA" w:eastAsia="en-ZA"/>
        </w:rPr>
        <w:t>in terms of S</w:t>
      </w:r>
      <w:r w:rsidRPr="00E12BE1">
        <w:rPr>
          <w:rFonts w:ascii="Arial" w:eastAsia="Times New Roman" w:hAnsi="Arial" w:cs="Arial"/>
          <w:color w:val="000000"/>
          <w:lang w:val="en-ZA" w:eastAsia="en-ZA"/>
        </w:rPr>
        <w:t>ection 3(5</w:t>
      </w:r>
      <w:proofErr w:type="gramStart"/>
      <w:r w:rsidRPr="00E12BE1">
        <w:rPr>
          <w:rFonts w:ascii="Arial" w:eastAsia="Times New Roman" w:hAnsi="Arial" w:cs="Arial"/>
          <w:color w:val="000000"/>
          <w:lang w:val="en-ZA" w:eastAsia="en-ZA"/>
        </w:rPr>
        <w:t>)(</w:t>
      </w:r>
      <w:proofErr w:type="gramEnd"/>
      <w:r w:rsidRPr="00E12BE1">
        <w:rPr>
          <w:rFonts w:ascii="Arial" w:eastAsia="Times New Roman" w:hAnsi="Arial" w:cs="Arial"/>
          <w:color w:val="000000"/>
          <w:lang w:val="en-ZA" w:eastAsia="en-ZA"/>
        </w:rPr>
        <w:t>a)</w:t>
      </w:r>
      <w:r>
        <w:rPr>
          <w:rFonts w:ascii="Arial" w:eastAsia="Times New Roman" w:hAnsi="Arial" w:cs="Arial"/>
          <w:color w:val="000000"/>
          <w:lang w:val="en-ZA" w:eastAsia="en-ZA"/>
        </w:rPr>
        <w:t xml:space="preserve"> of the Public Service Act,1994</w:t>
      </w:r>
      <w:r w:rsidRPr="00E12BE1">
        <w:rPr>
          <w:rFonts w:ascii="Arial" w:eastAsia="Times New Roman" w:hAnsi="Arial" w:cs="Arial"/>
          <w:color w:val="000000"/>
          <w:lang w:val="en-ZA" w:eastAsia="en-ZA"/>
        </w:rPr>
        <w:t xml:space="preserve">, as amended read with the Public Service Regulations (Chapter 4, Part 4, Section B 1). </w:t>
      </w:r>
    </w:p>
    <w:p w:rsidR="00922855" w:rsidRDefault="00922855" w:rsidP="00922855">
      <w:pPr>
        <w:spacing w:before="100" w:beforeAutospacing="1" w:after="100" w:afterAutospacing="1" w:line="240" w:lineRule="auto"/>
        <w:ind w:left="709" w:hanging="709"/>
        <w:jc w:val="both"/>
        <w:rPr>
          <w:rFonts w:ascii="Arial" w:hAnsi="Arial" w:cs="Arial"/>
          <w:noProof/>
          <w:lang w:val="af-ZA"/>
        </w:rPr>
      </w:pPr>
      <w:r w:rsidRPr="00830DB6">
        <w:rPr>
          <w:rFonts w:ascii="Arial" w:hAnsi="Arial" w:cs="Arial"/>
        </w:rPr>
        <w:t>(2)</w:t>
      </w:r>
      <w:r w:rsidRPr="00830DB6">
        <w:rPr>
          <w:rFonts w:ascii="Arial" w:hAnsi="Arial" w:cs="Arial"/>
        </w:rPr>
        <w:tab/>
        <w:t>(</w:t>
      </w:r>
      <w:proofErr w:type="gramStart"/>
      <w:r w:rsidRPr="00830DB6">
        <w:rPr>
          <w:rFonts w:ascii="Arial" w:hAnsi="Arial" w:cs="Arial"/>
        </w:rPr>
        <w:t>a</w:t>
      </w:r>
      <w:proofErr w:type="gramEnd"/>
      <w:r w:rsidRPr="00830DB6">
        <w:rPr>
          <w:rFonts w:ascii="Arial" w:hAnsi="Arial" w:cs="Arial"/>
        </w:rPr>
        <w:t xml:space="preserve">) </w:t>
      </w:r>
      <w:r>
        <w:rPr>
          <w:rFonts w:ascii="Arial" w:hAnsi="Arial" w:cs="Arial"/>
        </w:rPr>
        <w:t xml:space="preserve">The </w:t>
      </w:r>
      <w:r w:rsidRPr="00830DB6">
        <w:rPr>
          <w:rFonts w:ascii="Arial" w:hAnsi="Arial" w:cs="Arial"/>
          <w:noProof/>
          <w:lang w:val="af-ZA"/>
        </w:rPr>
        <w:t>bonuses</w:t>
      </w:r>
      <w:r>
        <w:rPr>
          <w:rFonts w:ascii="Arial" w:hAnsi="Arial" w:cs="Arial"/>
        </w:rPr>
        <w:t xml:space="preserve"> </w:t>
      </w:r>
      <w:r w:rsidRPr="00830DB6">
        <w:rPr>
          <w:rFonts w:ascii="Arial" w:hAnsi="Arial" w:cs="Arial"/>
        </w:rPr>
        <w:t>in each grade of employee in the past three financial years</w:t>
      </w:r>
      <w:r>
        <w:rPr>
          <w:rFonts w:ascii="Arial" w:hAnsi="Arial" w:cs="Arial"/>
        </w:rPr>
        <w:t xml:space="preserve"> are provided in the Table below.</w:t>
      </w:r>
      <w:r w:rsidRPr="00830DB6">
        <w:rPr>
          <w:rFonts w:ascii="Arial" w:hAnsi="Arial" w:cs="Arial"/>
          <w:noProof/>
          <w:lang w:val="af-ZA"/>
        </w:rPr>
        <w:tab/>
      </w:r>
    </w:p>
    <w:p w:rsidR="00922855" w:rsidRDefault="00922855" w:rsidP="00922855">
      <w:pPr>
        <w:spacing w:before="100" w:beforeAutospacing="1" w:after="100" w:afterAutospacing="1" w:line="240" w:lineRule="auto"/>
        <w:ind w:left="1440" w:hanging="629"/>
        <w:jc w:val="both"/>
        <w:rPr>
          <w:rFonts w:ascii="Arial" w:hAnsi="Arial" w:cs="Arial"/>
          <w:noProof/>
          <w:lang w:val="af-ZA"/>
        </w:rPr>
      </w:pPr>
      <w:r w:rsidRPr="00592A09">
        <w:rPr>
          <w:noProof/>
          <w:lang w:val="en-ZA" w:eastAsia="en-ZA"/>
        </w:rPr>
        <w:drawing>
          <wp:inline distT="0" distB="0" distL="0" distR="0" wp14:anchorId="1AB5EF15" wp14:editId="50A1B0C0">
            <wp:extent cx="5362575" cy="3629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3629025"/>
                    </a:xfrm>
                    <a:prstGeom prst="rect">
                      <a:avLst/>
                    </a:prstGeom>
                    <a:noFill/>
                    <a:ln>
                      <a:noFill/>
                    </a:ln>
                  </pic:spPr>
                </pic:pic>
              </a:graphicData>
            </a:graphic>
          </wp:inline>
        </w:drawing>
      </w:r>
    </w:p>
    <w:p w:rsidR="00922855" w:rsidRPr="00FF047D" w:rsidRDefault="00922855" w:rsidP="00F05BC8">
      <w:pPr>
        <w:pStyle w:val="ListParagraph"/>
        <w:numPr>
          <w:ilvl w:val="0"/>
          <w:numId w:val="20"/>
        </w:numPr>
        <w:spacing w:before="100" w:beforeAutospacing="1" w:after="100" w:afterAutospacing="1" w:line="240" w:lineRule="auto"/>
        <w:rPr>
          <w:rFonts w:ascii="Arial" w:hAnsi="Arial" w:cs="Arial"/>
        </w:rPr>
      </w:pPr>
      <w:r w:rsidRPr="00FF047D">
        <w:rPr>
          <w:rFonts w:ascii="Arial" w:hAnsi="Arial" w:cs="Arial"/>
        </w:rPr>
        <w:t xml:space="preserve">The </w:t>
      </w:r>
      <w:proofErr w:type="gramStart"/>
      <w:r w:rsidRPr="00FF047D">
        <w:rPr>
          <w:rFonts w:ascii="Arial" w:hAnsi="Arial" w:cs="Arial"/>
        </w:rPr>
        <w:t>criteria for granting bonuses is</w:t>
      </w:r>
      <w:proofErr w:type="gramEnd"/>
      <w:r w:rsidRPr="00FF047D">
        <w:rPr>
          <w:rFonts w:ascii="Arial" w:hAnsi="Arial" w:cs="Arial"/>
        </w:rPr>
        <w:t xml:space="preserve"> provided in the Table below.</w:t>
      </w:r>
    </w:p>
    <w:p w:rsidR="00922855" w:rsidRDefault="00922855" w:rsidP="00922855">
      <w:pPr>
        <w:pStyle w:val="ListParagraph"/>
        <w:spacing w:before="100" w:beforeAutospacing="1" w:after="100" w:afterAutospacing="1" w:line="240" w:lineRule="auto"/>
        <w:ind w:left="1171"/>
        <w:rPr>
          <w:rFonts w:ascii="Arial" w:hAnsi="Arial" w:cs="Arial"/>
        </w:rPr>
      </w:pPr>
    </w:p>
    <w:tbl>
      <w:tblPr>
        <w:tblStyle w:val="TableGrid"/>
        <w:tblW w:w="0" w:type="auto"/>
        <w:tblInd w:w="1171" w:type="dxa"/>
        <w:tblLook w:val="04A0" w:firstRow="1" w:lastRow="0" w:firstColumn="1" w:lastColumn="0" w:noHBand="0" w:noVBand="1"/>
      </w:tblPr>
      <w:tblGrid>
        <w:gridCol w:w="1659"/>
        <w:gridCol w:w="7202"/>
      </w:tblGrid>
      <w:tr w:rsidR="00922855" w:rsidRPr="00E750CE" w:rsidTr="00922855">
        <w:tc>
          <w:tcPr>
            <w:tcW w:w="1659" w:type="dxa"/>
          </w:tcPr>
          <w:p w:rsidR="00922855" w:rsidRPr="00E750CE" w:rsidRDefault="00922855" w:rsidP="00922855">
            <w:pPr>
              <w:pStyle w:val="ListParagraph"/>
              <w:spacing w:before="100" w:beforeAutospacing="1" w:after="100" w:afterAutospacing="1"/>
              <w:ind w:left="0"/>
              <w:rPr>
                <w:rFonts w:ascii="Arial" w:hAnsi="Arial" w:cs="Arial"/>
                <w:b/>
              </w:rPr>
            </w:pPr>
            <w:r w:rsidRPr="00E750CE">
              <w:rPr>
                <w:rFonts w:ascii="Arial" w:hAnsi="Arial" w:cs="Arial"/>
                <w:b/>
              </w:rPr>
              <w:t>Year</w:t>
            </w:r>
          </w:p>
        </w:tc>
        <w:tc>
          <w:tcPr>
            <w:tcW w:w="7202" w:type="dxa"/>
          </w:tcPr>
          <w:p w:rsidR="00922855" w:rsidRPr="00E750CE" w:rsidRDefault="00922855" w:rsidP="00922855">
            <w:pPr>
              <w:pStyle w:val="ListParagraph"/>
              <w:spacing w:before="100" w:beforeAutospacing="1" w:after="100" w:afterAutospacing="1"/>
              <w:ind w:left="0"/>
              <w:rPr>
                <w:rFonts w:ascii="Arial" w:hAnsi="Arial" w:cs="Arial"/>
                <w:b/>
              </w:rPr>
            </w:pPr>
            <w:r w:rsidRPr="00E750CE">
              <w:rPr>
                <w:rFonts w:ascii="Arial" w:hAnsi="Arial" w:cs="Arial"/>
                <w:b/>
              </w:rPr>
              <w:t>Criteria</w:t>
            </w:r>
          </w:p>
        </w:tc>
      </w:tr>
      <w:tr w:rsidR="00922855" w:rsidTr="00922855">
        <w:tc>
          <w:tcPr>
            <w:tcW w:w="1659" w:type="dxa"/>
          </w:tcPr>
          <w:p w:rsidR="00922855" w:rsidRDefault="00922855" w:rsidP="00922855">
            <w:pPr>
              <w:pStyle w:val="ListParagraph"/>
              <w:spacing w:before="100" w:beforeAutospacing="1" w:after="100" w:afterAutospacing="1"/>
              <w:ind w:left="0"/>
              <w:rPr>
                <w:rFonts w:ascii="Arial" w:hAnsi="Arial" w:cs="Arial"/>
              </w:rPr>
            </w:pPr>
            <w:r>
              <w:rPr>
                <w:rFonts w:ascii="Arial" w:hAnsi="Arial" w:cs="Arial"/>
              </w:rPr>
              <w:t>2015</w:t>
            </w:r>
          </w:p>
        </w:tc>
        <w:tc>
          <w:tcPr>
            <w:tcW w:w="7202" w:type="dxa"/>
          </w:tcPr>
          <w:p w:rsidR="00922855" w:rsidRDefault="00922855" w:rsidP="00922855">
            <w:pPr>
              <w:pStyle w:val="ListParagraph"/>
              <w:spacing w:before="100" w:beforeAutospacing="1" w:after="100" w:afterAutospacing="1"/>
              <w:ind w:left="0"/>
              <w:rPr>
                <w:rFonts w:ascii="Arial" w:hAnsi="Arial" w:cs="Arial"/>
              </w:rPr>
            </w:pPr>
            <w:r>
              <w:rPr>
                <w:rFonts w:ascii="Arial" w:hAnsi="Arial" w:cs="Arial"/>
              </w:rPr>
              <w:t>Ex-gratia bonuses</w:t>
            </w:r>
          </w:p>
        </w:tc>
      </w:tr>
      <w:tr w:rsidR="00922855" w:rsidTr="00922855">
        <w:tc>
          <w:tcPr>
            <w:tcW w:w="1659" w:type="dxa"/>
          </w:tcPr>
          <w:p w:rsidR="00922855" w:rsidRDefault="00922855" w:rsidP="00922855">
            <w:pPr>
              <w:pStyle w:val="ListParagraph"/>
              <w:spacing w:before="100" w:beforeAutospacing="1" w:after="100" w:afterAutospacing="1"/>
              <w:ind w:left="0"/>
              <w:rPr>
                <w:rFonts w:ascii="Arial" w:hAnsi="Arial" w:cs="Arial"/>
              </w:rPr>
            </w:pPr>
            <w:r>
              <w:rPr>
                <w:rFonts w:ascii="Arial" w:hAnsi="Arial" w:cs="Arial"/>
              </w:rPr>
              <w:t>2016</w:t>
            </w:r>
          </w:p>
        </w:tc>
        <w:tc>
          <w:tcPr>
            <w:tcW w:w="7202" w:type="dxa"/>
          </w:tcPr>
          <w:p w:rsidR="00922855" w:rsidRDefault="00922855" w:rsidP="00922855">
            <w:pPr>
              <w:pStyle w:val="ListParagraph"/>
              <w:spacing w:before="100" w:beforeAutospacing="1" w:after="100" w:afterAutospacing="1"/>
              <w:ind w:left="0"/>
              <w:rPr>
                <w:rFonts w:ascii="Arial" w:hAnsi="Arial" w:cs="Arial"/>
              </w:rPr>
            </w:pPr>
            <w:r>
              <w:rPr>
                <w:rFonts w:ascii="Arial" w:hAnsi="Arial" w:cs="Arial"/>
              </w:rPr>
              <w:t>In line with the approved Performance Management Framework</w:t>
            </w:r>
          </w:p>
        </w:tc>
      </w:tr>
      <w:tr w:rsidR="00922855" w:rsidTr="00922855">
        <w:tc>
          <w:tcPr>
            <w:tcW w:w="1659" w:type="dxa"/>
          </w:tcPr>
          <w:p w:rsidR="00922855" w:rsidRDefault="00922855" w:rsidP="00922855">
            <w:pPr>
              <w:pStyle w:val="ListParagraph"/>
              <w:spacing w:before="100" w:beforeAutospacing="1" w:after="100" w:afterAutospacing="1"/>
              <w:ind w:left="0"/>
              <w:rPr>
                <w:rFonts w:ascii="Arial" w:hAnsi="Arial" w:cs="Arial"/>
              </w:rPr>
            </w:pPr>
            <w:r>
              <w:rPr>
                <w:rFonts w:ascii="Arial" w:hAnsi="Arial" w:cs="Arial"/>
              </w:rPr>
              <w:t>2017</w:t>
            </w:r>
          </w:p>
        </w:tc>
        <w:tc>
          <w:tcPr>
            <w:tcW w:w="7202" w:type="dxa"/>
          </w:tcPr>
          <w:p w:rsidR="00922855" w:rsidRDefault="00922855" w:rsidP="00922855">
            <w:pPr>
              <w:pStyle w:val="ListParagraph"/>
              <w:spacing w:before="100" w:beforeAutospacing="1" w:after="100" w:afterAutospacing="1"/>
              <w:ind w:left="0"/>
              <w:rPr>
                <w:rFonts w:ascii="Arial" w:hAnsi="Arial" w:cs="Arial"/>
              </w:rPr>
            </w:pPr>
            <w:r>
              <w:rPr>
                <w:rFonts w:ascii="Arial" w:hAnsi="Arial" w:cs="Arial"/>
              </w:rPr>
              <w:t>In line with the approved Performance Management Framework</w:t>
            </w:r>
          </w:p>
        </w:tc>
      </w:tr>
    </w:tbl>
    <w:p w:rsidR="00922855" w:rsidRDefault="00922855" w:rsidP="00922855">
      <w:pPr>
        <w:pStyle w:val="ListParagraph"/>
        <w:spacing w:before="100" w:beforeAutospacing="1" w:after="100" w:afterAutospacing="1" w:line="240" w:lineRule="auto"/>
        <w:ind w:left="1171"/>
        <w:rPr>
          <w:rFonts w:ascii="Arial" w:hAnsi="Arial" w:cs="Arial"/>
        </w:rPr>
      </w:pPr>
    </w:p>
    <w:p w:rsidR="00922855" w:rsidRPr="00FF047D" w:rsidRDefault="00922855" w:rsidP="00F05BC8">
      <w:pPr>
        <w:pStyle w:val="ListParagraph"/>
        <w:numPr>
          <w:ilvl w:val="0"/>
          <w:numId w:val="20"/>
        </w:numPr>
        <w:spacing w:before="100" w:beforeAutospacing="1" w:after="100" w:afterAutospacing="1" w:line="240" w:lineRule="auto"/>
        <w:rPr>
          <w:rFonts w:ascii="Arial" w:hAnsi="Arial" w:cs="Arial"/>
        </w:rPr>
      </w:pPr>
      <w:r w:rsidRPr="00FF047D">
        <w:rPr>
          <w:rFonts w:ascii="Arial" w:hAnsi="Arial" w:cs="Arial"/>
        </w:rPr>
        <w:t>The bonuses were authorized by the Board of the Agency.</w:t>
      </w:r>
    </w:p>
    <w:p w:rsidR="00922855" w:rsidRPr="00FB4C11" w:rsidRDefault="00922855" w:rsidP="00922855">
      <w:pPr>
        <w:rPr>
          <w:rFonts w:ascii="Arial" w:hAnsi="Arial" w:cs="Arial"/>
          <w:lang w:val="en-ZA" w:eastAsia="x-none"/>
        </w:rPr>
      </w:pPr>
      <w:r w:rsidRPr="00BC5BA2">
        <w:rPr>
          <w:rFonts w:ascii="Arial" w:hAnsi="Arial" w:cs="Arial"/>
          <w:b/>
          <w:lang w:val="en-ZA" w:eastAsia="x-none"/>
        </w:rPr>
        <w:t>C-BRTA</w:t>
      </w:r>
    </w:p>
    <w:p w:rsidR="00922855" w:rsidRPr="006679AB" w:rsidRDefault="00922855" w:rsidP="00F05BC8">
      <w:pPr>
        <w:pStyle w:val="ListParagraph"/>
        <w:numPr>
          <w:ilvl w:val="0"/>
          <w:numId w:val="14"/>
        </w:numPr>
        <w:spacing w:before="100" w:beforeAutospacing="1" w:after="100" w:afterAutospacing="1" w:line="240" w:lineRule="auto"/>
        <w:jc w:val="both"/>
        <w:rPr>
          <w:rFonts w:ascii="Arial" w:hAnsi="Arial" w:cs="Arial"/>
        </w:rPr>
      </w:pPr>
      <w:r>
        <w:rPr>
          <w:rFonts w:ascii="Arial" w:hAnsi="Arial" w:cs="Arial"/>
        </w:rPr>
        <w:t xml:space="preserve">(a)(ii) </w:t>
      </w:r>
      <w:r w:rsidRPr="006679AB">
        <w:rPr>
          <w:rFonts w:ascii="Arial" w:hAnsi="Arial" w:cs="Arial"/>
        </w:rPr>
        <w:t>The annual cost of living salary adjustments for the Cross</w:t>
      </w:r>
      <w:r>
        <w:rPr>
          <w:rFonts w:ascii="Arial" w:hAnsi="Arial" w:cs="Arial"/>
        </w:rPr>
        <w:t>-</w:t>
      </w:r>
      <w:r w:rsidRPr="006679AB">
        <w:rPr>
          <w:rFonts w:ascii="Arial" w:hAnsi="Arial" w:cs="Arial"/>
        </w:rPr>
        <w:t xml:space="preserve">Border Road Transport Agency in the past three years were as follows: </w:t>
      </w:r>
    </w:p>
    <w:p w:rsidR="00922855" w:rsidRPr="00190682" w:rsidRDefault="00922855" w:rsidP="00F05BC8">
      <w:pPr>
        <w:pStyle w:val="ListParagraph"/>
        <w:numPr>
          <w:ilvl w:val="0"/>
          <w:numId w:val="13"/>
        </w:numPr>
        <w:spacing w:before="100" w:beforeAutospacing="1" w:after="100" w:afterAutospacing="1" w:line="240" w:lineRule="auto"/>
        <w:jc w:val="both"/>
        <w:rPr>
          <w:rFonts w:ascii="Arial" w:hAnsi="Arial" w:cs="Arial"/>
        </w:rPr>
      </w:pPr>
      <w:r w:rsidRPr="00190682">
        <w:rPr>
          <w:rFonts w:ascii="Arial" w:hAnsi="Arial" w:cs="Arial"/>
        </w:rPr>
        <w:t>2014/15: 7.9%</w:t>
      </w:r>
    </w:p>
    <w:p w:rsidR="00922855" w:rsidRPr="00190682" w:rsidRDefault="00922855" w:rsidP="00F05BC8">
      <w:pPr>
        <w:pStyle w:val="ListParagraph"/>
        <w:numPr>
          <w:ilvl w:val="0"/>
          <w:numId w:val="13"/>
        </w:numPr>
        <w:spacing w:before="100" w:beforeAutospacing="1" w:after="100" w:afterAutospacing="1" w:line="240" w:lineRule="auto"/>
        <w:jc w:val="both"/>
        <w:rPr>
          <w:rFonts w:ascii="Arial" w:hAnsi="Arial" w:cs="Arial"/>
        </w:rPr>
      </w:pPr>
      <w:r w:rsidRPr="00190682">
        <w:rPr>
          <w:rFonts w:ascii="Arial" w:hAnsi="Arial" w:cs="Arial"/>
        </w:rPr>
        <w:t>2015/16: 5.9%</w:t>
      </w:r>
    </w:p>
    <w:p w:rsidR="00922855" w:rsidRDefault="00922855" w:rsidP="00F05BC8">
      <w:pPr>
        <w:pStyle w:val="ListParagraph"/>
        <w:numPr>
          <w:ilvl w:val="0"/>
          <w:numId w:val="13"/>
        </w:numPr>
        <w:spacing w:before="100" w:beforeAutospacing="1" w:after="100" w:afterAutospacing="1" w:line="240" w:lineRule="auto"/>
        <w:jc w:val="both"/>
        <w:rPr>
          <w:rFonts w:ascii="Arial" w:hAnsi="Arial" w:cs="Arial"/>
        </w:rPr>
      </w:pPr>
      <w:r w:rsidRPr="00190682">
        <w:rPr>
          <w:rFonts w:ascii="Arial" w:hAnsi="Arial" w:cs="Arial"/>
        </w:rPr>
        <w:t>2016/17: 8.0%</w:t>
      </w:r>
    </w:p>
    <w:p w:rsidR="00922855" w:rsidRPr="00773F10" w:rsidRDefault="00922855" w:rsidP="00922855">
      <w:pPr>
        <w:spacing w:before="100" w:beforeAutospacing="1" w:after="100" w:afterAutospacing="1" w:line="240" w:lineRule="auto"/>
        <w:ind w:left="308"/>
        <w:jc w:val="both"/>
        <w:rPr>
          <w:rFonts w:ascii="Arial" w:hAnsi="Arial" w:cs="Arial"/>
        </w:rPr>
      </w:pPr>
      <w:r>
        <w:rPr>
          <w:rFonts w:ascii="Arial" w:hAnsi="Arial" w:cs="Arial"/>
        </w:rPr>
        <w:t>In addition to the salary adjustments, in 2015/16 financial year, a collective agreement was concluded with POPCRU to regulate working hours for Road Transport Inspectorate and payment of overtime. The overtime was paid based on the threshold from the National Treasury.</w:t>
      </w:r>
    </w:p>
    <w:p w:rsidR="00922855" w:rsidRPr="006679AB" w:rsidRDefault="00922855" w:rsidP="00922855">
      <w:pPr>
        <w:spacing w:before="100" w:beforeAutospacing="1" w:after="100" w:afterAutospacing="1" w:line="240" w:lineRule="auto"/>
        <w:ind w:left="720" w:hanging="412"/>
        <w:jc w:val="both"/>
        <w:rPr>
          <w:rFonts w:ascii="Arial" w:hAnsi="Arial" w:cs="Arial"/>
        </w:rPr>
      </w:pPr>
      <w:r w:rsidRPr="006679AB">
        <w:rPr>
          <w:rFonts w:ascii="Arial" w:hAnsi="Arial" w:cs="Arial"/>
        </w:rPr>
        <w:t xml:space="preserve">(b) </w:t>
      </w:r>
      <w:r w:rsidRPr="006679AB">
        <w:rPr>
          <w:rFonts w:ascii="Arial" w:hAnsi="Arial" w:cs="Arial"/>
        </w:rPr>
        <w:tab/>
        <w:t>The Annual Cost of Living Adjustments or salary increases are determined using the criteria of the market benchmark as well as the Consumer Price Index (CPI)</w:t>
      </w:r>
      <w:r>
        <w:rPr>
          <w:rFonts w:ascii="Arial" w:hAnsi="Arial" w:cs="Arial"/>
        </w:rPr>
        <w:t>,</w:t>
      </w:r>
      <w:r w:rsidRPr="006679AB">
        <w:rPr>
          <w:rFonts w:ascii="Arial" w:hAnsi="Arial" w:cs="Arial"/>
        </w:rPr>
        <w:t xml:space="preserve"> which is a determinant of </w:t>
      </w:r>
      <w:r w:rsidRPr="006679AB">
        <w:rPr>
          <w:rFonts w:ascii="Arial" w:hAnsi="Arial" w:cs="Arial"/>
        </w:rPr>
        <w:lastRenderedPageBreak/>
        <w:t xml:space="preserve">consumer inflation. The annual cost of living adjustments was based on the negotiated agreement with the </w:t>
      </w:r>
      <w:proofErr w:type="spellStart"/>
      <w:r w:rsidRPr="006679AB">
        <w:rPr>
          <w:rFonts w:ascii="Arial" w:hAnsi="Arial" w:cs="Arial"/>
        </w:rPr>
        <w:t>Labour</w:t>
      </w:r>
      <w:proofErr w:type="spellEnd"/>
      <w:r w:rsidRPr="006679AB">
        <w:rPr>
          <w:rFonts w:ascii="Arial" w:hAnsi="Arial" w:cs="Arial"/>
        </w:rPr>
        <w:t xml:space="preserve"> Union</w:t>
      </w:r>
      <w:r>
        <w:rPr>
          <w:rFonts w:ascii="Arial" w:hAnsi="Arial" w:cs="Arial"/>
        </w:rPr>
        <w:t>,</w:t>
      </w:r>
      <w:r w:rsidRPr="006679AB">
        <w:rPr>
          <w:rFonts w:ascii="Arial" w:hAnsi="Arial" w:cs="Arial"/>
        </w:rPr>
        <w:t xml:space="preserve"> which was applicable across the board.</w:t>
      </w:r>
    </w:p>
    <w:p w:rsidR="00922855" w:rsidRPr="006679AB" w:rsidRDefault="00922855" w:rsidP="00922855">
      <w:pPr>
        <w:spacing w:before="100" w:beforeAutospacing="1" w:after="100" w:afterAutospacing="1" w:line="240" w:lineRule="auto"/>
        <w:ind w:left="720" w:hanging="412"/>
        <w:jc w:val="both"/>
        <w:rPr>
          <w:rFonts w:ascii="Arial" w:hAnsi="Arial" w:cs="Arial"/>
        </w:rPr>
      </w:pPr>
      <w:r w:rsidRPr="006679AB">
        <w:rPr>
          <w:rFonts w:ascii="Arial" w:hAnsi="Arial" w:cs="Arial"/>
        </w:rPr>
        <w:t xml:space="preserve">(c) </w:t>
      </w:r>
      <w:r>
        <w:rPr>
          <w:rFonts w:ascii="Arial" w:hAnsi="Arial" w:cs="Arial"/>
        </w:rPr>
        <w:t xml:space="preserve">The Executive </w:t>
      </w:r>
      <w:proofErr w:type="gramStart"/>
      <w:r>
        <w:rPr>
          <w:rFonts w:ascii="Arial" w:hAnsi="Arial" w:cs="Arial"/>
        </w:rPr>
        <w:t>Committee,</w:t>
      </w:r>
      <w:proofErr w:type="gramEnd"/>
      <w:r>
        <w:rPr>
          <w:rFonts w:ascii="Arial" w:hAnsi="Arial" w:cs="Arial"/>
        </w:rPr>
        <w:t xml:space="preserve"> evaluates the rationale against the feasibility of granting the annual cost of living adjustments against the CPI of the time, which is a factor of consumer inflation; and makes recommendations to the Human Resources and Remuneration Committee, which makes further inputs and recommend to the C-BRTA Board for approval.</w:t>
      </w:r>
      <w:r>
        <w:rPr>
          <w:rFonts w:ascii="Arial" w:hAnsi="Arial" w:cs="Arial"/>
        </w:rPr>
        <w:tab/>
      </w:r>
    </w:p>
    <w:p w:rsidR="00922855" w:rsidRDefault="00922855" w:rsidP="00F05BC8">
      <w:pPr>
        <w:pStyle w:val="ListParagraph"/>
        <w:numPr>
          <w:ilvl w:val="0"/>
          <w:numId w:val="14"/>
        </w:numPr>
        <w:spacing w:before="100" w:beforeAutospacing="1" w:after="100" w:afterAutospacing="1" w:line="240" w:lineRule="auto"/>
        <w:jc w:val="both"/>
        <w:rPr>
          <w:rFonts w:ascii="Arial" w:hAnsi="Arial" w:cs="Arial"/>
        </w:rPr>
      </w:pPr>
      <w:r>
        <w:rPr>
          <w:rFonts w:ascii="Arial" w:hAnsi="Arial" w:cs="Arial"/>
        </w:rPr>
        <w:t xml:space="preserve">(a) The performance bonuses awarded in the C-BRTA were only for 2015/16 financial year and granted to deserving employees and in line with the Performance Management policy.  The basis of the Performance Bonuses was to encourage employees of the C-BRTA to continue to perform optimally towards the achievement of the Agency’s mandate. Performance Bonuses are a sole discretion of the C-BRTA Board, which determines the feasibility of awarding such based on audited performance results and financial standing of the Agency. </w:t>
      </w:r>
    </w:p>
    <w:p w:rsidR="00922855" w:rsidRDefault="00922855" w:rsidP="00922855">
      <w:pPr>
        <w:spacing w:before="100" w:beforeAutospacing="1" w:after="100" w:afterAutospacing="1" w:line="240" w:lineRule="auto"/>
        <w:ind w:left="720" w:hanging="412"/>
        <w:jc w:val="both"/>
        <w:rPr>
          <w:rFonts w:ascii="Arial" w:hAnsi="Arial" w:cs="Arial"/>
        </w:rPr>
      </w:pPr>
      <w:r>
        <w:rPr>
          <w:rFonts w:ascii="Arial" w:hAnsi="Arial" w:cs="Arial"/>
        </w:rPr>
        <w:t>(b</w:t>
      </w:r>
      <w:r w:rsidRPr="006679AB">
        <w:rPr>
          <w:rFonts w:ascii="Arial" w:hAnsi="Arial" w:cs="Arial"/>
        </w:rPr>
        <w:t>)</w:t>
      </w:r>
      <w:r>
        <w:rPr>
          <w:rFonts w:ascii="Arial" w:hAnsi="Arial" w:cs="Arial"/>
        </w:rPr>
        <w:t xml:space="preserve"> </w:t>
      </w:r>
      <w:r>
        <w:rPr>
          <w:rFonts w:ascii="Arial" w:hAnsi="Arial" w:cs="Arial"/>
        </w:rPr>
        <w:tab/>
        <w:t>Each employee was assessed against the signed Performance Agreements and as per the C-BRTA Performance Management Policy approved in 2014.  The bonus awards were allocated on an average of 13.81% between the ranges 3</w:t>
      </w:r>
      <w:proofErr w:type="gramStart"/>
      <w:r>
        <w:rPr>
          <w:rFonts w:ascii="Arial" w:hAnsi="Arial" w:cs="Arial"/>
        </w:rPr>
        <w:t>,5</w:t>
      </w:r>
      <w:proofErr w:type="gramEnd"/>
      <w:r>
        <w:rPr>
          <w:rFonts w:ascii="Arial" w:hAnsi="Arial" w:cs="Arial"/>
        </w:rPr>
        <w:t xml:space="preserve"> -5.0 rating across the board, with the exception of Executive Management who were not part of the scheme as approved by the C-BRTA Board. The allocation was on the following basis:</w:t>
      </w:r>
    </w:p>
    <w:p w:rsidR="00922855" w:rsidRPr="006679AB" w:rsidRDefault="00922855" w:rsidP="00922855">
      <w:pPr>
        <w:spacing w:before="100" w:beforeAutospacing="1" w:after="100" w:afterAutospacing="1" w:line="240" w:lineRule="auto"/>
        <w:jc w:val="both"/>
        <w:rPr>
          <w:rFonts w:ascii="Arial" w:hAnsi="Arial" w:cs="Arial"/>
        </w:rPr>
      </w:pPr>
      <w:r w:rsidRPr="000F7E88">
        <w:rPr>
          <w:rFonts w:ascii="Arial" w:hAnsi="Arial" w:cs="Arial"/>
          <w:lang w:val="en-ZA"/>
        </w:rPr>
        <w:t>The Board resolve</w:t>
      </w:r>
      <w:r>
        <w:rPr>
          <w:rFonts w:ascii="Arial" w:hAnsi="Arial" w:cs="Arial"/>
          <w:lang w:val="en-ZA"/>
        </w:rPr>
        <w:t>d</w:t>
      </w:r>
      <w:r w:rsidRPr="000F7E88">
        <w:rPr>
          <w:rFonts w:ascii="Arial" w:hAnsi="Arial" w:cs="Arial"/>
          <w:lang w:val="en-ZA"/>
        </w:rPr>
        <w:t xml:space="preserve"> to pay p</w:t>
      </w:r>
      <w:r>
        <w:rPr>
          <w:rFonts w:ascii="Arial" w:hAnsi="Arial" w:cs="Arial"/>
          <w:lang w:val="en-ZA"/>
        </w:rPr>
        <w:t xml:space="preserve">erformance bonuses </w:t>
      </w:r>
      <w:r w:rsidRPr="000F7E88">
        <w:rPr>
          <w:rFonts w:ascii="Arial" w:hAnsi="Arial" w:cs="Arial"/>
          <w:lang w:val="en-ZA"/>
        </w:rPr>
        <w:t>for the financial year 201</w:t>
      </w:r>
      <w:r>
        <w:rPr>
          <w:rFonts w:ascii="Arial" w:hAnsi="Arial" w:cs="Arial"/>
          <w:lang w:val="en-ZA"/>
        </w:rPr>
        <w:t>5</w:t>
      </w:r>
      <w:r w:rsidRPr="000F7E88">
        <w:rPr>
          <w:rFonts w:ascii="Arial" w:hAnsi="Arial" w:cs="Arial"/>
          <w:lang w:val="en-ZA"/>
        </w:rPr>
        <w:t>/1</w:t>
      </w:r>
      <w:r>
        <w:rPr>
          <w:rFonts w:ascii="Arial" w:hAnsi="Arial" w:cs="Arial"/>
          <w:lang w:val="en-ZA"/>
        </w:rPr>
        <w:t>6</w:t>
      </w:r>
      <w:r w:rsidRPr="000F7E88">
        <w:rPr>
          <w:rFonts w:ascii="Arial" w:hAnsi="Arial" w:cs="Arial"/>
          <w:lang w:val="en-ZA"/>
        </w:rPr>
        <w:t xml:space="preserve"> to:</w:t>
      </w:r>
    </w:p>
    <w:p w:rsidR="00922855" w:rsidRPr="00C434D8" w:rsidRDefault="00922855" w:rsidP="00F05BC8">
      <w:pPr>
        <w:numPr>
          <w:ilvl w:val="0"/>
          <w:numId w:val="12"/>
        </w:numPr>
        <w:spacing w:after="160" w:line="240" w:lineRule="auto"/>
        <w:ind w:left="0" w:firstLine="698"/>
        <w:contextualSpacing/>
        <w:jc w:val="both"/>
        <w:rPr>
          <w:rFonts w:ascii="Arial" w:eastAsia="Times New Roman" w:hAnsi="Arial" w:cs="Arial"/>
        </w:rPr>
      </w:pPr>
      <w:r w:rsidRPr="003B5ABF">
        <w:rPr>
          <w:rFonts w:ascii="Arial" w:eastAsia="Times New Roman" w:hAnsi="Arial" w:cs="Arial"/>
          <w:lang w:val="en-ZA"/>
        </w:rPr>
        <w:t>All eligible employees who ha</w:t>
      </w:r>
      <w:r>
        <w:rPr>
          <w:rFonts w:ascii="Arial" w:eastAsia="Times New Roman" w:hAnsi="Arial" w:cs="Arial"/>
          <w:lang w:val="en-ZA"/>
        </w:rPr>
        <w:t>d</w:t>
      </w:r>
      <w:r w:rsidRPr="003B5ABF">
        <w:rPr>
          <w:rFonts w:ascii="Arial" w:eastAsia="Times New Roman" w:hAnsi="Arial" w:cs="Arial"/>
          <w:lang w:val="en-ZA"/>
        </w:rPr>
        <w:t xml:space="preserve"> obtained a final performance score of 3.5 and </w:t>
      </w:r>
    </w:p>
    <w:p w:rsidR="00922855" w:rsidRPr="003B5ABF" w:rsidRDefault="00922855" w:rsidP="00922855">
      <w:pPr>
        <w:spacing w:after="160" w:line="240" w:lineRule="auto"/>
        <w:ind w:left="1418" w:firstLine="22"/>
        <w:contextualSpacing/>
        <w:jc w:val="both"/>
        <w:rPr>
          <w:rFonts w:ascii="Arial" w:eastAsia="Times New Roman" w:hAnsi="Arial" w:cs="Arial"/>
        </w:rPr>
      </w:pPr>
      <w:proofErr w:type="gramStart"/>
      <w:r w:rsidRPr="003B5ABF">
        <w:rPr>
          <w:rFonts w:ascii="Arial" w:eastAsia="Times New Roman" w:hAnsi="Arial" w:cs="Arial"/>
          <w:lang w:val="en-ZA"/>
        </w:rPr>
        <w:t>above</w:t>
      </w:r>
      <w:proofErr w:type="gramEnd"/>
      <w:r w:rsidRPr="003B5ABF">
        <w:rPr>
          <w:rFonts w:ascii="Arial" w:eastAsia="Times New Roman" w:hAnsi="Arial" w:cs="Arial"/>
          <w:lang w:val="en-ZA"/>
        </w:rPr>
        <w:t xml:space="preserve"> as provided </w:t>
      </w:r>
      <w:r>
        <w:rPr>
          <w:rFonts w:ascii="Arial" w:eastAsia="Times New Roman" w:hAnsi="Arial" w:cs="Arial"/>
          <w:lang w:val="en-ZA"/>
        </w:rPr>
        <w:t>in</w:t>
      </w:r>
      <w:r w:rsidRPr="003B5ABF">
        <w:rPr>
          <w:rFonts w:ascii="Arial" w:eastAsia="Times New Roman" w:hAnsi="Arial" w:cs="Arial"/>
          <w:lang w:val="en-ZA"/>
        </w:rPr>
        <w:t xml:space="preserve"> the </w:t>
      </w:r>
      <w:r>
        <w:rPr>
          <w:rFonts w:ascii="Arial" w:eastAsia="Times New Roman" w:hAnsi="Arial" w:cs="Arial"/>
          <w:lang w:val="en-ZA"/>
        </w:rPr>
        <w:t>P</w:t>
      </w:r>
      <w:r w:rsidRPr="003B5ABF">
        <w:rPr>
          <w:rFonts w:ascii="Arial" w:eastAsia="Times New Roman" w:hAnsi="Arial" w:cs="Arial"/>
          <w:lang w:val="en-ZA"/>
        </w:rPr>
        <w:t xml:space="preserve">erformance </w:t>
      </w:r>
      <w:r>
        <w:rPr>
          <w:rFonts w:ascii="Arial" w:eastAsia="Times New Roman" w:hAnsi="Arial" w:cs="Arial"/>
          <w:lang w:val="en-ZA"/>
        </w:rPr>
        <w:t>M</w:t>
      </w:r>
      <w:r w:rsidRPr="003B5ABF">
        <w:rPr>
          <w:rFonts w:ascii="Arial" w:eastAsia="Times New Roman" w:hAnsi="Arial" w:cs="Arial"/>
          <w:lang w:val="en-ZA"/>
        </w:rPr>
        <w:t xml:space="preserve">anagement </w:t>
      </w:r>
      <w:r>
        <w:rPr>
          <w:rFonts w:ascii="Arial" w:eastAsia="Times New Roman" w:hAnsi="Arial" w:cs="Arial"/>
          <w:lang w:val="en-ZA"/>
        </w:rPr>
        <w:t>P</w:t>
      </w:r>
      <w:r w:rsidRPr="003B5ABF">
        <w:rPr>
          <w:rFonts w:ascii="Arial" w:eastAsia="Times New Roman" w:hAnsi="Arial" w:cs="Arial"/>
          <w:lang w:val="en-ZA"/>
        </w:rPr>
        <w:t xml:space="preserve">olicy. </w:t>
      </w:r>
    </w:p>
    <w:p w:rsidR="00922855" w:rsidRDefault="00922855" w:rsidP="00F05BC8">
      <w:pPr>
        <w:numPr>
          <w:ilvl w:val="0"/>
          <w:numId w:val="12"/>
        </w:numPr>
        <w:spacing w:after="160" w:line="240" w:lineRule="auto"/>
        <w:ind w:left="0" w:firstLine="698"/>
        <w:contextualSpacing/>
        <w:jc w:val="both"/>
        <w:rPr>
          <w:rFonts w:ascii="Arial" w:eastAsia="Times New Roman" w:hAnsi="Arial" w:cs="Arial"/>
          <w:lang w:val="en-ZA"/>
        </w:rPr>
      </w:pPr>
      <w:r w:rsidRPr="003B5ABF">
        <w:rPr>
          <w:rFonts w:ascii="Arial" w:eastAsia="Times New Roman" w:hAnsi="Arial" w:cs="Arial"/>
          <w:lang w:val="en-ZA"/>
        </w:rPr>
        <w:t xml:space="preserve">Eligible employees who were in the employ of the Agency at the end of the </w:t>
      </w:r>
    </w:p>
    <w:p w:rsidR="00922855" w:rsidRDefault="00922855" w:rsidP="00922855">
      <w:pPr>
        <w:spacing w:after="160" w:line="240" w:lineRule="auto"/>
        <w:ind w:left="1418" w:firstLine="22"/>
        <w:contextualSpacing/>
        <w:jc w:val="both"/>
        <w:rPr>
          <w:rFonts w:ascii="Arial" w:eastAsia="Times New Roman" w:hAnsi="Arial" w:cs="Arial"/>
          <w:lang w:val="en-ZA"/>
        </w:rPr>
      </w:pPr>
      <w:proofErr w:type="gramStart"/>
      <w:r>
        <w:rPr>
          <w:rFonts w:ascii="Arial" w:eastAsia="Times New Roman" w:hAnsi="Arial" w:cs="Arial"/>
          <w:lang w:val="en-ZA"/>
        </w:rPr>
        <w:t>f</w:t>
      </w:r>
      <w:r w:rsidRPr="003B5ABF">
        <w:rPr>
          <w:rFonts w:ascii="Arial" w:eastAsia="Times New Roman" w:hAnsi="Arial" w:cs="Arial"/>
          <w:lang w:val="en-ZA"/>
        </w:rPr>
        <w:t>inancial</w:t>
      </w:r>
      <w:proofErr w:type="gramEnd"/>
      <w:r>
        <w:rPr>
          <w:rFonts w:ascii="Arial" w:eastAsia="Times New Roman" w:hAnsi="Arial" w:cs="Arial"/>
          <w:lang w:val="en-ZA"/>
        </w:rPr>
        <w:t xml:space="preserve"> y</w:t>
      </w:r>
      <w:r w:rsidRPr="003B5ABF">
        <w:rPr>
          <w:rFonts w:ascii="Arial" w:eastAsia="Times New Roman" w:hAnsi="Arial" w:cs="Arial"/>
          <w:lang w:val="en-ZA"/>
        </w:rPr>
        <w:t>ear of 201</w:t>
      </w:r>
      <w:r>
        <w:rPr>
          <w:rFonts w:ascii="Arial" w:eastAsia="Times New Roman" w:hAnsi="Arial" w:cs="Arial"/>
          <w:lang w:val="en-ZA"/>
        </w:rPr>
        <w:t>5</w:t>
      </w:r>
      <w:r w:rsidRPr="003B5ABF">
        <w:rPr>
          <w:rFonts w:ascii="Arial" w:eastAsia="Times New Roman" w:hAnsi="Arial" w:cs="Arial"/>
          <w:lang w:val="en-ZA"/>
        </w:rPr>
        <w:t>/1</w:t>
      </w:r>
      <w:r>
        <w:rPr>
          <w:rFonts w:ascii="Arial" w:eastAsia="Times New Roman" w:hAnsi="Arial" w:cs="Arial"/>
          <w:lang w:val="en-ZA"/>
        </w:rPr>
        <w:t>6.</w:t>
      </w:r>
    </w:p>
    <w:p w:rsidR="00922855" w:rsidRDefault="00922855" w:rsidP="00922855">
      <w:pPr>
        <w:spacing w:before="100" w:beforeAutospacing="1" w:after="100" w:afterAutospacing="1" w:line="240" w:lineRule="auto"/>
        <w:ind w:firstLine="720"/>
        <w:jc w:val="both"/>
        <w:rPr>
          <w:rFonts w:ascii="Arial" w:hAnsi="Arial" w:cs="Arial"/>
        </w:rPr>
      </w:pPr>
      <w:r>
        <w:rPr>
          <w:rFonts w:ascii="Arial" w:hAnsi="Arial" w:cs="Arial"/>
        </w:rPr>
        <w:t>No performance bonuses were approved for financial year 2016/17 yet.</w:t>
      </w:r>
    </w:p>
    <w:p w:rsidR="00922855" w:rsidRPr="006679AB" w:rsidRDefault="00922855" w:rsidP="00922855">
      <w:pPr>
        <w:spacing w:before="100" w:beforeAutospacing="1" w:after="100" w:afterAutospacing="1" w:line="240" w:lineRule="auto"/>
        <w:ind w:left="720" w:hanging="412"/>
        <w:jc w:val="both"/>
        <w:rPr>
          <w:rFonts w:ascii="Arial" w:hAnsi="Arial" w:cs="Arial"/>
        </w:rPr>
      </w:pPr>
      <w:r>
        <w:rPr>
          <w:rFonts w:ascii="Arial" w:hAnsi="Arial" w:cs="Arial"/>
        </w:rPr>
        <w:t xml:space="preserve">(c)   </w:t>
      </w:r>
      <w:r w:rsidRPr="006679AB">
        <w:rPr>
          <w:rFonts w:ascii="Arial" w:hAnsi="Arial" w:cs="Arial"/>
        </w:rPr>
        <w:t>It is the sole discretion of the C-BRTA Boa</w:t>
      </w:r>
      <w:r>
        <w:rPr>
          <w:rFonts w:ascii="Arial" w:hAnsi="Arial" w:cs="Arial"/>
        </w:rPr>
        <w:t xml:space="preserve">rd to </w:t>
      </w:r>
      <w:proofErr w:type="spellStart"/>
      <w:r>
        <w:rPr>
          <w:rFonts w:ascii="Arial" w:hAnsi="Arial" w:cs="Arial"/>
        </w:rPr>
        <w:t>authorise</w:t>
      </w:r>
      <w:proofErr w:type="spellEnd"/>
      <w:r>
        <w:rPr>
          <w:rFonts w:ascii="Arial" w:hAnsi="Arial" w:cs="Arial"/>
        </w:rPr>
        <w:t xml:space="preserve"> the payment of p</w:t>
      </w:r>
      <w:r w:rsidRPr="006679AB">
        <w:rPr>
          <w:rFonts w:ascii="Arial" w:hAnsi="Arial" w:cs="Arial"/>
        </w:rPr>
        <w:t>erfo</w:t>
      </w:r>
      <w:r>
        <w:rPr>
          <w:rFonts w:ascii="Arial" w:hAnsi="Arial" w:cs="Arial"/>
        </w:rPr>
        <w:t>rmance b</w:t>
      </w:r>
      <w:r w:rsidRPr="006679AB">
        <w:rPr>
          <w:rFonts w:ascii="Arial" w:hAnsi="Arial" w:cs="Arial"/>
        </w:rPr>
        <w:t xml:space="preserve">onuses as and when it is reasonably feasible and financially viable to do such based on the overall audited performance of the Agency against the set </w:t>
      </w:r>
      <w:r>
        <w:rPr>
          <w:rFonts w:ascii="Arial" w:hAnsi="Arial" w:cs="Arial"/>
        </w:rPr>
        <w:t>Annual Performance Plan (</w:t>
      </w:r>
      <w:r w:rsidRPr="006679AB">
        <w:rPr>
          <w:rFonts w:ascii="Arial" w:hAnsi="Arial" w:cs="Arial"/>
        </w:rPr>
        <w:t>APP</w:t>
      </w:r>
      <w:r>
        <w:rPr>
          <w:rFonts w:ascii="Arial" w:hAnsi="Arial" w:cs="Arial"/>
        </w:rPr>
        <w:t>)</w:t>
      </w:r>
      <w:r w:rsidRPr="006679AB">
        <w:rPr>
          <w:rFonts w:ascii="Arial" w:hAnsi="Arial" w:cs="Arial"/>
        </w:rPr>
        <w:t>.</w:t>
      </w:r>
    </w:p>
    <w:p w:rsidR="00922855" w:rsidRDefault="00922855" w:rsidP="00922855">
      <w:pPr>
        <w:rPr>
          <w:rFonts w:ascii="Arial" w:hAnsi="Arial" w:cs="Arial"/>
          <w:b/>
          <w:lang w:val="en-ZA" w:eastAsia="x-none"/>
        </w:rPr>
      </w:pPr>
      <w:r w:rsidRPr="00DC09D2">
        <w:rPr>
          <w:rFonts w:ascii="Arial" w:hAnsi="Arial" w:cs="Arial"/>
          <w:b/>
          <w:lang w:val="en-ZA" w:eastAsia="x-none"/>
        </w:rPr>
        <w:t>RAF</w:t>
      </w:r>
    </w:p>
    <w:p w:rsidR="00922855" w:rsidRPr="007534E9" w:rsidRDefault="00922855" w:rsidP="00922855">
      <w:pPr>
        <w:rPr>
          <w:rFonts w:ascii="Arial" w:hAnsi="Arial" w:cs="Arial"/>
          <w:lang w:val="en-ZA" w:eastAsia="x-none"/>
        </w:rPr>
      </w:pPr>
      <w:r w:rsidRPr="007534E9">
        <w:rPr>
          <w:rFonts w:ascii="Arial" w:hAnsi="Arial" w:cs="Arial"/>
          <w:lang w:val="en-ZA" w:eastAsia="x-none"/>
        </w:rPr>
        <w:t>(1)(a)(ii) The Road Accident Fund granted the following increases in the Total Employment Cost (TEC) packages of employees:</w:t>
      </w:r>
    </w:p>
    <w:tbl>
      <w:tblPr>
        <w:tblStyle w:val="TableGrid"/>
        <w:tblW w:w="0" w:type="auto"/>
        <w:tblLook w:val="04A0" w:firstRow="1" w:lastRow="0" w:firstColumn="1" w:lastColumn="0" w:noHBand="0" w:noVBand="1"/>
      </w:tblPr>
      <w:tblGrid>
        <w:gridCol w:w="3006"/>
        <w:gridCol w:w="3006"/>
        <w:gridCol w:w="3006"/>
      </w:tblGrid>
      <w:tr w:rsidR="00922855" w:rsidRPr="007534E9" w:rsidTr="00922855">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 xml:space="preserve"> in the 2016-17 financial year,</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 xml:space="preserve">in the 2015-16 financial year, </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in the 2014-15 financial year,</w:t>
            </w:r>
          </w:p>
        </w:tc>
      </w:tr>
      <w:tr w:rsidR="00922855" w:rsidRPr="007534E9" w:rsidTr="00922855">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1 – 13 employees were awarded an 8% increase,</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1 – 13 employees were awarded a 7,6% increase,</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1 – 13 employees were awarded a 7,4% increase,</w:t>
            </w:r>
          </w:p>
        </w:tc>
      </w:tr>
      <w:tr w:rsidR="00922855" w:rsidRPr="007534E9" w:rsidTr="00922855">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14 - 19</w:t>
            </w:r>
            <w:r w:rsidRPr="007534E9">
              <w:rPr>
                <w:rFonts w:ascii="Arial" w:hAnsi="Arial" w:cs="Arial"/>
              </w:rPr>
              <w:t xml:space="preserve"> employees </w:t>
            </w:r>
            <w:r w:rsidRPr="007534E9">
              <w:rPr>
                <w:rFonts w:ascii="Arial" w:hAnsi="Arial" w:cs="Arial"/>
                <w:lang w:val="en-ZA" w:eastAsia="x-none"/>
              </w:rPr>
              <w:t>were awarded a 6,7% increase,</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14 - 19</w:t>
            </w:r>
            <w:r w:rsidRPr="007534E9">
              <w:rPr>
                <w:rFonts w:ascii="Arial" w:hAnsi="Arial" w:cs="Arial"/>
              </w:rPr>
              <w:t xml:space="preserve"> employees </w:t>
            </w:r>
            <w:r w:rsidRPr="007534E9">
              <w:rPr>
                <w:rFonts w:ascii="Arial" w:hAnsi="Arial" w:cs="Arial"/>
                <w:lang w:val="en-ZA" w:eastAsia="x-none"/>
              </w:rPr>
              <w:t>were awarded a 6,5% increase,</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14 employees were awarded a 6,9% increase,</w:t>
            </w:r>
          </w:p>
        </w:tc>
      </w:tr>
      <w:tr w:rsidR="00922855" w:rsidRPr="007534E9" w:rsidTr="00922855">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20 - 25</w:t>
            </w:r>
            <w:r w:rsidRPr="007534E9">
              <w:rPr>
                <w:rFonts w:ascii="Arial" w:hAnsi="Arial" w:cs="Arial"/>
              </w:rPr>
              <w:t xml:space="preserve"> employees </w:t>
            </w:r>
            <w:r w:rsidRPr="007534E9">
              <w:rPr>
                <w:rFonts w:ascii="Arial" w:hAnsi="Arial" w:cs="Arial"/>
                <w:lang w:val="en-ZA" w:eastAsia="x-none"/>
              </w:rPr>
              <w:t>were awarded a 6</w:t>
            </w:r>
            <w:proofErr w:type="gramStart"/>
            <w:r w:rsidRPr="007534E9">
              <w:rPr>
                <w:rFonts w:ascii="Arial" w:hAnsi="Arial" w:cs="Arial"/>
                <w:lang w:val="en-ZA" w:eastAsia="x-none"/>
              </w:rPr>
              <w:t>,2</w:t>
            </w:r>
            <w:proofErr w:type="gramEnd"/>
            <w:r w:rsidRPr="007534E9">
              <w:rPr>
                <w:rFonts w:ascii="Arial" w:hAnsi="Arial" w:cs="Arial"/>
                <w:lang w:val="en-ZA" w:eastAsia="x-none"/>
              </w:rPr>
              <w:t>% increase.</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20 - 25</w:t>
            </w:r>
            <w:r w:rsidRPr="007534E9">
              <w:rPr>
                <w:rFonts w:ascii="Arial" w:hAnsi="Arial" w:cs="Arial"/>
              </w:rPr>
              <w:t xml:space="preserve"> employees </w:t>
            </w:r>
            <w:r w:rsidRPr="007534E9">
              <w:rPr>
                <w:rFonts w:ascii="Arial" w:hAnsi="Arial" w:cs="Arial"/>
                <w:lang w:val="en-ZA" w:eastAsia="x-none"/>
              </w:rPr>
              <w:t>were awarded a 6% increase.</w:t>
            </w:r>
          </w:p>
        </w:tc>
        <w:tc>
          <w:tcPr>
            <w:tcW w:w="3006" w:type="dxa"/>
          </w:tcPr>
          <w:p w:rsidR="00922855" w:rsidRPr="007534E9" w:rsidRDefault="00922855" w:rsidP="00922855">
            <w:pPr>
              <w:rPr>
                <w:rFonts w:ascii="Arial" w:hAnsi="Arial" w:cs="Arial"/>
                <w:lang w:val="en-ZA" w:eastAsia="x-none"/>
              </w:rPr>
            </w:pPr>
            <w:r w:rsidRPr="007534E9">
              <w:rPr>
                <w:rFonts w:ascii="Arial" w:hAnsi="Arial" w:cs="Arial"/>
                <w:lang w:val="en-ZA" w:eastAsia="x-none"/>
              </w:rPr>
              <w:t>TASK grade 15 - 25</w:t>
            </w:r>
            <w:r w:rsidRPr="007534E9">
              <w:rPr>
                <w:rFonts w:ascii="Arial" w:hAnsi="Arial" w:cs="Arial"/>
              </w:rPr>
              <w:t xml:space="preserve"> employees </w:t>
            </w:r>
            <w:r w:rsidRPr="007534E9">
              <w:rPr>
                <w:rFonts w:ascii="Arial" w:hAnsi="Arial" w:cs="Arial"/>
                <w:lang w:val="en-ZA" w:eastAsia="x-none"/>
              </w:rPr>
              <w:t>were awarded a 6</w:t>
            </w:r>
            <w:proofErr w:type="gramStart"/>
            <w:r w:rsidRPr="007534E9">
              <w:rPr>
                <w:rFonts w:ascii="Arial" w:hAnsi="Arial" w:cs="Arial"/>
                <w:lang w:val="en-ZA" w:eastAsia="x-none"/>
              </w:rPr>
              <w:t>,4</w:t>
            </w:r>
            <w:proofErr w:type="gramEnd"/>
            <w:r w:rsidRPr="007534E9">
              <w:rPr>
                <w:rFonts w:ascii="Arial" w:hAnsi="Arial" w:cs="Arial"/>
                <w:lang w:val="en-ZA" w:eastAsia="x-none"/>
              </w:rPr>
              <w:t>% increase.</w:t>
            </w:r>
          </w:p>
        </w:tc>
      </w:tr>
    </w:tbl>
    <w:p w:rsidR="00922855" w:rsidRPr="007534E9" w:rsidRDefault="00922855" w:rsidP="00922855">
      <w:pPr>
        <w:rPr>
          <w:rFonts w:ascii="Arial" w:hAnsi="Arial" w:cs="Arial"/>
          <w:lang w:val="en-ZA" w:eastAsia="x-none"/>
        </w:rPr>
      </w:pPr>
    </w:p>
    <w:p w:rsidR="00922855" w:rsidRPr="007534E9" w:rsidRDefault="00922855" w:rsidP="00922855">
      <w:pPr>
        <w:rPr>
          <w:rFonts w:ascii="Arial" w:hAnsi="Arial" w:cs="Arial"/>
          <w:lang w:val="en-ZA" w:eastAsia="x-none"/>
        </w:rPr>
      </w:pPr>
      <w:r>
        <w:rPr>
          <w:rFonts w:ascii="Arial" w:hAnsi="Arial" w:cs="Arial"/>
          <w:lang w:val="en-ZA" w:eastAsia="x-none"/>
        </w:rPr>
        <w:t>(b) T</w:t>
      </w:r>
      <w:r w:rsidRPr="007534E9">
        <w:rPr>
          <w:rFonts w:ascii="Arial" w:hAnsi="Arial" w:cs="Arial"/>
          <w:lang w:val="en-ZA" w:eastAsia="x-none"/>
        </w:rPr>
        <w:t>he criteria used to grant the increases comprised of external market data, projected inflation and affordability.</w:t>
      </w:r>
    </w:p>
    <w:p w:rsidR="00922855" w:rsidRPr="007534E9" w:rsidRDefault="00922855" w:rsidP="00922855">
      <w:pPr>
        <w:rPr>
          <w:rFonts w:ascii="Arial" w:hAnsi="Arial" w:cs="Arial"/>
          <w:lang w:val="en-ZA" w:eastAsia="x-none"/>
        </w:rPr>
      </w:pPr>
      <w:r w:rsidRPr="007534E9">
        <w:rPr>
          <w:rFonts w:ascii="Arial" w:hAnsi="Arial" w:cs="Arial"/>
          <w:lang w:val="en-ZA" w:eastAsia="x-none"/>
        </w:rPr>
        <w:t xml:space="preserve">(c) </w:t>
      </w:r>
      <w:r>
        <w:rPr>
          <w:rFonts w:ascii="Arial" w:hAnsi="Arial" w:cs="Arial"/>
          <w:lang w:val="en-ZA" w:eastAsia="x-none"/>
        </w:rPr>
        <w:t>T</w:t>
      </w:r>
      <w:r w:rsidRPr="007534E9">
        <w:rPr>
          <w:rFonts w:ascii="Arial" w:hAnsi="Arial" w:cs="Arial"/>
          <w:lang w:val="en-ZA" w:eastAsia="x-none"/>
        </w:rPr>
        <w:t>he increases in each specified year were authorised by the RAF Board and the RAF’s Remuneration Committee.</w:t>
      </w:r>
    </w:p>
    <w:p w:rsidR="00922855" w:rsidRPr="007534E9" w:rsidRDefault="00922855" w:rsidP="00922855">
      <w:pPr>
        <w:rPr>
          <w:rFonts w:ascii="Arial" w:hAnsi="Arial" w:cs="Arial"/>
        </w:rPr>
      </w:pPr>
      <w:r w:rsidRPr="007534E9">
        <w:rPr>
          <w:rFonts w:ascii="Arial" w:hAnsi="Arial" w:cs="Arial"/>
        </w:rPr>
        <w:lastRenderedPageBreak/>
        <w:t xml:space="preserve">(2)(a) The following </w:t>
      </w:r>
      <w:r w:rsidRPr="007534E9">
        <w:rPr>
          <w:rFonts w:ascii="Arial" w:hAnsi="Arial" w:cs="Arial"/>
          <w:noProof/>
          <w:lang w:val="af-ZA"/>
        </w:rPr>
        <w:t>bonuses</w:t>
      </w:r>
      <w:r w:rsidRPr="007534E9">
        <w:rPr>
          <w:rFonts w:ascii="Arial" w:hAnsi="Arial" w:cs="Arial"/>
        </w:rPr>
        <w:t xml:space="preserve"> have been given for each grade of employee in the past three financial years:</w:t>
      </w:r>
    </w:p>
    <w:tbl>
      <w:tblPr>
        <w:tblStyle w:val="TableGrid"/>
        <w:tblW w:w="0" w:type="auto"/>
        <w:tblLook w:val="04A0" w:firstRow="1" w:lastRow="0" w:firstColumn="1" w:lastColumn="0" w:noHBand="0" w:noVBand="1"/>
      </w:tblPr>
      <w:tblGrid>
        <w:gridCol w:w="3006"/>
        <w:gridCol w:w="3006"/>
        <w:gridCol w:w="3006"/>
      </w:tblGrid>
      <w:tr w:rsidR="00922855" w:rsidRPr="00AC7D08" w:rsidTr="00922855">
        <w:tc>
          <w:tcPr>
            <w:tcW w:w="3006" w:type="dxa"/>
          </w:tcPr>
          <w:p w:rsidR="00922855" w:rsidRPr="00AC7D08" w:rsidRDefault="00922855" w:rsidP="00922855">
            <w:pPr>
              <w:rPr>
                <w:rFonts w:ascii="Arial" w:hAnsi="Arial" w:cs="Arial"/>
                <w:b/>
                <w:lang w:val="en-ZA" w:eastAsia="x-none"/>
              </w:rPr>
            </w:pPr>
            <w:r w:rsidRPr="00AC7D08">
              <w:rPr>
                <w:rFonts w:ascii="Arial" w:hAnsi="Arial" w:cs="Arial"/>
                <w:b/>
                <w:lang w:val="en-ZA" w:eastAsia="x-none"/>
              </w:rPr>
              <w:t>in the 2016-17 financial year,</w:t>
            </w:r>
          </w:p>
        </w:tc>
        <w:tc>
          <w:tcPr>
            <w:tcW w:w="3006" w:type="dxa"/>
          </w:tcPr>
          <w:p w:rsidR="00922855" w:rsidRPr="00AC7D08" w:rsidRDefault="00922855" w:rsidP="00922855">
            <w:pPr>
              <w:rPr>
                <w:rFonts w:ascii="Arial" w:hAnsi="Arial" w:cs="Arial"/>
                <w:b/>
                <w:lang w:val="en-ZA" w:eastAsia="x-none"/>
              </w:rPr>
            </w:pPr>
            <w:r w:rsidRPr="00AC7D08">
              <w:rPr>
                <w:rFonts w:ascii="Arial" w:hAnsi="Arial" w:cs="Arial"/>
                <w:b/>
                <w:lang w:val="en-ZA" w:eastAsia="x-none"/>
              </w:rPr>
              <w:t xml:space="preserve">in the 2015-16 financial year, </w:t>
            </w:r>
          </w:p>
        </w:tc>
        <w:tc>
          <w:tcPr>
            <w:tcW w:w="3006" w:type="dxa"/>
          </w:tcPr>
          <w:p w:rsidR="00922855" w:rsidRPr="00AC7D08" w:rsidRDefault="00922855" w:rsidP="00922855">
            <w:pPr>
              <w:rPr>
                <w:rFonts w:ascii="Arial" w:hAnsi="Arial" w:cs="Arial"/>
                <w:b/>
                <w:lang w:val="en-ZA" w:eastAsia="x-none"/>
              </w:rPr>
            </w:pPr>
            <w:r w:rsidRPr="00AC7D08">
              <w:rPr>
                <w:rFonts w:ascii="Arial" w:hAnsi="Arial" w:cs="Arial"/>
                <w:b/>
                <w:lang w:val="en-ZA" w:eastAsia="x-none"/>
              </w:rPr>
              <w:t>in the 2014-15 financial year,</w:t>
            </w:r>
          </w:p>
        </w:tc>
      </w:tr>
      <w:tr w:rsidR="00922855" w:rsidTr="00922855">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 – 13 employees, a sum calculated based on qualifying employees’ individual performance scores, as assessed in terms of the RAF’s Performance Management and Development Policy and the individual performance contracts of employees, with a maximum threshold of 15% of the employee’s TEC,</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 – 13 employees, a sum calculated based on qualifying employees’ individual performance scores, as assessed in terms of the RAF’s Performance Management and Development Policy and the individual performance contracts of employees, with a maximum threshold of 15% of the employee’s TEC,</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 xml:space="preserve">in respect of TASK grade 1 – 13 employees, a sum calculated based on qualifying employees’ individual performance scores, as assessed in terms of the RAF’s Performance Management and Development Policy and the individual performance contracts of employees, with a maximum threshold of 15% of the employee’s TEC, </w:t>
            </w:r>
          </w:p>
        </w:tc>
      </w:tr>
      <w:tr w:rsidR="00922855" w:rsidTr="00922855">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14 – 16 employees,</w:t>
            </w:r>
            <w:r w:rsidRPr="00770FD6">
              <w:rPr>
                <w:rFonts w:ascii="Arial" w:hAnsi="Arial" w:cs="Arial"/>
                <w:lang w:val="en-ZA" w:eastAsia="x-none"/>
              </w:rPr>
              <w:t xml:space="preserve"> a sum calculated </w:t>
            </w:r>
            <w:r>
              <w:rPr>
                <w:rFonts w:ascii="Arial" w:hAnsi="Arial" w:cs="Arial"/>
                <w:lang w:val="en-ZA" w:eastAsia="x-none"/>
              </w:rPr>
              <w:t>based on qualifying employees’ individual performance scores, as assessed in terms of the RAF’s Performance Management and Development Policy and the individual performance contracts of employees,</w:t>
            </w:r>
            <w:r w:rsidDel="001D17FC">
              <w:rPr>
                <w:rFonts w:ascii="Arial" w:hAnsi="Arial" w:cs="Arial"/>
                <w:lang w:val="en-ZA" w:eastAsia="x-none"/>
              </w:rPr>
              <w:t xml:space="preserve"> </w:t>
            </w:r>
            <w:r>
              <w:rPr>
                <w:rFonts w:ascii="Arial" w:hAnsi="Arial" w:cs="Arial"/>
                <w:lang w:val="en-ZA" w:eastAsia="x-none"/>
              </w:rPr>
              <w:t>with a maximum threshold of 20% of the employee’s TEC,</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14 – 16 employees,</w:t>
            </w:r>
            <w:r w:rsidRPr="00770FD6">
              <w:rPr>
                <w:rFonts w:ascii="Arial" w:hAnsi="Arial" w:cs="Arial"/>
                <w:lang w:val="en-ZA" w:eastAsia="x-none"/>
              </w:rPr>
              <w:t xml:space="preserve"> a sum calculated </w:t>
            </w:r>
            <w:r>
              <w:rPr>
                <w:rFonts w:ascii="Arial" w:hAnsi="Arial" w:cs="Arial"/>
                <w:lang w:val="en-ZA" w:eastAsia="x-none"/>
              </w:rPr>
              <w:t>based on qualifying employees’ individual performance scores, as assessed in terms of the RAF’s Performance Management and Development Policy and the individual performance contracts of employees, with a maximum threshold of 20% of the employee’s TEC,</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14 – 16 employees,</w:t>
            </w:r>
            <w:r w:rsidRPr="00770FD6">
              <w:rPr>
                <w:rFonts w:ascii="Arial" w:hAnsi="Arial" w:cs="Arial"/>
                <w:lang w:val="en-ZA" w:eastAsia="x-none"/>
              </w:rPr>
              <w:t xml:space="preserve"> a sum calculated </w:t>
            </w:r>
            <w:r>
              <w:rPr>
                <w:rFonts w:ascii="Arial" w:hAnsi="Arial" w:cs="Arial"/>
                <w:lang w:val="en-ZA" w:eastAsia="x-none"/>
              </w:rPr>
              <w:t>based on qualifying employees’ individual performance scores, as assessed in terms of the RAF’s Performance Management and Development Policy and the individual performance contracts of employees, with a maximum threshold of 20% of the employee’s TEC,</w:t>
            </w:r>
          </w:p>
        </w:tc>
      </w:tr>
      <w:tr w:rsidR="00922855" w:rsidTr="00922855">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18 – 20 employees,</w:t>
            </w:r>
            <w:r w:rsidRPr="00770FD6">
              <w:rPr>
                <w:rFonts w:ascii="Arial" w:hAnsi="Arial" w:cs="Arial"/>
                <w:lang w:val="en-ZA" w:eastAsia="x-none"/>
              </w:rPr>
              <w:t xml:space="preserve"> a sum calculated </w:t>
            </w:r>
            <w:r>
              <w:rPr>
                <w:rFonts w:ascii="Arial" w:hAnsi="Arial" w:cs="Arial"/>
                <w:lang w:val="en-ZA" w:eastAsia="x-none"/>
              </w:rPr>
              <w:t xml:space="preserve">based on qualifying employees’ individual performance scores, as assessed in terms of the RAF’s Performance Management and Development Policy and the individual performance contracts of employees, with a maximum threshold of 25% of the employee’s TEC, </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18 – 20 employees,</w:t>
            </w:r>
            <w:r w:rsidRPr="00770FD6">
              <w:rPr>
                <w:rFonts w:ascii="Arial" w:hAnsi="Arial" w:cs="Arial"/>
                <w:lang w:val="en-ZA" w:eastAsia="x-none"/>
              </w:rPr>
              <w:t xml:space="preserve"> a sum calculated </w:t>
            </w:r>
            <w:r>
              <w:rPr>
                <w:rFonts w:ascii="Arial" w:hAnsi="Arial" w:cs="Arial"/>
                <w:lang w:val="en-ZA" w:eastAsia="x-none"/>
              </w:rPr>
              <w:t xml:space="preserve">based on qualifying employees’ individual performance scores, as assessed in terms of the RAF’s Performance Management and Development Policy and the individual performance contracts of employees, with a maximum threshold of 25% of the employee’s TEC, </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18 – 20 employees,</w:t>
            </w:r>
            <w:r w:rsidRPr="00770FD6">
              <w:rPr>
                <w:rFonts w:ascii="Arial" w:hAnsi="Arial" w:cs="Arial"/>
                <w:lang w:val="en-ZA" w:eastAsia="x-none"/>
              </w:rPr>
              <w:t xml:space="preserve"> a sum calculated </w:t>
            </w:r>
            <w:r>
              <w:rPr>
                <w:rFonts w:ascii="Arial" w:hAnsi="Arial" w:cs="Arial"/>
                <w:lang w:val="en-ZA" w:eastAsia="x-none"/>
              </w:rPr>
              <w:t>based on qualifying employees’ individual performance scores, as assessed in terms of the RAF’s Performance Management and Development Policy and the individual performance contracts of employees, with a maximum threshold of 25% of the employee’s TEC,</w:t>
            </w:r>
          </w:p>
        </w:tc>
      </w:tr>
      <w:tr w:rsidR="00922855" w:rsidTr="00922855">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TASK grade 21 – 24 employees,</w:t>
            </w:r>
            <w:r w:rsidRPr="00770FD6">
              <w:rPr>
                <w:rFonts w:ascii="Arial" w:hAnsi="Arial" w:cs="Arial"/>
                <w:lang w:val="en-ZA" w:eastAsia="x-none"/>
              </w:rPr>
              <w:t xml:space="preserve"> a sum calculated </w:t>
            </w:r>
            <w:r>
              <w:rPr>
                <w:rFonts w:ascii="Arial" w:hAnsi="Arial" w:cs="Arial"/>
                <w:lang w:val="en-ZA" w:eastAsia="x-none"/>
              </w:rPr>
              <w:t xml:space="preserve">based on qualifying employees’ individual performance scores, as assessed in terms of the RAF’s Performance Management and Development Policy and the individual </w:t>
            </w:r>
            <w:r>
              <w:rPr>
                <w:rFonts w:ascii="Arial" w:hAnsi="Arial" w:cs="Arial"/>
                <w:lang w:val="en-ZA" w:eastAsia="x-none"/>
              </w:rPr>
              <w:lastRenderedPageBreak/>
              <w:t>performance contracts of employees, with a maximum threshold of 30% of the employee’s TEC, and</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lastRenderedPageBreak/>
              <w:t>in respect of TASK grade 21 – 24 employees,</w:t>
            </w:r>
            <w:r w:rsidRPr="00770FD6">
              <w:rPr>
                <w:rFonts w:ascii="Arial" w:hAnsi="Arial" w:cs="Arial"/>
                <w:lang w:val="en-ZA" w:eastAsia="x-none"/>
              </w:rPr>
              <w:t xml:space="preserve"> a sum calculated </w:t>
            </w:r>
            <w:r>
              <w:rPr>
                <w:rFonts w:ascii="Arial" w:hAnsi="Arial" w:cs="Arial"/>
                <w:lang w:val="en-ZA" w:eastAsia="x-none"/>
              </w:rPr>
              <w:t xml:space="preserve">based on qualifying employees’ individual performance scores, as assessed in terms of the RAF’s Performance Management and Development Policy and the individual </w:t>
            </w:r>
            <w:r>
              <w:rPr>
                <w:rFonts w:ascii="Arial" w:hAnsi="Arial" w:cs="Arial"/>
                <w:lang w:val="en-ZA" w:eastAsia="x-none"/>
              </w:rPr>
              <w:lastRenderedPageBreak/>
              <w:t>performance contracts of employees, with a maximum threshold of 30% of the employee’s TEC, and</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lastRenderedPageBreak/>
              <w:t>in respect of TASK grade 21 – 24 employees,</w:t>
            </w:r>
            <w:r w:rsidRPr="00770FD6">
              <w:rPr>
                <w:rFonts w:ascii="Arial" w:hAnsi="Arial" w:cs="Arial"/>
                <w:lang w:val="en-ZA" w:eastAsia="x-none"/>
              </w:rPr>
              <w:t xml:space="preserve"> a sum calculated </w:t>
            </w:r>
            <w:r>
              <w:rPr>
                <w:rFonts w:ascii="Arial" w:hAnsi="Arial" w:cs="Arial"/>
                <w:lang w:val="en-ZA" w:eastAsia="x-none"/>
              </w:rPr>
              <w:t xml:space="preserve">based on qualifying employees’ individual performance scores, as assessed in terms of the RAF’s Performance Management and Development Policy and the individual </w:t>
            </w:r>
            <w:r>
              <w:rPr>
                <w:rFonts w:ascii="Arial" w:hAnsi="Arial" w:cs="Arial"/>
                <w:lang w:val="en-ZA" w:eastAsia="x-none"/>
              </w:rPr>
              <w:lastRenderedPageBreak/>
              <w:t>performance contracts of employees, with a maximum threshold of 30% of the employee’s TEC, and</w:t>
            </w:r>
          </w:p>
        </w:tc>
      </w:tr>
      <w:tr w:rsidR="00922855" w:rsidTr="00922855">
        <w:tc>
          <w:tcPr>
            <w:tcW w:w="3006" w:type="dxa"/>
          </w:tcPr>
          <w:p w:rsidR="00922855" w:rsidRDefault="00922855" w:rsidP="00922855">
            <w:pPr>
              <w:rPr>
                <w:rFonts w:ascii="Arial" w:hAnsi="Arial" w:cs="Arial"/>
                <w:lang w:val="en-ZA" w:eastAsia="x-none"/>
              </w:rPr>
            </w:pPr>
            <w:r>
              <w:rPr>
                <w:rFonts w:ascii="Arial" w:hAnsi="Arial" w:cs="Arial"/>
                <w:lang w:val="en-ZA" w:eastAsia="x-none"/>
              </w:rPr>
              <w:lastRenderedPageBreak/>
              <w:t>in respect of the TASK grade 25 employee,</w:t>
            </w:r>
            <w:r w:rsidRPr="00770FD6">
              <w:rPr>
                <w:rFonts w:ascii="Arial" w:hAnsi="Arial" w:cs="Arial"/>
                <w:lang w:val="en-ZA" w:eastAsia="x-none"/>
              </w:rPr>
              <w:t xml:space="preserve"> a sum calculated </w:t>
            </w:r>
            <w:r>
              <w:rPr>
                <w:rFonts w:ascii="Arial" w:hAnsi="Arial" w:cs="Arial"/>
                <w:lang w:val="en-ZA" w:eastAsia="x-none"/>
              </w:rPr>
              <w:t>based on the employee’s individual performance score, as assessed in terms of the RAF’s Performance Management and Development Policy and the individual performance contract of the employee, with a maximum threshold of 50% of the employee’s TEC.</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the TASK grade 25 employee,</w:t>
            </w:r>
            <w:r w:rsidRPr="00770FD6">
              <w:rPr>
                <w:rFonts w:ascii="Arial" w:hAnsi="Arial" w:cs="Arial"/>
                <w:lang w:val="en-ZA" w:eastAsia="x-none"/>
              </w:rPr>
              <w:t xml:space="preserve"> a sum calculated </w:t>
            </w:r>
            <w:r>
              <w:rPr>
                <w:rFonts w:ascii="Arial" w:hAnsi="Arial" w:cs="Arial"/>
                <w:lang w:val="en-ZA" w:eastAsia="x-none"/>
              </w:rPr>
              <w:t>based on the  employee’s individual performance score, as assessed in terms of the RAF’s Performance Management and Development Policy and the individual performance contract of the employee, with a maximum threshold of 50% of the employee’s TEC.</w:t>
            </w:r>
          </w:p>
        </w:tc>
        <w:tc>
          <w:tcPr>
            <w:tcW w:w="3006" w:type="dxa"/>
          </w:tcPr>
          <w:p w:rsidR="00922855" w:rsidRDefault="00922855" w:rsidP="00922855">
            <w:pPr>
              <w:rPr>
                <w:rFonts w:ascii="Arial" w:hAnsi="Arial" w:cs="Arial"/>
                <w:lang w:val="en-ZA" w:eastAsia="x-none"/>
              </w:rPr>
            </w:pPr>
            <w:r>
              <w:rPr>
                <w:rFonts w:ascii="Arial" w:hAnsi="Arial" w:cs="Arial"/>
                <w:lang w:val="en-ZA" w:eastAsia="x-none"/>
              </w:rPr>
              <w:t>in respect of the TASK grade 25 employee,</w:t>
            </w:r>
            <w:r w:rsidRPr="00770FD6">
              <w:rPr>
                <w:rFonts w:ascii="Arial" w:hAnsi="Arial" w:cs="Arial"/>
                <w:lang w:val="en-ZA" w:eastAsia="x-none"/>
              </w:rPr>
              <w:t xml:space="preserve"> a sum calculated </w:t>
            </w:r>
            <w:r>
              <w:rPr>
                <w:rFonts w:ascii="Arial" w:hAnsi="Arial" w:cs="Arial"/>
                <w:lang w:val="en-ZA" w:eastAsia="x-none"/>
              </w:rPr>
              <w:t>based on the  employee’s individual performance score, as assessed in terms of the RAF’s Performance Management and Development Policy and the individual performance contract of the employee, with a maximum threshold of 50% of the employee’s TEC.</w:t>
            </w:r>
          </w:p>
        </w:tc>
      </w:tr>
    </w:tbl>
    <w:p w:rsidR="00922855" w:rsidRDefault="00922855" w:rsidP="00922855">
      <w:pPr>
        <w:rPr>
          <w:rFonts w:ascii="Arial" w:hAnsi="Arial" w:cs="Arial"/>
        </w:rPr>
      </w:pPr>
    </w:p>
    <w:p w:rsidR="00922855" w:rsidRDefault="00922855" w:rsidP="00922855">
      <w:pPr>
        <w:rPr>
          <w:rFonts w:ascii="Arial" w:hAnsi="Arial" w:cs="Arial"/>
        </w:rPr>
      </w:pPr>
      <w:r>
        <w:rPr>
          <w:rFonts w:ascii="Arial" w:hAnsi="Arial" w:cs="Arial"/>
        </w:rPr>
        <w:t xml:space="preserve">(b) The criteria used in each financial year to grant the bonuses, comprised of </w:t>
      </w:r>
      <w:proofErr w:type="spellStart"/>
      <w:r>
        <w:rPr>
          <w:rFonts w:ascii="Arial" w:hAnsi="Arial" w:cs="Arial"/>
        </w:rPr>
        <w:t>organisational</w:t>
      </w:r>
      <w:proofErr w:type="spellEnd"/>
      <w:r>
        <w:rPr>
          <w:rFonts w:ascii="Arial" w:hAnsi="Arial" w:cs="Arial"/>
        </w:rPr>
        <w:t xml:space="preserve"> and individual performance.</w:t>
      </w:r>
    </w:p>
    <w:p w:rsidR="00922855" w:rsidRDefault="00922855" w:rsidP="00922855">
      <w:pPr>
        <w:rPr>
          <w:rFonts w:ascii="Arial" w:hAnsi="Arial" w:cs="Arial"/>
          <w:lang w:val="en-ZA" w:eastAsia="x-none"/>
        </w:rPr>
      </w:pPr>
      <w:r>
        <w:rPr>
          <w:rFonts w:ascii="Arial" w:hAnsi="Arial" w:cs="Arial"/>
          <w:lang w:val="en-ZA" w:eastAsia="x-none"/>
        </w:rPr>
        <w:t>(c) The bonuses in each specified year were authorised by the RAF Board and the RAF’s Remuneration Committee.</w:t>
      </w:r>
    </w:p>
    <w:p w:rsidR="00922855" w:rsidRDefault="00922855" w:rsidP="00922855">
      <w:pPr>
        <w:rPr>
          <w:rFonts w:ascii="Arial" w:hAnsi="Arial" w:cs="Arial"/>
          <w:b/>
          <w:lang w:val="en-ZA" w:eastAsia="x-none"/>
        </w:rPr>
      </w:pPr>
      <w:r w:rsidRPr="00DF1917">
        <w:rPr>
          <w:rFonts w:ascii="Arial" w:hAnsi="Arial" w:cs="Arial"/>
          <w:b/>
          <w:lang w:val="en-ZA" w:eastAsia="x-none"/>
        </w:rPr>
        <w:t>SANRAL</w:t>
      </w:r>
    </w:p>
    <w:p w:rsidR="00922855" w:rsidRPr="00AC7D08" w:rsidRDefault="00922855" w:rsidP="00922855">
      <w:pPr>
        <w:rPr>
          <w:rFonts w:ascii="Arial" w:hAnsi="Arial" w:cs="Arial"/>
          <w:lang w:val="en-ZA" w:eastAsia="x-none"/>
        </w:rPr>
      </w:pPr>
      <w:r w:rsidRPr="00AC7D08">
        <w:rPr>
          <w:rFonts w:ascii="Arial" w:hAnsi="Arial" w:cs="Arial"/>
          <w:lang w:val="en-ZA" w:eastAsia="x-none"/>
        </w:rPr>
        <w:t>Table below provides summary of annual increases during the past three financial years.</w:t>
      </w:r>
    </w:p>
    <w:p w:rsidR="00922855" w:rsidRDefault="00922855" w:rsidP="00922855">
      <w:pPr>
        <w:spacing w:before="100" w:beforeAutospacing="1" w:after="100" w:afterAutospacing="1" w:line="240" w:lineRule="auto"/>
        <w:ind w:left="1440" w:hanging="629"/>
        <w:jc w:val="both"/>
        <w:rPr>
          <w:rFonts w:ascii="Arial" w:hAnsi="Arial" w:cs="Arial"/>
        </w:rPr>
      </w:pPr>
      <w:r w:rsidRPr="00AA32ED">
        <w:rPr>
          <w:rFonts w:ascii="Arial" w:hAnsi="Arial" w:cs="Arial"/>
        </w:rPr>
        <w:t>(</w:t>
      </w:r>
      <w:r>
        <w:rPr>
          <w:rFonts w:ascii="Arial" w:hAnsi="Arial" w:cs="Arial"/>
        </w:rPr>
        <w:t>1)(a</w:t>
      </w:r>
      <w:r w:rsidRPr="00AA32ED">
        <w:rPr>
          <w:rFonts w:ascii="Arial" w:hAnsi="Arial" w:cs="Arial"/>
        </w:rPr>
        <w:t>)</w:t>
      </w:r>
      <w:r>
        <w:rPr>
          <w:rFonts w:ascii="Arial" w:hAnsi="Arial" w:cs="Arial"/>
        </w:rPr>
        <w:t xml:space="preserve"> (</w:t>
      </w:r>
      <w:proofErr w:type="gramStart"/>
      <w:r>
        <w:rPr>
          <w:rFonts w:ascii="Arial" w:hAnsi="Arial" w:cs="Arial"/>
        </w:rPr>
        <w:t>ii</w:t>
      </w:r>
      <w:proofErr w:type="gramEnd"/>
      <w:r>
        <w:rPr>
          <w:rFonts w:ascii="Arial" w:hAnsi="Arial" w:cs="Arial"/>
        </w:rPr>
        <w:t>)</w:t>
      </w:r>
    </w:p>
    <w:tbl>
      <w:tblPr>
        <w:tblStyle w:val="TableGrid"/>
        <w:tblW w:w="0" w:type="auto"/>
        <w:tblInd w:w="1440" w:type="dxa"/>
        <w:tblLook w:val="04A0" w:firstRow="1" w:lastRow="0" w:firstColumn="1" w:lastColumn="0" w:noHBand="0" w:noVBand="1"/>
      </w:tblPr>
      <w:tblGrid>
        <w:gridCol w:w="1462"/>
        <w:gridCol w:w="1356"/>
        <w:gridCol w:w="1349"/>
        <w:gridCol w:w="1648"/>
      </w:tblGrid>
      <w:tr w:rsidR="00922855" w:rsidRPr="00AA32ED" w:rsidTr="00922855">
        <w:trPr>
          <w:trHeight w:val="242"/>
        </w:trPr>
        <w:tc>
          <w:tcPr>
            <w:tcW w:w="1462" w:type="dxa"/>
            <w:vMerge w:val="restart"/>
          </w:tcPr>
          <w:p w:rsidR="00922855" w:rsidRPr="00AE6710" w:rsidRDefault="00922855" w:rsidP="00922855">
            <w:pPr>
              <w:spacing w:before="100" w:beforeAutospacing="1" w:after="100" w:afterAutospacing="1"/>
              <w:jc w:val="both"/>
              <w:rPr>
                <w:rFonts w:ascii="Arial" w:hAnsi="Arial" w:cs="Arial"/>
                <w:b/>
              </w:rPr>
            </w:pPr>
            <w:r w:rsidRPr="00AE6710">
              <w:rPr>
                <w:rFonts w:ascii="Arial" w:hAnsi="Arial" w:cs="Arial"/>
                <w:b/>
              </w:rPr>
              <w:t>SANRAL GRADE</w:t>
            </w:r>
          </w:p>
        </w:tc>
        <w:tc>
          <w:tcPr>
            <w:tcW w:w="4353" w:type="dxa"/>
            <w:gridSpan w:val="3"/>
          </w:tcPr>
          <w:p w:rsidR="00922855" w:rsidRPr="00AE6710" w:rsidRDefault="00922855" w:rsidP="00922855">
            <w:pPr>
              <w:spacing w:before="100" w:beforeAutospacing="1" w:after="100" w:afterAutospacing="1"/>
              <w:jc w:val="both"/>
              <w:rPr>
                <w:rFonts w:ascii="Arial" w:hAnsi="Arial" w:cs="Arial"/>
                <w:b/>
              </w:rPr>
            </w:pPr>
            <w:r w:rsidRPr="00AE6710">
              <w:rPr>
                <w:rFonts w:ascii="Arial" w:hAnsi="Arial" w:cs="Arial"/>
                <w:b/>
              </w:rPr>
              <w:t>Summary of salary increases for the past 3 financial years</w:t>
            </w:r>
          </w:p>
        </w:tc>
      </w:tr>
      <w:tr w:rsidR="00922855" w:rsidRPr="00AA32ED" w:rsidTr="00922855">
        <w:trPr>
          <w:trHeight w:val="242"/>
        </w:trPr>
        <w:tc>
          <w:tcPr>
            <w:tcW w:w="1462" w:type="dxa"/>
            <w:vMerge/>
          </w:tcPr>
          <w:p w:rsidR="00922855" w:rsidRPr="00AA32ED" w:rsidRDefault="00922855" w:rsidP="00922855">
            <w:pPr>
              <w:spacing w:before="100" w:beforeAutospacing="1" w:after="100" w:afterAutospacing="1"/>
              <w:jc w:val="both"/>
              <w:rPr>
                <w:rFonts w:ascii="Arial" w:hAnsi="Arial" w:cs="Arial"/>
              </w:rPr>
            </w:pPr>
          </w:p>
        </w:tc>
        <w:tc>
          <w:tcPr>
            <w:tcW w:w="1356" w:type="dxa"/>
          </w:tcPr>
          <w:p w:rsidR="00922855" w:rsidRPr="00AE6710" w:rsidRDefault="00922855" w:rsidP="00922855">
            <w:pPr>
              <w:spacing w:before="100" w:beforeAutospacing="1" w:after="100" w:afterAutospacing="1"/>
              <w:jc w:val="both"/>
              <w:rPr>
                <w:rFonts w:ascii="Arial" w:hAnsi="Arial" w:cs="Arial"/>
                <w:b/>
              </w:rPr>
            </w:pPr>
            <w:r w:rsidRPr="00AE6710">
              <w:rPr>
                <w:rFonts w:ascii="Arial" w:hAnsi="Arial" w:cs="Arial"/>
                <w:b/>
              </w:rPr>
              <w:t>Mar 2015</w:t>
            </w:r>
          </w:p>
        </w:tc>
        <w:tc>
          <w:tcPr>
            <w:tcW w:w="1349" w:type="dxa"/>
          </w:tcPr>
          <w:p w:rsidR="00922855" w:rsidRPr="00AE6710" w:rsidRDefault="00922855" w:rsidP="00922855">
            <w:pPr>
              <w:spacing w:before="100" w:beforeAutospacing="1" w:after="100" w:afterAutospacing="1"/>
              <w:jc w:val="both"/>
              <w:rPr>
                <w:rFonts w:ascii="Arial" w:hAnsi="Arial" w:cs="Arial"/>
                <w:b/>
              </w:rPr>
            </w:pPr>
            <w:r w:rsidRPr="00AE6710">
              <w:rPr>
                <w:rFonts w:ascii="Arial" w:hAnsi="Arial" w:cs="Arial"/>
                <w:b/>
              </w:rPr>
              <w:t>Mar 2016</w:t>
            </w:r>
          </w:p>
        </w:tc>
        <w:tc>
          <w:tcPr>
            <w:tcW w:w="1648" w:type="dxa"/>
          </w:tcPr>
          <w:p w:rsidR="00922855" w:rsidRPr="00AE6710" w:rsidRDefault="00922855" w:rsidP="00922855">
            <w:pPr>
              <w:spacing w:before="100" w:beforeAutospacing="1" w:after="100" w:afterAutospacing="1"/>
              <w:jc w:val="both"/>
              <w:rPr>
                <w:rFonts w:ascii="Arial" w:hAnsi="Arial" w:cs="Arial"/>
                <w:b/>
              </w:rPr>
            </w:pPr>
            <w:r w:rsidRPr="00AE6710">
              <w:rPr>
                <w:rFonts w:ascii="Arial" w:hAnsi="Arial" w:cs="Arial"/>
                <w:b/>
              </w:rPr>
              <w:t>Mar 2017</w:t>
            </w:r>
          </w:p>
        </w:tc>
      </w:tr>
      <w:tr w:rsidR="00922855" w:rsidRPr="00AA32ED" w:rsidTr="00922855">
        <w:trPr>
          <w:trHeight w:val="242"/>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A</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12%</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10%</w:t>
            </w:r>
          </w:p>
        </w:tc>
        <w:tc>
          <w:tcPr>
            <w:tcW w:w="1648"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8%</w:t>
            </w:r>
          </w:p>
        </w:tc>
      </w:tr>
      <w:tr w:rsidR="00922855" w:rsidRPr="00AA32ED" w:rsidTr="00922855">
        <w:trPr>
          <w:trHeight w:val="228"/>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B</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9.9%</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7%</w:t>
            </w:r>
          </w:p>
        </w:tc>
        <w:tc>
          <w:tcPr>
            <w:tcW w:w="1648"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14%</w:t>
            </w:r>
          </w:p>
        </w:tc>
      </w:tr>
      <w:tr w:rsidR="00922855" w:rsidRPr="00AA32ED" w:rsidTr="00922855">
        <w:trPr>
          <w:trHeight w:val="242"/>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C</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9.9%</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10%</w:t>
            </w:r>
          </w:p>
        </w:tc>
        <w:tc>
          <w:tcPr>
            <w:tcW w:w="1648"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w:t>
            </w:r>
          </w:p>
        </w:tc>
      </w:tr>
      <w:tr w:rsidR="00922855" w:rsidRPr="00AA32ED" w:rsidTr="00922855">
        <w:trPr>
          <w:trHeight w:val="228"/>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D</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9.9%</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7%</w:t>
            </w:r>
          </w:p>
        </w:tc>
        <w:tc>
          <w:tcPr>
            <w:tcW w:w="1648"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7%</w:t>
            </w:r>
          </w:p>
        </w:tc>
      </w:tr>
      <w:tr w:rsidR="00922855" w:rsidRPr="00AA32ED" w:rsidTr="00922855">
        <w:trPr>
          <w:trHeight w:val="242"/>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EL</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9.9%</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7%</w:t>
            </w:r>
          </w:p>
        </w:tc>
        <w:tc>
          <w:tcPr>
            <w:tcW w:w="1648"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6.5%</w:t>
            </w:r>
          </w:p>
        </w:tc>
      </w:tr>
      <w:tr w:rsidR="00922855" w:rsidRPr="00AA32ED" w:rsidTr="00922855">
        <w:trPr>
          <w:trHeight w:val="242"/>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EU</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9.95%</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7%</w:t>
            </w:r>
          </w:p>
        </w:tc>
        <w:tc>
          <w:tcPr>
            <w:tcW w:w="1648"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7.5%</w:t>
            </w:r>
          </w:p>
        </w:tc>
      </w:tr>
      <w:tr w:rsidR="00922855" w:rsidRPr="00AA32ED" w:rsidTr="00922855">
        <w:trPr>
          <w:trHeight w:val="228"/>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F</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9.93%</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7%</w:t>
            </w:r>
          </w:p>
        </w:tc>
        <w:tc>
          <w:tcPr>
            <w:tcW w:w="1648"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9%</w:t>
            </w:r>
          </w:p>
        </w:tc>
      </w:tr>
      <w:tr w:rsidR="00922855" w:rsidRPr="00AA32ED" w:rsidTr="00922855">
        <w:trPr>
          <w:trHeight w:val="460"/>
        </w:trPr>
        <w:tc>
          <w:tcPr>
            <w:tcW w:w="1462" w:type="dxa"/>
          </w:tcPr>
          <w:p w:rsidR="00922855" w:rsidRPr="00AA32ED" w:rsidRDefault="00922855" w:rsidP="00922855">
            <w:pPr>
              <w:spacing w:before="100" w:beforeAutospacing="1" w:after="100" w:afterAutospacing="1"/>
              <w:jc w:val="both"/>
              <w:rPr>
                <w:rFonts w:ascii="Arial" w:hAnsi="Arial" w:cs="Arial"/>
              </w:rPr>
            </w:pPr>
            <w:r w:rsidRPr="00AA32ED">
              <w:rPr>
                <w:rFonts w:ascii="Arial" w:hAnsi="Arial" w:cs="Arial"/>
              </w:rPr>
              <w:t>Grade G</w:t>
            </w:r>
          </w:p>
        </w:tc>
        <w:tc>
          <w:tcPr>
            <w:tcW w:w="1356"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6.2%</w:t>
            </w:r>
          </w:p>
        </w:tc>
        <w:tc>
          <w:tcPr>
            <w:tcW w:w="1349" w:type="dxa"/>
          </w:tcPr>
          <w:p w:rsidR="00922855" w:rsidRPr="00AA32ED" w:rsidRDefault="00922855" w:rsidP="00922855">
            <w:pPr>
              <w:spacing w:before="100" w:beforeAutospacing="1" w:after="100" w:afterAutospacing="1"/>
              <w:jc w:val="center"/>
              <w:rPr>
                <w:rFonts w:ascii="Arial" w:hAnsi="Arial" w:cs="Arial"/>
              </w:rPr>
            </w:pPr>
            <w:r w:rsidRPr="00AA32ED">
              <w:rPr>
                <w:rFonts w:ascii="Arial" w:hAnsi="Arial" w:cs="Arial"/>
              </w:rPr>
              <w:t>6.9%</w:t>
            </w:r>
          </w:p>
        </w:tc>
        <w:tc>
          <w:tcPr>
            <w:tcW w:w="1648" w:type="dxa"/>
          </w:tcPr>
          <w:p w:rsidR="00922855" w:rsidRPr="00AA32ED" w:rsidRDefault="00922855" w:rsidP="00922855">
            <w:pPr>
              <w:spacing w:before="100" w:beforeAutospacing="1" w:after="100" w:afterAutospacing="1"/>
              <w:jc w:val="center"/>
              <w:rPr>
                <w:rFonts w:ascii="Arial" w:hAnsi="Arial" w:cs="Arial"/>
              </w:rPr>
            </w:pPr>
          </w:p>
        </w:tc>
      </w:tr>
    </w:tbl>
    <w:p w:rsidR="00922855" w:rsidRPr="00AA32ED" w:rsidRDefault="00922855" w:rsidP="00922855">
      <w:pPr>
        <w:ind w:left="567"/>
        <w:rPr>
          <w:rFonts w:ascii="Arial" w:hAnsi="Arial" w:cs="Arial"/>
        </w:rPr>
      </w:pPr>
    </w:p>
    <w:p w:rsidR="00922855" w:rsidRPr="00AA32ED" w:rsidRDefault="00922855" w:rsidP="00922855">
      <w:pPr>
        <w:ind w:left="567"/>
        <w:jc w:val="both"/>
        <w:rPr>
          <w:rFonts w:ascii="Arial" w:hAnsi="Arial" w:cs="Arial"/>
        </w:rPr>
      </w:pPr>
      <w:r w:rsidRPr="00AA32ED">
        <w:rPr>
          <w:rFonts w:ascii="Arial" w:hAnsi="Arial" w:cs="Arial"/>
        </w:rPr>
        <w:t>1 (b)</w:t>
      </w:r>
      <w:r>
        <w:rPr>
          <w:rFonts w:ascii="Arial" w:hAnsi="Arial" w:cs="Arial"/>
        </w:rPr>
        <w:t xml:space="preserve"> In accordance with SANRAL Policy on remuneration, each year SANRAL undertakes a salary survey exercise through an independent service provider. </w:t>
      </w:r>
      <w:r w:rsidRPr="00AA32ED">
        <w:rPr>
          <w:rFonts w:ascii="Arial" w:hAnsi="Arial" w:cs="Arial"/>
        </w:rPr>
        <w:t xml:space="preserve"> Salary adjustments are effective from 1 March, annually.  </w:t>
      </w:r>
    </w:p>
    <w:p w:rsidR="00922855" w:rsidRPr="00AA32ED" w:rsidRDefault="00922855" w:rsidP="00922855">
      <w:pPr>
        <w:ind w:left="567"/>
        <w:rPr>
          <w:rFonts w:ascii="Arial" w:hAnsi="Arial" w:cs="Arial"/>
        </w:rPr>
      </w:pPr>
      <w:r w:rsidRPr="00AA32ED">
        <w:rPr>
          <w:rFonts w:ascii="Arial" w:hAnsi="Arial" w:cs="Arial"/>
        </w:rPr>
        <w:t>SANRAL will typically take into account a number of factors in determining</w:t>
      </w:r>
      <w:r>
        <w:rPr>
          <w:rFonts w:ascii="Arial" w:hAnsi="Arial" w:cs="Arial"/>
        </w:rPr>
        <w:t xml:space="preserve"> annual adjustment </w:t>
      </w:r>
      <w:r w:rsidRPr="00AA32ED">
        <w:rPr>
          <w:rFonts w:ascii="Arial" w:hAnsi="Arial" w:cs="Arial"/>
        </w:rPr>
        <w:t>to the payroll</w:t>
      </w:r>
      <w:r>
        <w:rPr>
          <w:rFonts w:ascii="Arial" w:hAnsi="Arial" w:cs="Arial"/>
        </w:rPr>
        <w:t>, per grade</w:t>
      </w:r>
      <w:r w:rsidRPr="00AA32ED">
        <w:rPr>
          <w:rFonts w:ascii="Arial" w:hAnsi="Arial" w:cs="Arial"/>
        </w:rPr>
        <w:t>. These include:</w:t>
      </w:r>
    </w:p>
    <w:p w:rsidR="00922855" w:rsidRPr="00AA32ED" w:rsidRDefault="00922855" w:rsidP="00F05BC8">
      <w:pPr>
        <w:pStyle w:val="ListParagraph"/>
        <w:numPr>
          <w:ilvl w:val="0"/>
          <w:numId w:val="16"/>
        </w:numPr>
        <w:spacing w:before="100" w:beforeAutospacing="1" w:after="100" w:afterAutospacing="1" w:line="240" w:lineRule="auto"/>
        <w:jc w:val="both"/>
        <w:rPr>
          <w:rFonts w:ascii="Arial" w:hAnsi="Arial" w:cs="Arial"/>
        </w:rPr>
      </w:pPr>
      <w:r w:rsidRPr="00AA32ED">
        <w:rPr>
          <w:rFonts w:ascii="Arial" w:hAnsi="Arial" w:cs="Arial"/>
        </w:rPr>
        <w:t>Performance appraisal / individual performance</w:t>
      </w:r>
    </w:p>
    <w:p w:rsidR="00922855" w:rsidRPr="00AA32ED" w:rsidRDefault="00922855" w:rsidP="00F05BC8">
      <w:pPr>
        <w:pStyle w:val="ListParagraph"/>
        <w:numPr>
          <w:ilvl w:val="0"/>
          <w:numId w:val="16"/>
        </w:numPr>
        <w:spacing w:before="100" w:beforeAutospacing="1" w:after="100" w:afterAutospacing="1" w:line="240" w:lineRule="auto"/>
        <w:jc w:val="both"/>
        <w:rPr>
          <w:rFonts w:ascii="Arial" w:hAnsi="Arial" w:cs="Arial"/>
        </w:rPr>
      </w:pPr>
      <w:r w:rsidRPr="00AA32ED">
        <w:rPr>
          <w:rFonts w:ascii="Arial" w:hAnsi="Arial" w:cs="Arial"/>
        </w:rPr>
        <w:t>CPI</w:t>
      </w:r>
    </w:p>
    <w:p w:rsidR="00922855" w:rsidRPr="00AA32ED" w:rsidRDefault="00922855" w:rsidP="00F05BC8">
      <w:pPr>
        <w:pStyle w:val="ListParagraph"/>
        <w:numPr>
          <w:ilvl w:val="0"/>
          <w:numId w:val="16"/>
        </w:numPr>
        <w:spacing w:before="100" w:beforeAutospacing="1" w:after="100" w:afterAutospacing="1" w:line="240" w:lineRule="auto"/>
        <w:jc w:val="both"/>
        <w:rPr>
          <w:rFonts w:ascii="Arial" w:hAnsi="Arial" w:cs="Arial"/>
        </w:rPr>
      </w:pPr>
      <w:r w:rsidRPr="00AA32ED">
        <w:rPr>
          <w:rFonts w:ascii="Arial" w:hAnsi="Arial" w:cs="Arial"/>
        </w:rPr>
        <w:t>Affordability</w:t>
      </w:r>
    </w:p>
    <w:p w:rsidR="00922855" w:rsidRPr="00AA32ED" w:rsidRDefault="00922855" w:rsidP="00F05BC8">
      <w:pPr>
        <w:pStyle w:val="ListParagraph"/>
        <w:numPr>
          <w:ilvl w:val="0"/>
          <w:numId w:val="16"/>
        </w:numPr>
        <w:spacing w:before="100" w:beforeAutospacing="1" w:after="100" w:afterAutospacing="1" w:line="240" w:lineRule="auto"/>
        <w:jc w:val="both"/>
        <w:rPr>
          <w:rFonts w:ascii="Arial" w:hAnsi="Arial" w:cs="Arial"/>
        </w:rPr>
      </w:pPr>
      <w:r w:rsidRPr="00AA32ED">
        <w:rPr>
          <w:rFonts w:ascii="Arial" w:hAnsi="Arial" w:cs="Arial"/>
        </w:rPr>
        <w:lastRenderedPageBreak/>
        <w:t>Market comparisons / salary survey</w:t>
      </w:r>
    </w:p>
    <w:p w:rsidR="00922855" w:rsidRPr="00AA32ED" w:rsidRDefault="00922855" w:rsidP="00922855">
      <w:pPr>
        <w:spacing w:before="100" w:beforeAutospacing="1" w:after="100" w:afterAutospacing="1" w:line="240" w:lineRule="auto"/>
        <w:ind w:firstLine="709"/>
        <w:jc w:val="both"/>
        <w:rPr>
          <w:rFonts w:ascii="Arial" w:hAnsi="Arial" w:cs="Arial"/>
          <w:lang w:val="en-GB"/>
        </w:rPr>
      </w:pPr>
      <w:r w:rsidRPr="00AA32ED">
        <w:rPr>
          <w:rFonts w:ascii="Arial" w:hAnsi="Arial" w:cs="Arial"/>
          <w:lang w:val="en-GB"/>
        </w:rPr>
        <w:t xml:space="preserve">The Salary Survey report contains </w:t>
      </w:r>
      <w:r>
        <w:rPr>
          <w:rFonts w:ascii="Arial" w:hAnsi="Arial" w:cs="Arial"/>
          <w:lang w:val="en-GB"/>
        </w:rPr>
        <w:t xml:space="preserve">information on </w:t>
      </w:r>
      <w:r w:rsidRPr="00AA32ED">
        <w:rPr>
          <w:rFonts w:ascii="Arial" w:hAnsi="Arial" w:cs="Arial"/>
          <w:lang w:val="en-GB"/>
        </w:rPr>
        <w:t xml:space="preserve">the following areas: </w:t>
      </w:r>
    </w:p>
    <w:p w:rsidR="00922855" w:rsidRPr="00AA32ED" w:rsidRDefault="00922855" w:rsidP="00F05BC8">
      <w:pPr>
        <w:numPr>
          <w:ilvl w:val="0"/>
          <w:numId w:val="15"/>
        </w:numPr>
        <w:spacing w:before="100" w:beforeAutospacing="1" w:after="100" w:afterAutospacing="1" w:line="240" w:lineRule="auto"/>
        <w:jc w:val="both"/>
        <w:rPr>
          <w:rFonts w:ascii="Arial" w:hAnsi="Arial" w:cs="Arial"/>
          <w:lang w:val="en-GB"/>
        </w:rPr>
      </w:pPr>
      <w:r w:rsidRPr="00AA32ED">
        <w:rPr>
          <w:rFonts w:ascii="Arial" w:hAnsi="Arial" w:cs="Arial"/>
          <w:lang w:val="en-GB"/>
        </w:rPr>
        <w:t xml:space="preserve">National salary increase trends </w:t>
      </w:r>
    </w:p>
    <w:p w:rsidR="00922855" w:rsidRPr="00AA32ED" w:rsidRDefault="00922855" w:rsidP="00F05BC8">
      <w:pPr>
        <w:numPr>
          <w:ilvl w:val="0"/>
          <w:numId w:val="15"/>
        </w:numPr>
        <w:spacing w:before="100" w:beforeAutospacing="1" w:after="100" w:afterAutospacing="1" w:line="240" w:lineRule="auto"/>
        <w:jc w:val="both"/>
        <w:rPr>
          <w:rFonts w:ascii="Arial" w:hAnsi="Arial" w:cs="Arial"/>
          <w:lang w:val="en-GB"/>
        </w:rPr>
      </w:pPr>
      <w:r w:rsidRPr="00AA32ED">
        <w:rPr>
          <w:rFonts w:ascii="Arial" w:hAnsi="Arial" w:cs="Arial"/>
          <w:lang w:val="en-GB"/>
        </w:rPr>
        <w:t xml:space="preserve">Medical aid inflation </w:t>
      </w:r>
    </w:p>
    <w:p w:rsidR="00922855" w:rsidRPr="00AA32ED" w:rsidRDefault="00922855" w:rsidP="00F05BC8">
      <w:pPr>
        <w:numPr>
          <w:ilvl w:val="0"/>
          <w:numId w:val="15"/>
        </w:numPr>
        <w:spacing w:before="100" w:beforeAutospacing="1" w:after="100" w:afterAutospacing="1" w:line="240" w:lineRule="auto"/>
        <w:jc w:val="both"/>
        <w:rPr>
          <w:rFonts w:ascii="Arial" w:hAnsi="Arial" w:cs="Arial"/>
          <w:lang w:val="en-GB"/>
        </w:rPr>
      </w:pPr>
      <w:r w:rsidRPr="00AA32ED">
        <w:rPr>
          <w:rFonts w:ascii="Arial" w:hAnsi="Arial" w:cs="Arial"/>
          <w:lang w:val="en-GB"/>
        </w:rPr>
        <w:t xml:space="preserve">Wage settlements within Government and related sectors </w:t>
      </w:r>
    </w:p>
    <w:p w:rsidR="00922855" w:rsidRPr="00AA32ED" w:rsidRDefault="00922855" w:rsidP="00F05BC8">
      <w:pPr>
        <w:numPr>
          <w:ilvl w:val="0"/>
          <w:numId w:val="15"/>
        </w:numPr>
        <w:spacing w:before="100" w:beforeAutospacing="1" w:after="100" w:afterAutospacing="1" w:line="240" w:lineRule="auto"/>
        <w:jc w:val="both"/>
        <w:rPr>
          <w:rFonts w:ascii="Arial" w:hAnsi="Arial" w:cs="Arial"/>
          <w:lang w:val="en-GB"/>
        </w:rPr>
      </w:pPr>
      <w:r w:rsidRPr="00AA32ED">
        <w:rPr>
          <w:rFonts w:ascii="Arial" w:hAnsi="Arial" w:cs="Arial"/>
          <w:lang w:val="en-GB"/>
        </w:rPr>
        <w:t xml:space="preserve">Update of pay scales for the year going forward </w:t>
      </w:r>
    </w:p>
    <w:p w:rsidR="00922855" w:rsidRPr="00AA32ED" w:rsidRDefault="00922855" w:rsidP="00F05BC8">
      <w:pPr>
        <w:numPr>
          <w:ilvl w:val="0"/>
          <w:numId w:val="15"/>
        </w:numPr>
        <w:spacing w:before="100" w:beforeAutospacing="1" w:after="100" w:afterAutospacing="1" w:line="240" w:lineRule="auto"/>
        <w:jc w:val="both"/>
        <w:rPr>
          <w:rFonts w:ascii="Arial" w:hAnsi="Arial" w:cs="Arial"/>
          <w:lang w:val="en-GB"/>
        </w:rPr>
      </w:pPr>
      <w:r w:rsidRPr="00AA32ED">
        <w:rPr>
          <w:rFonts w:ascii="Arial" w:hAnsi="Arial" w:cs="Arial"/>
          <w:lang w:val="en-GB"/>
        </w:rPr>
        <w:t xml:space="preserve">Analysis of movement in pay scales including </w:t>
      </w:r>
      <w:proofErr w:type="spellStart"/>
      <w:r w:rsidRPr="00AA32ED">
        <w:rPr>
          <w:rFonts w:ascii="Arial" w:hAnsi="Arial" w:cs="Arial"/>
          <w:lang w:val="en-GB"/>
        </w:rPr>
        <w:t>compa</w:t>
      </w:r>
      <w:proofErr w:type="spellEnd"/>
      <w:r w:rsidRPr="00AA32ED">
        <w:rPr>
          <w:rFonts w:ascii="Arial" w:hAnsi="Arial" w:cs="Arial"/>
          <w:lang w:val="en-GB"/>
        </w:rPr>
        <w:t xml:space="preserve"> ratio and cost analysis </w:t>
      </w:r>
    </w:p>
    <w:p w:rsidR="00922855" w:rsidRPr="00AA32ED" w:rsidRDefault="00922855" w:rsidP="00F05BC8">
      <w:pPr>
        <w:numPr>
          <w:ilvl w:val="0"/>
          <w:numId w:val="15"/>
        </w:numPr>
        <w:spacing w:before="100" w:beforeAutospacing="1" w:after="100" w:afterAutospacing="1" w:line="240" w:lineRule="auto"/>
        <w:jc w:val="both"/>
        <w:rPr>
          <w:rFonts w:ascii="Arial" w:hAnsi="Arial" w:cs="Arial"/>
          <w:lang w:val="en-GB"/>
        </w:rPr>
      </w:pPr>
      <w:r w:rsidRPr="00AA32ED">
        <w:rPr>
          <w:rFonts w:ascii="Arial" w:hAnsi="Arial" w:cs="Arial"/>
          <w:lang w:val="en-GB"/>
        </w:rPr>
        <w:t xml:space="preserve">Market data for specific roles within SANRAL </w:t>
      </w:r>
    </w:p>
    <w:p w:rsidR="00922855" w:rsidRPr="00AA32ED" w:rsidRDefault="00922855" w:rsidP="00F05BC8">
      <w:pPr>
        <w:numPr>
          <w:ilvl w:val="0"/>
          <w:numId w:val="15"/>
        </w:numPr>
        <w:spacing w:before="100" w:beforeAutospacing="1" w:after="100" w:afterAutospacing="1" w:line="240" w:lineRule="auto"/>
        <w:jc w:val="both"/>
        <w:rPr>
          <w:rFonts w:ascii="Arial" w:hAnsi="Arial" w:cs="Arial"/>
          <w:lang w:val="en-GB"/>
        </w:rPr>
      </w:pPr>
      <w:r w:rsidRPr="00AA32ED">
        <w:rPr>
          <w:rFonts w:ascii="Arial" w:hAnsi="Arial" w:cs="Arial"/>
          <w:lang w:val="en-GB"/>
        </w:rPr>
        <w:t xml:space="preserve">Short-term incentive market data in the National Market and State Owned Enterprises </w:t>
      </w:r>
    </w:p>
    <w:p w:rsidR="00922855" w:rsidRPr="00AA32ED" w:rsidRDefault="00922855" w:rsidP="00922855">
      <w:pPr>
        <w:spacing w:before="100" w:beforeAutospacing="1" w:after="100" w:afterAutospacing="1" w:line="240" w:lineRule="auto"/>
        <w:jc w:val="both"/>
        <w:rPr>
          <w:rFonts w:ascii="Arial" w:hAnsi="Arial" w:cs="Arial"/>
        </w:rPr>
      </w:pPr>
      <w:r w:rsidRPr="00AA32ED">
        <w:rPr>
          <w:rFonts w:ascii="Arial" w:hAnsi="Arial" w:cs="Arial"/>
        </w:rPr>
        <w:t xml:space="preserve">1 (c) Annual Payroll adjustments are approved by the SANRAL Board. </w:t>
      </w:r>
    </w:p>
    <w:p w:rsidR="00922855" w:rsidRPr="00AA32ED" w:rsidRDefault="00922855" w:rsidP="00922855">
      <w:pPr>
        <w:spacing w:before="100" w:beforeAutospacing="1" w:after="100" w:afterAutospacing="1" w:line="240" w:lineRule="auto"/>
        <w:jc w:val="both"/>
        <w:rPr>
          <w:rFonts w:ascii="Arial" w:hAnsi="Arial" w:cs="Arial"/>
        </w:rPr>
      </w:pPr>
      <w:r w:rsidRPr="00AA32ED">
        <w:rPr>
          <w:rFonts w:ascii="Arial" w:hAnsi="Arial" w:cs="Arial"/>
          <w:noProof/>
          <w:lang w:val="af-ZA"/>
        </w:rPr>
        <w:t>2 (a)</w:t>
      </w:r>
    </w:p>
    <w:tbl>
      <w:tblPr>
        <w:tblStyle w:val="TableGrid"/>
        <w:tblW w:w="0" w:type="auto"/>
        <w:tblLook w:val="04A0" w:firstRow="1" w:lastRow="0" w:firstColumn="1" w:lastColumn="0" w:noHBand="0" w:noVBand="1"/>
      </w:tblPr>
      <w:tblGrid>
        <w:gridCol w:w="1133"/>
        <w:gridCol w:w="1981"/>
        <w:gridCol w:w="2126"/>
        <w:gridCol w:w="1843"/>
      </w:tblGrid>
      <w:tr w:rsidR="00922855" w:rsidRPr="00AA32ED" w:rsidTr="00922855">
        <w:trPr>
          <w:trHeight w:val="300"/>
        </w:trPr>
        <w:tc>
          <w:tcPr>
            <w:tcW w:w="7083" w:type="dxa"/>
            <w:gridSpan w:val="4"/>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The South African National Roads Agency SOC Limited</w:t>
            </w:r>
          </w:p>
        </w:tc>
      </w:tr>
      <w:tr w:rsidR="00922855" w:rsidRPr="00AA32ED" w:rsidTr="00922855">
        <w:trPr>
          <w:trHeight w:val="300"/>
        </w:trPr>
        <w:tc>
          <w:tcPr>
            <w:tcW w:w="1133" w:type="dxa"/>
            <w:noWrap/>
            <w:hideMark/>
          </w:tcPr>
          <w:p w:rsidR="00922855" w:rsidRPr="00AA32ED" w:rsidRDefault="00922855" w:rsidP="00922855">
            <w:pPr>
              <w:rPr>
                <w:rFonts w:ascii="Arial" w:hAnsi="Arial" w:cs="Arial"/>
                <w:b/>
                <w:bCs/>
                <w:lang w:eastAsia="x-none"/>
              </w:rPr>
            </w:pPr>
          </w:p>
        </w:tc>
        <w:tc>
          <w:tcPr>
            <w:tcW w:w="1981" w:type="dxa"/>
            <w:noWrap/>
            <w:hideMark/>
          </w:tcPr>
          <w:p w:rsidR="00922855" w:rsidRPr="00AA32ED" w:rsidRDefault="00922855" w:rsidP="00922855">
            <w:pPr>
              <w:rPr>
                <w:rFonts w:ascii="Arial" w:hAnsi="Arial" w:cs="Arial"/>
                <w:lang w:eastAsia="x-none"/>
              </w:rPr>
            </w:pPr>
          </w:p>
        </w:tc>
        <w:tc>
          <w:tcPr>
            <w:tcW w:w="2126" w:type="dxa"/>
            <w:noWrap/>
            <w:hideMark/>
          </w:tcPr>
          <w:p w:rsidR="00922855" w:rsidRPr="00AA32ED" w:rsidRDefault="00922855" w:rsidP="00922855">
            <w:pPr>
              <w:rPr>
                <w:rFonts w:ascii="Arial" w:hAnsi="Arial" w:cs="Arial"/>
                <w:lang w:eastAsia="x-none"/>
              </w:rPr>
            </w:pPr>
          </w:p>
        </w:tc>
        <w:tc>
          <w:tcPr>
            <w:tcW w:w="1843" w:type="dxa"/>
            <w:noWrap/>
            <w:hideMark/>
          </w:tcPr>
          <w:p w:rsidR="00922855" w:rsidRPr="00AA32ED" w:rsidRDefault="00922855" w:rsidP="00922855">
            <w:pPr>
              <w:rPr>
                <w:rFonts w:ascii="Arial" w:hAnsi="Arial" w:cs="Arial"/>
                <w:lang w:eastAsia="x-none"/>
              </w:rPr>
            </w:pPr>
          </w:p>
        </w:tc>
      </w:tr>
      <w:tr w:rsidR="00922855" w:rsidRPr="00AA32ED" w:rsidTr="00922855">
        <w:trPr>
          <w:trHeight w:val="300"/>
        </w:trPr>
        <w:tc>
          <w:tcPr>
            <w:tcW w:w="5240" w:type="dxa"/>
            <w:gridSpan w:val="3"/>
            <w:noWrap/>
            <w:hideMark/>
          </w:tcPr>
          <w:p w:rsidR="00922855" w:rsidRPr="00AA32ED" w:rsidRDefault="00922855" w:rsidP="00922855">
            <w:pPr>
              <w:rPr>
                <w:rFonts w:ascii="Arial" w:hAnsi="Arial" w:cs="Arial"/>
                <w:lang w:eastAsia="x-none"/>
              </w:rPr>
            </w:pPr>
            <w:r w:rsidRPr="00AA32ED">
              <w:rPr>
                <w:rFonts w:ascii="Arial" w:hAnsi="Arial" w:cs="Arial"/>
                <w:lang w:eastAsia="x-none"/>
              </w:rPr>
              <w:t>Summary of STIS for past 3 financial years</w:t>
            </w:r>
          </w:p>
        </w:tc>
        <w:tc>
          <w:tcPr>
            <w:tcW w:w="1843" w:type="dxa"/>
            <w:noWrap/>
            <w:hideMark/>
          </w:tcPr>
          <w:p w:rsidR="00922855" w:rsidRPr="00AA32ED" w:rsidRDefault="00922855" w:rsidP="00922855">
            <w:pPr>
              <w:rPr>
                <w:rFonts w:ascii="Arial" w:hAnsi="Arial" w:cs="Arial"/>
                <w:lang w:eastAsia="x-none"/>
              </w:rPr>
            </w:pPr>
          </w:p>
        </w:tc>
      </w:tr>
      <w:tr w:rsidR="00922855" w:rsidRPr="00AA32ED" w:rsidTr="00922855">
        <w:trPr>
          <w:trHeight w:val="402"/>
        </w:trPr>
        <w:tc>
          <w:tcPr>
            <w:tcW w:w="1133" w:type="dxa"/>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GRADE</w:t>
            </w:r>
          </w:p>
        </w:tc>
        <w:tc>
          <w:tcPr>
            <w:tcW w:w="1981" w:type="dxa"/>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2014/2015</w:t>
            </w:r>
          </w:p>
        </w:tc>
        <w:tc>
          <w:tcPr>
            <w:tcW w:w="2126" w:type="dxa"/>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2015/2016</w:t>
            </w:r>
          </w:p>
        </w:tc>
        <w:tc>
          <w:tcPr>
            <w:tcW w:w="1843" w:type="dxa"/>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2016/2017</w:t>
            </w:r>
          </w:p>
        </w:tc>
      </w:tr>
      <w:tr w:rsidR="00922855" w:rsidRPr="00AA32ED" w:rsidTr="00922855">
        <w:trPr>
          <w:trHeight w:val="402"/>
        </w:trPr>
        <w:tc>
          <w:tcPr>
            <w:tcW w:w="113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Grade A</w:t>
            </w:r>
          </w:p>
        </w:tc>
        <w:tc>
          <w:tcPr>
            <w:tcW w:w="1981"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116 449.00</w:t>
            </w:r>
          </w:p>
        </w:tc>
        <w:tc>
          <w:tcPr>
            <w:tcW w:w="2126"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134 867.00</w:t>
            </w:r>
          </w:p>
        </w:tc>
        <w:tc>
          <w:tcPr>
            <w:tcW w:w="1843"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132 432.00</w:t>
            </w:r>
          </w:p>
        </w:tc>
      </w:tr>
      <w:tr w:rsidR="00922855" w:rsidRPr="00AA32ED" w:rsidTr="00922855">
        <w:trPr>
          <w:trHeight w:val="402"/>
        </w:trPr>
        <w:tc>
          <w:tcPr>
            <w:tcW w:w="113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Grade B</w:t>
            </w:r>
          </w:p>
        </w:tc>
        <w:tc>
          <w:tcPr>
            <w:tcW w:w="1981"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430 421.00</w:t>
            </w:r>
          </w:p>
        </w:tc>
        <w:tc>
          <w:tcPr>
            <w:tcW w:w="2126"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483 378.00</w:t>
            </w:r>
          </w:p>
        </w:tc>
        <w:tc>
          <w:tcPr>
            <w:tcW w:w="1843"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572 590.00</w:t>
            </w:r>
          </w:p>
        </w:tc>
      </w:tr>
      <w:tr w:rsidR="00922855" w:rsidRPr="00AA32ED" w:rsidTr="00922855">
        <w:trPr>
          <w:trHeight w:val="402"/>
        </w:trPr>
        <w:tc>
          <w:tcPr>
            <w:tcW w:w="113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Grade C</w:t>
            </w:r>
          </w:p>
        </w:tc>
        <w:tc>
          <w:tcPr>
            <w:tcW w:w="1981"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2 533 803.00</w:t>
            </w:r>
          </w:p>
        </w:tc>
        <w:tc>
          <w:tcPr>
            <w:tcW w:w="2126"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3 398 077.00</w:t>
            </w:r>
          </w:p>
        </w:tc>
        <w:tc>
          <w:tcPr>
            <w:tcW w:w="1843"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4 095 971.00</w:t>
            </w:r>
          </w:p>
        </w:tc>
      </w:tr>
      <w:tr w:rsidR="00922855" w:rsidRPr="00AA32ED" w:rsidTr="00922855">
        <w:trPr>
          <w:trHeight w:val="402"/>
        </w:trPr>
        <w:tc>
          <w:tcPr>
            <w:tcW w:w="113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Grade D</w:t>
            </w:r>
          </w:p>
        </w:tc>
        <w:tc>
          <w:tcPr>
            <w:tcW w:w="1981"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5 373 268.00</w:t>
            </w:r>
          </w:p>
        </w:tc>
        <w:tc>
          <w:tcPr>
            <w:tcW w:w="2126"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6 052 020.00</w:t>
            </w:r>
          </w:p>
        </w:tc>
        <w:tc>
          <w:tcPr>
            <w:tcW w:w="1843"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7 008 670.00</w:t>
            </w:r>
          </w:p>
        </w:tc>
      </w:tr>
      <w:tr w:rsidR="00922855" w:rsidRPr="00AA32ED" w:rsidTr="00922855">
        <w:trPr>
          <w:trHeight w:val="402"/>
        </w:trPr>
        <w:tc>
          <w:tcPr>
            <w:tcW w:w="113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Grade E</w:t>
            </w:r>
          </w:p>
        </w:tc>
        <w:tc>
          <w:tcPr>
            <w:tcW w:w="1981"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20 571 658.00</w:t>
            </w:r>
          </w:p>
        </w:tc>
        <w:tc>
          <w:tcPr>
            <w:tcW w:w="2126"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24 577 091.00</w:t>
            </w:r>
          </w:p>
        </w:tc>
        <w:tc>
          <w:tcPr>
            <w:tcW w:w="184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R 30 692 558.00</w:t>
            </w:r>
          </w:p>
        </w:tc>
      </w:tr>
      <w:tr w:rsidR="00922855" w:rsidRPr="00AA32ED" w:rsidTr="00922855">
        <w:trPr>
          <w:trHeight w:val="402"/>
        </w:trPr>
        <w:tc>
          <w:tcPr>
            <w:tcW w:w="113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Grade F</w:t>
            </w:r>
          </w:p>
        </w:tc>
        <w:tc>
          <w:tcPr>
            <w:tcW w:w="1981"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4 067 261.00</w:t>
            </w:r>
          </w:p>
        </w:tc>
        <w:tc>
          <w:tcPr>
            <w:tcW w:w="2126"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4 468 809.00</w:t>
            </w:r>
          </w:p>
        </w:tc>
        <w:tc>
          <w:tcPr>
            <w:tcW w:w="1843"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5 119 188.00</w:t>
            </w:r>
          </w:p>
        </w:tc>
      </w:tr>
      <w:tr w:rsidR="00922855" w:rsidRPr="00AA32ED" w:rsidTr="00922855">
        <w:trPr>
          <w:trHeight w:val="402"/>
        </w:trPr>
        <w:tc>
          <w:tcPr>
            <w:tcW w:w="1133" w:type="dxa"/>
            <w:noWrap/>
            <w:hideMark/>
          </w:tcPr>
          <w:p w:rsidR="00922855" w:rsidRPr="00AA32ED" w:rsidRDefault="00922855" w:rsidP="00922855">
            <w:pPr>
              <w:rPr>
                <w:rFonts w:ascii="Arial" w:hAnsi="Arial" w:cs="Arial"/>
                <w:lang w:eastAsia="x-none"/>
              </w:rPr>
            </w:pPr>
            <w:r w:rsidRPr="00AA32ED">
              <w:rPr>
                <w:rFonts w:ascii="Arial" w:hAnsi="Arial" w:cs="Arial"/>
                <w:lang w:eastAsia="x-none"/>
              </w:rPr>
              <w:t>Grade G</w:t>
            </w:r>
          </w:p>
        </w:tc>
        <w:tc>
          <w:tcPr>
            <w:tcW w:w="1981"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1 279 953.00</w:t>
            </w:r>
          </w:p>
        </w:tc>
        <w:tc>
          <w:tcPr>
            <w:tcW w:w="2126"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1 320 492.00</w:t>
            </w:r>
          </w:p>
        </w:tc>
        <w:tc>
          <w:tcPr>
            <w:tcW w:w="1843" w:type="dxa"/>
            <w:noWrap/>
            <w:hideMark/>
          </w:tcPr>
          <w:p w:rsidR="00922855" w:rsidRPr="00AA32ED" w:rsidRDefault="00922855" w:rsidP="00922855">
            <w:pPr>
              <w:jc w:val="right"/>
              <w:rPr>
                <w:rFonts w:ascii="Arial" w:hAnsi="Arial" w:cs="Arial"/>
                <w:lang w:eastAsia="x-none"/>
              </w:rPr>
            </w:pPr>
            <w:r w:rsidRPr="00AA32ED">
              <w:rPr>
                <w:rFonts w:ascii="Arial" w:hAnsi="Arial" w:cs="Arial"/>
                <w:lang w:eastAsia="x-none"/>
              </w:rPr>
              <w:t>R 1 266 705.00</w:t>
            </w:r>
          </w:p>
        </w:tc>
      </w:tr>
      <w:tr w:rsidR="00922855" w:rsidRPr="00AA32ED" w:rsidTr="00922855">
        <w:trPr>
          <w:trHeight w:val="402"/>
        </w:trPr>
        <w:tc>
          <w:tcPr>
            <w:tcW w:w="1133" w:type="dxa"/>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TOTAL</w:t>
            </w:r>
          </w:p>
        </w:tc>
        <w:tc>
          <w:tcPr>
            <w:tcW w:w="1981" w:type="dxa"/>
            <w:noWrap/>
            <w:hideMark/>
          </w:tcPr>
          <w:p w:rsidR="00922855" w:rsidRPr="00D049C4" w:rsidRDefault="00922855" w:rsidP="00922855">
            <w:pPr>
              <w:rPr>
                <w:rFonts w:ascii="Arial" w:hAnsi="Arial" w:cs="Arial"/>
                <w:lang w:eastAsia="x-none"/>
              </w:rPr>
            </w:pPr>
            <w:r w:rsidRPr="00D049C4">
              <w:rPr>
                <w:rFonts w:ascii="Arial" w:hAnsi="Arial" w:cs="Arial"/>
                <w:b/>
                <w:bCs/>
                <w:lang w:eastAsia="x-none"/>
              </w:rPr>
              <w:t>R 34 372 813.00</w:t>
            </w:r>
          </w:p>
        </w:tc>
        <w:tc>
          <w:tcPr>
            <w:tcW w:w="2126" w:type="dxa"/>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R 40 434 734.00</w:t>
            </w:r>
          </w:p>
        </w:tc>
        <w:tc>
          <w:tcPr>
            <w:tcW w:w="1843" w:type="dxa"/>
            <w:noWrap/>
            <w:hideMark/>
          </w:tcPr>
          <w:p w:rsidR="00922855" w:rsidRPr="00AA32ED" w:rsidRDefault="00922855" w:rsidP="00922855">
            <w:pPr>
              <w:rPr>
                <w:rFonts w:ascii="Arial" w:hAnsi="Arial" w:cs="Arial"/>
                <w:b/>
                <w:bCs/>
                <w:lang w:eastAsia="x-none"/>
              </w:rPr>
            </w:pPr>
            <w:r w:rsidRPr="00AA32ED">
              <w:rPr>
                <w:rFonts w:ascii="Arial" w:hAnsi="Arial" w:cs="Arial"/>
                <w:b/>
                <w:bCs/>
                <w:lang w:eastAsia="x-none"/>
              </w:rPr>
              <w:t>R 48 888 114.00</w:t>
            </w:r>
          </w:p>
        </w:tc>
      </w:tr>
    </w:tbl>
    <w:p w:rsidR="00922855" w:rsidRPr="00AA32ED" w:rsidRDefault="00922855" w:rsidP="00922855">
      <w:pPr>
        <w:jc w:val="both"/>
        <w:rPr>
          <w:rFonts w:ascii="Arial" w:hAnsi="Arial" w:cs="Arial"/>
          <w:lang w:val="en-ZA" w:eastAsia="x-none"/>
        </w:rPr>
      </w:pPr>
    </w:p>
    <w:p w:rsidR="00922855" w:rsidRPr="00AA32ED" w:rsidRDefault="00922855" w:rsidP="00922855">
      <w:pPr>
        <w:jc w:val="both"/>
        <w:rPr>
          <w:rFonts w:ascii="Arial" w:hAnsi="Arial" w:cs="Arial"/>
          <w:lang w:val="en-ZA" w:eastAsia="x-none"/>
        </w:rPr>
      </w:pPr>
      <w:r w:rsidRPr="00AA32ED">
        <w:rPr>
          <w:rFonts w:ascii="Arial" w:hAnsi="Arial" w:cs="Arial"/>
          <w:lang w:val="en-ZA" w:eastAsia="x-none"/>
        </w:rPr>
        <w:t xml:space="preserve">2 (b) </w:t>
      </w:r>
      <w:r>
        <w:rPr>
          <w:rFonts w:ascii="Arial" w:hAnsi="Arial" w:cs="Arial"/>
          <w:lang w:val="en-ZA" w:eastAsia="x-none"/>
        </w:rPr>
        <w:t xml:space="preserve">The SANRAL Short Term Incentive (STI) Policy determines the criteria for bonuses. The criteria include the Annual Performance Plan, signed with </w:t>
      </w:r>
      <w:r w:rsidRPr="00AA32ED">
        <w:rPr>
          <w:rFonts w:ascii="Arial" w:hAnsi="Arial" w:cs="Arial"/>
          <w:lang w:val="en-ZA" w:eastAsia="x-none"/>
        </w:rPr>
        <w:t>the</w:t>
      </w:r>
      <w:r>
        <w:rPr>
          <w:rFonts w:ascii="Arial" w:hAnsi="Arial" w:cs="Arial"/>
          <w:lang w:val="en-ZA" w:eastAsia="x-none"/>
        </w:rPr>
        <w:t xml:space="preserve"> M</w:t>
      </w:r>
      <w:r w:rsidRPr="00AA32ED">
        <w:rPr>
          <w:rFonts w:ascii="Arial" w:hAnsi="Arial" w:cs="Arial"/>
          <w:lang w:val="en-ZA" w:eastAsia="x-none"/>
        </w:rPr>
        <w:t>inister of Transport. The incentive scheme is designed around delivery of SANRAL’s strategic objectives. Actual performance is measured and assessed against specific deliverables contained in the Agreement, and a performance score will be determined.</w:t>
      </w:r>
      <w:r>
        <w:rPr>
          <w:rFonts w:ascii="Arial" w:hAnsi="Arial" w:cs="Arial"/>
          <w:lang w:val="en-ZA" w:eastAsia="x-none"/>
        </w:rPr>
        <w:t xml:space="preserve"> The policy also specifies the minimum criteria for eligibility, based on the SANRAL overall performance as well as individual performance. </w:t>
      </w:r>
    </w:p>
    <w:p w:rsidR="00922855" w:rsidRDefault="00922855" w:rsidP="00922855">
      <w:pPr>
        <w:spacing w:before="100" w:beforeAutospacing="1" w:after="100" w:afterAutospacing="1" w:line="240" w:lineRule="auto"/>
        <w:jc w:val="both"/>
        <w:rPr>
          <w:rFonts w:ascii="Arial" w:hAnsi="Arial" w:cs="Arial"/>
        </w:rPr>
      </w:pPr>
      <w:r>
        <w:rPr>
          <w:rFonts w:ascii="Arial" w:hAnsi="Arial" w:cs="Arial"/>
        </w:rPr>
        <w:t xml:space="preserve">2 (c) The STI Policy is approved by the SANRAL Board. The SANRAL performance score, derived from the Annual Performance Plan, is also approved by the Board. </w:t>
      </w:r>
    </w:p>
    <w:p w:rsidR="00922855" w:rsidRDefault="00922855" w:rsidP="00922855">
      <w:pPr>
        <w:rPr>
          <w:rFonts w:ascii="Arial" w:hAnsi="Arial" w:cs="Arial"/>
          <w:b/>
          <w:lang w:val="en-ZA" w:eastAsia="x-none"/>
        </w:rPr>
      </w:pPr>
    </w:p>
    <w:p w:rsidR="00525D63" w:rsidRDefault="00525D63" w:rsidP="00922855">
      <w:pPr>
        <w:rPr>
          <w:rFonts w:ascii="Arial" w:hAnsi="Arial" w:cs="Arial"/>
          <w:b/>
          <w:lang w:val="en-ZA" w:eastAsia="x-none"/>
        </w:rPr>
      </w:pPr>
    </w:p>
    <w:p w:rsidR="00525D63" w:rsidRDefault="00525D63" w:rsidP="00922855">
      <w:pPr>
        <w:rPr>
          <w:rFonts w:ascii="Arial" w:hAnsi="Arial" w:cs="Arial"/>
          <w:b/>
          <w:lang w:val="en-ZA" w:eastAsia="x-none"/>
        </w:rPr>
      </w:pPr>
    </w:p>
    <w:p w:rsidR="00525D63" w:rsidRDefault="00525D63" w:rsidP="00922855">
      <w:pPr>
        <w:rPr>
          <w:rFonts w:ascii="Arial" w:hAnsi="Arial" w:cs="Arial"/>
          <w:b/>
          <w:lang w:val="en-ZA" w:eastAsia="x-none"/>
        </w:rPr>
      </w:pPr>
    </w:p>
    <w:p w:rsidR="00525D63" w:rsidRDefault="00525D63" w:rsidP="00922855">
      <w:pPr>
        <w:rPr>
          <w:rFonts w:ascii="Arial" w:hAnsi="Arial" w:cs="Arial"/>
          <w:b/>
          <w:lang w:val="en-ZA" w:eastAsia="x-none"/>
        </w:rPr>
      </w:pPr>
    </w:p>
    <w:p w:rsidR="00922855" w:rsidRPr="008C1002" w:rsidRDefault="00922855" w:rsidP="00922855">
      <w:pPr>
        <w:rPr>
          <w:rFonts w:ascii="Arial" w:hAnsi="Arial" w:cs="Arial"/>
          <w:b/>
        </w:rPr>
      </w:pPr>
      <w:r w:rsidRPr="00DF1917">
        <w:rPr>
          <w:rFonts w:ascii="Arial" w:hAnsi="Arial" w:cs="Arial"/>
          <w:b/>
          <w:lang w:val="en-ZA" w:eastAsia="x-none"/>
        </w:rPr>
        <w:lastRenderedPageBreak/>
        <w:t>RTMC</w:t>
      </w:r>
    </w:p>
    <w:p w:rsidR="00922855" w:rsidRPr="008C1002" w:rsidRDefault="00922855" w:rsidP="00F05BC8">
      <w:pPr>
        <w:pStyle w:val="ListParagraph"/>
        <w:numPr>
          <w:ilvl w:val="0"/>
          <w:numId w:val="21"/>
        </w:numPr>
        <w:ind w:left="567" w:hanging="567"/>
        <w:jc w:val="both"/>
        <w:rPr>
          <w:rFonts w:ascii="Arial" w:hAnsi="Arial" w:cs="Arial"/>
          <w:lang w:val="en-ZA" w:eastAsia="x-none"/>
        </w:rPr>
      </w:pPr>
      <w:r>
        <w:rPr>
          <w:rFonts w:ascii="Arial" w:hAnsi="Arial" w:cs="Arial"/>
          <w:lang w:val="en-ZA" w:eastAsia="x-none"/>
        </w:rPr>
        <w:t>(a)  For the period e</w:t>
      </w:r>
      <w:r w:rsidRPr="008C1002">
        <w:rPr>
          <w:rFonts w:ascii="Arial" w:hAnsi="Arial" w:cs="Arial"/>
          <w:lang w:val="en-ZA" w:eastAsia="x-none"/>
        </w:rPr>
        <w:t>ffective April 2015, the increases have been as follows</w:t>
      </w:r>
      <w:r>
        <w:rPr>
          <w:rFonts w:ascii="Arial" w:hAnsi="Arial" w:cs="Arial"/>
          <w:lang w:val="en-ZA" w:eastAsia="x-none"/>
        </w:rPr>
        <w:t>:</w:t>
      </w:r>
    </w:p>
    <w:p w:rsidR="00922855" w:rsidRDefault="00922855" w:rsidP="00922855">
      <w:pPr>
        <w:pStyle w:val="ListParagraph"/>
        <w:ind w:left="567" w:hanging="567"/>
        <w:jc w:val="both"/>
        <w:rPr>
          <w:rFonts w:ascii="Arial" w:hAnsi="Arial" w:cs="Arial"/>
          <w:lang w:val="en-ZA" w:eastAsia="x-none"/>
        </w:rPr>
      </w:pPr>
    </w:p>
    <w:p w:rsidR="00922855" w:rsidRPr="008C1002" w:rsidRDefault="00922855" w:rsidP="00F05BC8">
      <w:pPr>
        <w:pStyle w:val="ListParagraph"/>
        <w:numPr>
          <w:ilvl w:val="0"/>
          <w:numId w:val="22"/>
        </w:numPr>
        <w:ind w:left="993" w:hanging="426"/>
        <w:jc w:val="both"/>
        <w:rPr>
          <w:rFonts w:ascii="Arial" w:hAnsi="Arial" w:cs="Arial"/>
          <w:lang w:val="en-ZA" w:eastAsia="x-none"/>
        </w:rPr>
      </w:pPr>
      <w:r w:rsidRPr="008C1002">
        <w:rPr>
          <w:rFonts w:ascii="Arial" w:hAnsi="Arial" w:cs="Arial"/>
          <w:lang w:val="en-ZA" w:eastAsia="x-none"/>
        </w:rPr>
        <w:t>For the 2015 financial year, the increase was 10% and 6% for managers and non-managers respectively</w:t>
      </w:r>
    </w:p>
    <w:p w:rsidR="00922855" w:rsidRDefault="00922855" w:rsidP="00922855">
      <w:pPr>
        <w:ind w:left="567" w:hanging="567"/>
        <w:jc w:val="both"/>
        <w:rPr>
          <w:rFonts w:ascii="Arial" w:hAnsi="Arial" w:cs="Arial"/>
          <w:b/>
          <w:lang w:val="en-ZA" w:eastAsia="x-none"/>
        </w:rPr>
      </w:pPr>
      <w:r>
        <w:rPr>
          <w:rFonts w:ascii="Arial" w:hAnsi="Arial" w:cs="Arial"/>
          <w:lang w:val="en-ZA" w:eastAsia="x-none"/>
        </w:rPr>
        <w:t xml:space="preserve">     </w:t>
      </w:r>
      <w:r>
        <w:rPr>
          <w:rFonts w:ascii="Arial" w:hAnsi="Arial" w:cs="Arial"/>
          <w:lang w:val="en-ZA" w:eastAsia="x-none"/>
        </w:rPr>
        <w:tab/>
      </w:r>
      <w:r w:rsidRPr="008C1002">
        <w:rPr>
          <w:rFonts w:ascii="Arial" w:hAnsi="Arial" w:cs="Arial"/>
          <w:lang w:val="en-ZA" w:eastAsia="x-none"/>
        </w:rPr>
        <w:t>(ii)</w:t>
      </w:r>
      <w:r>
        <w:rPr>
          <w:rFonts w:ascii="Arial" w:hAnsi="Arial" w:cs="Arial"/>
          <w:b/>
          <w:lang w:val="en-ZA" w:eastAsia="x-none"/>
        </w:rPr>
        <w:t xml:space="preserve">   </w:t>
      </w:r>
      <w:r w:rsidRPr="00FE2F9A">
        <w:rPr>
          <w:rFonts w:ascii="Arial" w:hAnsi="Arial" w:cs="Arial"/>
          <w:lang w:val="en-ZA" w:eastAsia="x-none"/>
        </w:rPr>
        <w:t>For the period effective April 2016, the increase has been 9% across the board</w:t>
      </w:r>
    </w:p>
    <w:p w:rsidR="00922855" w:rsidRDefault="00922855" w:rsidP="00922855">
      <w:pPr>
        <w:ind w:left="567" w:hanging="567"/>
        <w:jc w:val="both"/>
        <w:rPr>
          <w:rFonts w:ascii="Arial" w:hAnsi="Arial" w:cs="Arial"/>
          <w:b/>
          <w:lang w:val="en-ZA" w:eastAsia="x-none"/>
        </w:rPr>
      </w:pPr>
      <w:r>
        <w:rPr>
          <w:rFonts w:ascii="Arial" w:hAnsi="Arial" w:cs="Arial"/>
          <w:b/>
          <w:lang w:val="en-ZA" w:eastAsia="x-none"/>
        </w:rPr>
        <w:t xml:space="preserve">      </w:t>
      </w:r>
      <w:r>
        <w:rPr>
          <w:rFonts w:ascii="Arial" w:hAnsi="Arial" w:cs="Arial"/>
          <w:b/>
          <w:lang w:val="en-ZA" w:eastAsia="x-none"/>
        </w:rPr>
        <w:tab/>
      </w:r>
      <w:r w:rsidRPr="008C1002">
        <w:rPr>
          <w:rFonts w:ascii="Arial" w:hAnsi="Arial" w:cs="Arial"/>
          <w:lang w:val="en-ZA" w:eastAsia="x-none"/>
        </w:rPr>
        <w:t>(iii)</w:t>
      </w:r>
      <w:r>
        <w:rPr>
          <w:rFonts w:ascii="Arial" w:hAnsi="Arial" w:cs="Arial"/>
          <w:b/>
          <w:lang w:val="en-ZA" w:eastAsia="x-none"/>
        </w:rPr>
        <w:t xml:space="preserve">  </w:t>
      </w:r>
      <w:r w:rsidRPr="00FE2F9A">
        <w:rPr>
          <w:rFonts w:ascii="Arial" w:hAnsi="Arial" w:cs="Arial"/>
          <w:lang w:val="en-ZA" w:eastAsia="x-none"/>
        </w:rPr>
        <w:t>For the period effective April 2017, the increase has been 8</w:t>
      </w:r>
      <w:proofErr w:type="gramStart"/>
      <w:r w:rsidRPr="00FE2F9A">
        <w:rPr>
          <w:rFonts w:ascii="Arial" w:hAnsi="Arial" w:cs="Arial"/>
          <w:lang w:val="en-ZA" w:eastAsia="x-none"/>
        </w:rPr>
        <w:t>,5</w:t>
      </w:r>
      <w:proofErr w:type="gramEnd"/>
      <w:r w:rsidRPr="00FE2F9A">
        <w:rPr>
          <w:rFonts w:ascii="Arial" w:hAnsi="Arial" w:cs="Arial"/>
          <w:lang w:val="en-ZA" w:eastAsia="x-none"/>
        </w:rPr>
        <w:t xml:space="preserve">% </w:t>
      </w:r>
      <w:r>
        <w:rPr>
          <w:rFonts w:ascii="Arial" w:hAnsi="Arial" w:cs="Arial"/>
          <w:lang w:val="en-ZA" w:eastAsia="x-none"/>
        </w:rPr>
        <w:t>for non-management staff and 6.3% for management</w:t>
      </w:r>
      <w:r w:rsidRPr="00FE2F9A">
        <w:rPr>
          <w:rFonts w:ascii="Arial" w:hAnsi="Arial" w:cs="Arial"/>
          <w:b/>
          <w:lang w:val="en-ZA" w:eastAsia="x-none"/>
        </w:rPr>
        <w:t xml:space="preserve"> </w:t>
      </w:r>
    </w:p>
    <w:p w:rsidR="00922855" w:rsidRDefault="00922855" w:rsidP="00922855">
      <w:pPr>
        <w:ind w:left="567"/>
        <w:jc w:val="both"/>
        <w:rPr>
          <w:rFonts w:ascii="Arial" w:hAnsi="Arial" w:cs="Arial"/>
          <w:lang w:val="en-ZA" w:eastAsia="x-none"/>
        </w:rPr>
      </w:pPr>
      <w:r w:rsidRPr="008C1002">
        <w:rPr>
          <w:rFonts w:ascii="Arial" w:hAnsi="Arial" w:cs="Arial"/>
          <w:lang w:val="en-ZA" w:eastAsia="x-none"/>
        </w:rPr>
        <w:t>(b)</w:t>
      </w:r>
      <w:r>
        <w:rPr>
          <w:rFonts w:ascii="Arial" w:hAnsi="Arial" w:cs="Arial"/>
          <w:b/>
          <w:lang w:val="en-ZA" w:eastAsia="x-none"/>
        </w:rPr>
        <w:t xml:space="preserve">  </w:t>
      </w:r>
      <w:r w:rsidRPr="00EF1DCC">
        <w:rPr>
          <w:rFonts w:ascii="Arial" w:hAnsi="Arial" w:cs="Arial"/>
          <w:lang w:val="en-ZA" w:eastAsia="x-none"/>
        </w:rPr>
        <w:t>For Non-management this was informed by the bargaining process with Organised Labour</w:t>
      </w:r>
      <w:r>
        <w:rPr>
          <w:rFonts w:ascii="Arial" w:hAnsi="Arial" w:cs="Arial"/>
          <w:lang w:val="en-ZA" w:eastAsia="x-none"/>
        </w:rPr>
        <w:t xml:space="preserve"> taking into account CPIX and other economic factors.</w:t>
      </w:r>
    </w:p>
    <w:p w:rsidR="00922855" w:rsidRPr="006354B0" w:rsidRDefault="00922855" w:rsidP="00922855">
      <w:pPr>
        <w:ind w:left="567"/>
        <w:jc w:val="both"/>
        <w:rPr>
          <w:rFonts w:ascii="Arial" w:hAnsi="Arial" w:cs="Arial"/>
          <w:b/>
          <w:lang w:val="en-ZA" w:eastAsia="x-none"/>
        </w:rPr>
      </w:pPr>
      <w:r w:rsidRPr="008C1002">
        <w:rPr>
          <w:rFonts w:ascii="Arial" w:hAnsi="Arial" w:cs="Arial"/>
          <w:lang w:val="en-ZA" w:eastAsia="x-none"/>
        </w:rPr>
        <w:t>(c)</w:t>
      </w:r>
      <w:r w:rsidRPr="006354B0">
        <w:rPr>
          <w:rFonts w:ascii="Arial" w:hAnsi="Arial" w:cs="Arial"/>
          <w:b/>
          <w:lang w:val="en-ZA" w:eastAsia="x-none"/>
        </w:rPr>
        <w:t xml:space="preserve"> </w:t>
      </w:r>
      <w:r w:rsidRPr="006354B0">
        <w:rPr>
          <w:rFonts w:ascii="Arial" w:hAnsi="Arial" w:cs="Arial"/>
          <w:lang w:val="en-ZA" w:eastAsia="x-none"/>
        </w:rPr>
        <w:t>The Board of the RTMC approved all increases</w:t>
      </w:r>
      <w:r>
        <w:rPr>
          <w:rFonts w:ascii="Arial" w:hAnsi="Arial" w:cs="Arial"/>
          <w:lang w:val="en-ZA" w:eastAsia="x-none"/>
        </w:rPr>
        <w:t xml:space="preserve"> post assessment of performance and signing of the labour agreement on increases.</w:t>
      </w:r>
    </w:p>
    <w:p w:rsidR="00922855" w:rsidRPr="008C1002" w:rsidRDefault="00922855" w:rsidP="00F05BC8">
      <w:pPr>
        <w:pStyle w:val="ListParagraph"/>
        <w:numPr>
          <w:ilvl w:val="0"/>
          <w:numId w:val="21"/>
        </w:numPr>
        <w:ind w:left="567" w:hanging="567"/>
        <w:jc w:val="both"/>
        <w:rPr>
          <w:rFonts w:ascii="Arial" w:hAnsi="Arial" w:cs="Arial"/>
          <w:lang w:val="en-ZA" w:eastAsia="x-none"/>
        </w:rPr>
      </w:pPr>
      <w:r w:rsidRPr="008C1002">
        <w:rPr>
          <w:rFonts w:ascii="Arial" w:hAnsi="Arial" w:cs="Arial"/>
          <w:lang w:val="en-ZA" w:eastAsia="x-none"/>
        </w:rPr>
        <w:t>(a) (</w:t>
      </w:r>
      <w:proofErr w:type="spellStart"/>
      <w:proofErr w:type="gramStart"/>
      <w:r w:rsidRPr="008C1002">
        <w:rPr>
          <w:rFonts w:ascii="Arial" w:hAnsi="Arial" w:cs="Arial"/>
          <w:lang w:val="en-ZA" w:eastAsia="x-none"/>
        </w:rPr>
        <w:t>i</w:t>
      </w:r>
      <w:proofErr w:type="spellEnd"/>
      <w:proofErr w:type="gramEnd"/>
      <w:r w:rsidRPr="008C1002">
        <w:rPr>
          <w:rFonts w:ascii="Arial" w:hAnsi="Arial" w:cs="Arial"/>
          <w:lang w:val="en-ZA" w:eastAsia="x-none"/>
        </w:rPr>
        <w:t>) For the year ending March 2014</w:t>
      </w:r>
      <w:r>
        <w:rPr>
          <w:rFonts w:ascii="Arial" w:hAnsi="Arial" w:cs="Arial"/>
          <w:lang w:val="en-ZA" w:eastAsia="x-none"/>
        </w:rPr>
        <w:t xml:space="preserve">, </w:t>
      </w:r>
      <w:r w:rsidRPr="008C1002">
        <w:rPr>
          <w:rFonts w:ascii="Arial" w:hAnsi="Arial" w:cs="Arial"/>
          <w:lang w:val="en-ZA" w:eastAsia="x-none"/>
        </w:rPr>
        <w:t>there was no Performance bonus that was paid.</w:t>
      </w:r>
    </w:p>
    <w:p w:rsidR="00922855" w:rsidRDefault="00922855" w:rsidP="00922855">
      <w:pPr>
        <w:pStyle w:val="ListParagraph"/>
        <w:ind w:left="567" w:hanging="567"/>
        <w:jc w:val="both"/>
        <w:rPr>
          <w:rFonts w:ascii="Arial" w:hAnsi="Arial" w:cs="Arial"/>
          <w:b/>
          <w:lang w:val="en-ZA" w:eastAsia="x-none"/>
        </w:rPr>
      </w:pPr>
    </w:p>
    <w:p w:rsidR="00922855" w:rsidRDefault="00922855" w:rsidP="00922855">
      <w:pPr>
        <w:pStyle w:val="ListParagraph"/>
        <w:ind w:left="567"/>
        <w:jc w:val="both"/>
        <w:rPr>
          <w:rFonts w:ascii="Arial" w:hAnsi="Arial" w:cs="Arial"/>
          <w:lang w:val="en-ZA" w:eastAsia="x-none"/>
        </w:rPr>
      </w:pPr>
      <w:r w:rsidRPr="008C1002">
        <w:rPr>
          <w:rFonts w:ascii="Arial" w:hAnsi="Arial" w:cs="Arial"/>
          <w:lang w:val="en-ZA" w:eastAsia="x-none"/>
        </w:rPr>
        <w:t>(ii) For the year ending March 2015</w:t>
      </w:r>
      <w:r>
        <w:rPr>
          <w:rFonts w:ascii="Arial" w:hAnsi="Arial" w:cs="Arial"/>
          <w:lang w:val="en-ZA" w:eastAsia="x-none"/>
        </w:rPr>
        <w:t>, the percentage approved was 6% and 3% of Annual Total package. The 6% was for permanent employees and 3 % for employees on Contract.</w:t>
      </w:r>
    </w:p>
    <w:p w:rsidR="00922855" w:rsidRDefault="00922855" w:rsidP="00922855">
      <w:pPr>
        <w:ind w:left="567"/>
        <w:jc w:val="both"/>
        <w:rPr>
          <w:rFonts w:ascii="Arial" w:hAnsi="Arial" w:cs="Arial"/>
          <w:lang w:val="en-ZA" w:eastAsia="x-none"/>
        </w:rPr>
      </w:pPr>
      <w:r w:rsidRPr="008C1002">
        <w:rPr>
          <w:rFonts w:ascii="Arial" w:hAnsi="Arial" w:cs="Arial"/>
          <w:lang w:val="en-ZA" w:eastAsia="x-none"/>
        </w:rPr>
        <w:t>(iii) For the year ending March 2016</w:t>
      </w:r>
      <w:r>
        <w:rPr>
          <w:rFonts w:ascii="Arial" w:hAnsi="Arial" w:cs="Arial"/>
          <w:lang w:val="en-ZA" w:eastAsia="x-none"/>
        </w:rPr>
        <w:t>, the percentage approved was 7</w:t>
      </w:r>
      <w:proofErr w:type="gramStart"/>
      <w:r>
        <w:rPr>
          <w:rFonts w:ascii="Arial" w:hAnsi="Arial" w:cs="Arial"/>
          <w:lang w:val="en-ZA" w:eastAsia="x-none"/>
        </w:rPr>
        <w:t>,5</w:t>
      </w:r>
      <w:proofErr w:type="gramEnd"/>
      <w:r>
        <w:rPr>
          <w:rFonts w:ascii="Arial" w:hAnsi="Arial" w:cs="Arial"/>
          <w:lang w:val="en-ZA" w:eastAsia="x-none"/>
        </w:rPr>
        <w:t xml:space="preserve">% of Annual Total package </w:t>
      </w:r>
    </w:p>
    <w:p w:rsidR="00922855" w:rsidRDefault="00922855" w:rsidP="00922855">
      <w:pPr>
        <w:ind w:left="567"/>
        <w:jc w:val="both"/>
        <w:rPr>
          <w:rFonts w:ascii="Arial" w:hAnsi="Arial" w:cs="Arial"/>
          <w:lang w:val="en-ZA" w:eastAsia="x-none"/>
        </w:rPr>
      </w:pPr>
      <w:r>
        <w:rPr>
          <w:rFonts w:ascii="Arial" w:hAnsi="Arial" w:cs="Arial"/>
          <w:lang w:val="en-ZA" w:eastAsia="x-none"/>
        </w:rPr>
        <w:t xml:space="preserve">(b) The criteria for the payment of bonuses </w:t>
      </w:r>
      <w:proofErr w:type="gramStart"/>
      <w:r>
        <w:rPr>
          <w:rFonts w:ascii="Arial" w:hAnsi="Arial" w:cs="Arial"/>
          <w:lang w:val="en-ZA" w:eastAsia="x-none"/>
        </w:rPr>
        <w:t>is</w:t>
      </w:r>
      <w:proofErr w:type="gramEnd"/>
      <w:r>
        <w:rPr>
          <w:rFonts w:ascii="Arial" w:hAnsi="Arial" w:cs="Arial"/>
          <w:lang w:val="en-ZA" w:eastAsia="x-none"/>
        </w:rPr>
        <w:t xml:space="preserve"> informed by the overall performance of the organisation, the PMDS policy as well as terms and conditions of each individual employee. </w:t>
      </w:r>
    </w:p>
    <w:p w:rsidR="00922855" w:rsidRDefault="00922855" w:rsidP="00922855">
      <w:pPr>
        <w:ind w:left="567"/>
        <w:jc w:val="both"/>
        <w:rPr>
          <w:rFonts w:ascii="Arial" w:hAnsi="Arial" w:cs="Arial"/>
          <w:lang w:val="en-ZA" w:eastAsia="x-none"/>
        </w:rPr>
      </w:pPr>
      <w:r>
        <w:rPr>
          <w:rFonts w:ascii="Arial" w:hAnsi="Arial" w:cs="Arial"/>
          <w:lang w:val="en-ZA" w:eastAsia="x-none"/>
        </w:rPr>
        <w:t>(c) The Board of the RTMC approved the payment of bonuses taking into account the performance of the organisation and the PMDS policy.</w:t>
      </w:r>
    </w:p>
    <w:p w:rsidR="00922855" w:rsidRDefault="00922855" w:rsidP="00922855">
      <w:pPr>
        <w:ind w:left="567" w:hanging="567"/>
        <w:jc w:val="both"/>
        <w:rPr>
          <w:rFonts w:ascii="Arial" w:hAnsi="Arial" w:cs="Arial"/>
          <w:lang w:val="en-ZA" w:eastAsia="x-none"/>
        </w:rPr>
      </w:pPr>
    </w:p>
    <w:p w:rsidR="00922855" w:rsidRDefault="00922855" w:rsidP="00922855">
      <w:pPr>
        <w:ind w:left="567" w:hanging="567"/>
        <w:rPr>
          <w:rFonts w:ascii="Arial" w:hAnsi="Arial" w:cs="Arial"/>
          <w:lang w:val="en-ZA" w:eastAsia="x-none"/>
        </w:rPr>
      </w:pPr>
    </w:p>
    <w:p w:rsidR="00922855" w:rsidRPr="001E5DF4" w:rsidRDefault="00922855" w:rsidP="00922855">
      <w:pPr>
        <w:ind w:left="567" w:hanging="567"/>
        <w:rPr>
          <w:rFonts w:ascii="Arial" w:hAnsi="Arial" w:cs="Arial"/>
          <w:lang w:val="en-ZA" w:eastAsia="x-none"/>
        </w:rPr>
      </w:pPr>
    </w:p>
    <w:p w:rsidR="00922855" w:rsidRDefault="00922855" w:rsidP="00922855">
      <w:pPr>
        <w:ind w:left="567" w:hanging="567"/>
        <w:rPr>
          <w:rFonts w:ascii="Arial" w:hAnsi="Arial" w:cs="Arial"/>
          <w:lang w:val="en-ZA" w:eastAsia="x-none"/>
        </w:rPr>
      </w:pPr>
      <w:r>
        <w:rPr>
          <w:rFonts w:ascii="Arial" w:hAnsi="Arial" w:cs="Arial"/>
          <w:lang w:val="en-ZA" w:eastAsia="x-none"/>
        </w:rPr>
        <w:t xml:space="preserve"> </w:t>
      </w:r>
    </w:p>
    <w:p w:rsidR="00922855" w:rsidRDefault="00922855" w:rsidP="00922855">
      <w:pPr>
        <w:ind w:left="567" w:hanging="567"/>
        <w:rPr>
          <w:rFonts w:ascii="Arial" w:hAnsi="Arial" w:cs="Arial"/>
          <w:lang w:val="en-ZA" w:eastAsia="x-none"/>
        </w:rPr>
      </w:pPr>
    </w:p>
    <w:p w:rsidR="00922855" w:rsidRPr="00EF1DCC" w:rsidRDefault="00922855" w:rsidP="00922855">
      <w:pPr>
        <w:ind w:left="567" w:hanging="567"/>
        <w:rPr>
          <w:rFonts w:ascii="Arial" w:hAnsi="Arial" w:cs="Arial"/>
          <w:lang w:val="en-ZA" w:eastAsia="x-none"/>
        </w:rPr>
      </w:pPr>
    </w:p>
    <w:p w:rsidR="00922855" w:rsidRDefault="00922855" w:rsidP="00922855">
      <w:pPr>
        <w:rPr>
          <w:rFonts w:ascii="Arial" w:hAnsi="Arial" w:cs="Arial"/>
        </w:rPr>
      </w:pPr>
    </w:p>
    <w:p w:rsidR="00922855" w:rsidRPr="00DC09D2" w:rsidRDefault="00922855" w:rsidP="00922855">
      <w:pPr>
        <w:rPr>
          <w:rFonts w:ascii="Arial" w:hAnsi="Arial" w:cs="Arial"/>
          <w:b/>
          <w:lang w:val="en-ZA" w:eastAsia="x-none"/>
        </w:rPr>
      </w:pPr>
    </w:p>
    <w:p w:rsidR="00922855" w:rsidRDefault="00922855" w:rsidP="00922855">
      <w:pPr>
        <w:rPr>
          <w:rFonts w:ascii="Arial" w:hAnsi="Arial" w:cs="Arial"/>
          <w:lang w:val="en-ZA" w:eastAsia="x-none"/>
        </w:rPr>
      </w:pPr>
    </w:p>
    <w:p w:rsidR="00525D63" w:rsidRDefault="00525D63" w:rsidP="00922855">
      <w:pPr>
        <w:rPr>
          <w:rFonts w:ascii="Arial" w:hAnsi="Arial" w:cs="Arial"/>
          <w:lang w:val="en-ZA" w:eastAsia="x-none"/>
        </w:rPr>
      </w:pPr>
    </w:p>
    <w:p w:rsidR="00525D63" w:rsidRDefault="00525D63" w:rsidP="00922855">
      <w:pPr>
        <w:rPr>
          <w:rFonts w:ascii="Arial" w:hAnsi="Arial" w:cs="Arial"/>
          <w:lang w:val="en-ZA" w:eastAsia="x-none"/>
        </w:rPr>
      </w:pPr>
    </w:p>
    <w:p w:rsidR="00525D63" w:rsidRPr="00830DB6" w:rsidRDefault="00525D63" w:rsidP="00922855">
      <w:pPr>
        <w:rPr>
          <w:rFonts w:ascii="Arial" w:hAnsi="Arial" w:cs="Arial"/>
          <w:lang w:val="en-ZA" w:eastAsia="x-none"/>
        </w:rPr>
      </w:pPr>
    </w:p>
    <w:p w:rsidR="00922855" w:rsidRPr="00826EBC" w:rsidRDefault="00922855" w:rsidP="00922855">
      <w:pPr>
        <w:spacing w:before="100" w:beforeAutospacing="1" w:after="100" w:afterAutospacing="1" w:line="240" w:lineRule="auto"/>
        <w:jc w:val="both"/>
        <w:rPr>
          <w:rFonts w:ascii="Arial" w:hAnsi="Arial" w:cs="Arial"/>
          <w:b/>
        </w:rPr>
      </w:pPr>
    </w:p>
    <w:p w:rsidR="00922855" w:rsidRPr="00EE7384" w:rsidRDefault="00922855" w:rsidP="00922855">
      <w:pPr>
        <w:spacing w:before="100" w:beforeAutospacing="1" w:after="100" w:afterAutospacing="1" w:line="240" w:lineRule="auto"/>
        <w:ind w:left="1440" w:hanging="629"/>
        <w:jc w:val="both"/>
        <w:rPr>
          <w:rFonts w:ascii="Arial" w:hAnsi="Arial" w:cs="Arial"/>
          <w:b/>
        </w:rPr>
      </w:pPr>
      <w:r>
        <w:rPr>
          <w:rFonts w:ascii="Arial" w:hAnsi="Arial" w:cs="Arial"/>
          <w:b/>
          <w:noProof/>
          <w:lang w:val="af-ZA"/>
        </w:rPr>
        <w:lastRenderedPageBreak/>
        <w:t>PRASA</w:t>
      </w:r>
    </w:p>
    <w:p w:rsidR="00922855" w:rsidRDefault="00922855" w:rsidP="00922855">
      <w:pPr>
        <w:spacing w:before="100" w:beforeAutospacing="1" w:after="100" w:afterAutospacing="1" w:line="240" w:lineRule="auto"/>
        <w:ind w:left="1440" w:hanging="629"/>
        <w:jc w:val="both"/>
        <w:rPr>
          <w:rFonts w:ascii="Arial" w:hAnsi="Arial" w:cs="Arial"/>
        </w:rPr>
      </w:pPr>
      <w:r w:rsidRPr="00830DB6">
        <w:rPr>
          <w:rFonts w:ascii="Arial" w:hAnsi="Arial" w:cs="Arial"/>
        </w:rPr>
        <w:t xml:space="preserve">a) What salary, remuneration or benefit increases have been granted in each salary grade to employees </w:t>
      </w:r>
      <w:proofErr w:type="gramStart"/>
      <w:r w:rsidRPr="00830DB6">
        <w:rPr>
          <w:rFonts w:ascii="Arial" w:hAnsi="Arial" w:cs="Arial"/>
        </w:rPr>
        <w:t>of</w:t>
      </w:r>
      <w:proofErr w:type="gramEnd"/>
      <w:r w:rsidRPr="00830DB6">
        <w:rPr>
          <w:rFonts w:ascii="Arial" w:hAnsi="Arial" w:cs="Arial"/>
        </w:rPr>
        <w:t xml:space="preserve"> </w:t>
      </w:r>
    </w:p>
    <w:p w:rsidR="00922855" w:rsidRDefault="00922855" w:rsidP="00922855">
      <w:pPr>
        <w:spacing w:before="100" w:beforeAutospacing="1" w:after="100" w:afterAutospacing="1" w:line="240" w:lineRule="auto"/>
        <w:ind w:left="1440" w:hanging="164"/>
        <w:jc w:val="both"/>
        <w:rPr>
          <w:rFonts w:ascii="Arial" w:hAnsi="Arial" w:cs="Arial"/>
        </w:rPr>
      </w:pPr>
      <w:r>
        <w:rPr>
          <w:rFonts w:ascii="Arial" w:hAnsi="Arial" w:cs="Arial"/>
        </w:rPr>
        <w:t xml:space="preserve">PRASA has awarded the following inflationary Increases for 2014 - 2017   </w:t>
      </w:r>
    </w:p>
    <w:tbl>
      <w:tblPr>
        <w:tblStyle w:val="TableGrid"/>
        <w:tblW w:w="0" w:type="auto"/>
        <w:tblInd w:w="1440" w:type="dxa"/>
        <w:tblLook w:val="04A0" w:firstRow="1" w:lastRow="0" w:firstColumn="1" w:lastColumn="0" w:noHBand="0" w:noVBand="1"/>
      </w:tblPr>
      <w:tblGrid>
        <w:gridCol w:w="2919"/>
        <w:gridCol w:w="2925"/>
        <w:gridCol w:w="2974"/>
      </w:tblGrid>
      <w:tr w:rsidR="00922855" w:rsidTr="00922855">
        <w:tc>
          <w:tcPr>
            <w:tcW w:w="3419" w:type="dxa"/>
            <w:shd w:val="clear" w:color="auto" w:fill="17365D" w:themeFill="text2" w:themeFillShade="BF"/>
          </w:tcPr>
          <w:p w:rsidR="00922855" w:rsidRDefault="00922855" w:rsidP="00922855">
            <w:pPr>
              <w:spacing w:before="100" w:beforeAutospacing="1" w:after="100" w:afterAutospacing="1"/>
              <w:jc w:val="center"/>
              <w:rPr>
                <w:rFonts w:ascii="Arial" w:hAnsi="Arial" w:cs="Arial"/>
              </w:rPr>
            </w:pPr>
            <w:r>
              <w:rPr>
                <w:rFonts w:ascii="Arial" w:hAnsi="Arial" w:cs="Arial"/>
              </w:rPr>
              <w:t>Financial Year</w:t>
            </w:r>
          </w:p>
        </w:tc>
        <w:tc>
          <w:tcPr>
            <w:tcW w:w="3419" w:type="dxa"/>
            <w:shd w:val="clear" w:color="auto" w:fill="17365D" w:themeFill="text2" w:themeFillShade="BF"/>
          </w:tcPr>
          <w:p w:rsidR="00922855" w:rsidRDefault="00922855" w:rsidP="00922855">
            <w:pPr>
              <w:spacing w:before="100" w:beforeAutospacing="1" w:after="100" w:afterAutospacing="1"/>
              <w:jc w:val="center"/>
              <w:rPr>
                <w:rFonts w:ascii="Arial" w:hAnsi="Arial" w:cs="Arial"/>
              </w:rPr>
            </w:pPr>
            <w:r>
              <w:rPr>
                <w:rFonts w:ascii="Arial" w:hAnsi="Arial" w:cs="Arial"/>
              </w:rPr>
              <w:t>Inflationary Increase for Junior Employees in the Bargaining Unit</w:t>
            </w:r>
          </w:p>
        </w:tc>
        <w:tc>
          <w:tcPr>
            <w:tcW w:w="3420" w:type="dxa"/>
            <w:shd w:val="clear" w:color="auto" w:fill="17365D" w:themeFill="text2" w:themeFillShade="BF"/>
          </w:tcPr>
          <w:p w:rsidR="00922855" w:rsidRDefault="00922855" w:rsidP="00922855">
            <w:pPr>
              <w:spacing w:before="100" w:beforeAutospacing="1" w:after="100" w:afterAutospacing="1"/>
              <w:jc w:val="center"/>
              <w:rPr>
                <w:rFonts w:ascii="Arial" w:hAnsi="Arial" w:cs="Arial"/>
              </w:rPr>
            </w:pPr>
            <w:r>
              <w:rPr>
                <w:rFonts w:ascii="Arial" w:hAnsi="Arial" w:cs="Arial"/>
              </w:rPr>
              <w:t>Inflationary Increase for Management Employees</w:t>
            </w:r>
          </w:p>
        </w:tc>
      </w:tr>
      <w:tr w:rsidR="00922855" w:rsidTr="00922855">
        <w:tc>
          <w:tcPr>
            <w:tcW w:w="3419" w:type="dxa"/>
          </w:tcPr>
          <w:p w:rsidR="00922855" w:rsidRDefault="00922855" w:rsidP="00922855">
            <w:pPr>
              <w:spacing w:before="100" w:beforeAutospacing="1" w:after="100" w:afterAutospacing="1"/>
              <w:ind w:left="828" w:hanging="850"/>
              <w:rPr>
                <w:rFonts w:ascii="Arial" w:hAnsi="Arial" w:cs="Arial"/>
              </w:rPr>
            </w:pPr>
            <w:r>
              <w:rPr>
                <w:rFonts w:ascii="Arial" w:hAnsi="Arial" w:cs="Arial"/>
              </w:rPr>
              <w:t>2015/16(3 year Wage Agreement)</w:t>
            </w:r>
          </w:p>
        </w:tc>
        <w:tc>
          <w:tcPr>
            <w:tcW w:w="3419" w:type="dxa"/>
          </w:tcPr>
          <w:p w:rsidR="00922855" w:rsidRDefault="00922855" w:rsidP="00F05BC8">
            <w:pPr>
              <w:pStyle w:val="ListParagraph"/>
              <w:numPr>
                <w:ilvl w:val="0"/>
                <w:numId w:val="23"/>
              </w:numPr>
              <w:spacing w:before="100" w:beforeAutospacing="1" w:after="100" w:afterAutospacing="1"/>
              <w:ind w:left="309" w:hanging="218"/>
              <w:rPr>
                <w:rFonts w:ascii="Arial" w:hAnsi="Arial" w:cs="Arial"/>
              </w:rPr>
            </w:pPr>
            <w:r>
              <w:rPr>
                <w:rFonts w:ascii="Arial" w:hAnsi="Arial" w:cs="Arial"/>
              </w:rPr>
              <w:t>8.5% for all junior employees above R115, 000.</w:t>
            </w:r>
          </w:p>
          <w:p w:rsidR="00922855" w:rsidRDefault="00922855" w:rsidP="00922855">
            <w:pPr>
              <w:pStyle w:val="ListParagraph"/>
              <w:spacing w:before="100" w:beforeAutospacing="1" w:after="100" w:afterAutospacing="1"/>
              <w:ind w:left="309"/>
              <w:rPr>
                <w:rFonts w:ascii="Arial" w:hAnsi="Arial" w:cs="Arial"/>
              </w:rPr>
            </w:pPr>
          </w:p>
          <w:p w:rsidR="00922855" w:rsidRPr="0008439F" w:rsidRDefault="00922855" w:rsidP="00F05BC8">
            <w:pPr>
              <w:pStyle w:val="ListParagraph"/>
              <w:numPr>
                <w:ilvl w:val="0"/>
                <w:numId w:val="23"/>
              </w:numPr>
              <w:spacing w:before="100" w:beforeAutospacing="1" w:after="100" w:afterAutospacing="1"/>
              <w:ind w:left="309" w:hanging="218"/>
              <w:rPr>
                <w:rFonts w:ascii="Arial" w:hAnsi="Arial" w:cs="Arial"/>
              </w:rPr>
            </w:pPr>
            <w:r>
              <w:rPr>
                <w:rFonts w:ascii="Arial" w:hAnsi="Arial" w:cs="Arial"/>
              </w:rPr>
              <w:t>9.5% for all junior employees less than R115, 000.</w:t>
            </w:r>
          </w:p>
        </w:tc>
        <w:tc>
          <w:tcPr>
            <w:tcW w:w="3420" w:type="dxa"/>
          </w:tcPr>
          <w:p w:rsidR="00922855" w:rsidRDefault="00922855" w:rsidP="00F05BC8">
            <w:pPr>
              <w:pStyle w:val="ListParagraph"/>
              <w:numPr>
                <w:ilvl w:val="0"/>
                <w:numId w:val="23"/>
              </w:numPr>
              <w:spacing w:before="100" w:beforeAutospacing="1" w:after="100" w:afterAutospacing="1"/>
              <w:ind w:left="518" w:hanging="291"/>
              <w:rPr>
                <w:rFonts w:ascii="Arial" w:hAnsi="Arial" w:cs="Arial"/>
              </w:rPr>
            </w:pPr>
            <w:r>
              <w:rPr>
                <w:rFonts w:ascii="Arial" w:hAnsi="Arial" w:cs="Arial"/>
              </w:rPr>
              <w:t>6.5% for Assistant Managers and Managers.</w:t>
            </w:r>
          </w:p>
          <w:p w:rsidR="00922855" w:rsidRDefault="00922855" w:rsidP="00922855">
            <w:pPr>
              <w:pStyle w:val="ListParagraph"/>
              <w:spacing w:before="100" w:beforeAutospacing="1" w:after="100" w:afterAutospacing="1"/>
              <w:ind w:left="518"/>
              <w:jc w:val="both"/>
              <w:rPr>
                <w:rFonts w:ascii="Arial" w:hAnsi="Arial" w:cs="Arial"/>
              </w:rPr>
            </w:pPr>
          </w:p>
          <w:p w:rsidR="00922855" w:rsidRPr="0008439F" w:rsidRDefault="00922855" w:rsidP="00F05BC8">
            <w:pPr>
              <w:pStyle w:val="ListParagraph"/>
              <w:numPr>
                <w:ilvl w:val="0"/>
                <w:numId w:val="23"/>
              </w:numPr>
              <w:spacing w:before="100" w:beforeAutospacing="1" w:after="100" w:afterAutospacing="1"/>
              <w:ind w:left="518" w:hanging="291"/>
              <w:rPr>
                <w:rFonts w:ascii="Arial" w:hAnsi="Arial" w:cs="Arial"/>
              </w:rPr>
            </w:pPr>
            <w:r>
              <w:rPr>
                <w:rFonts w:ascii="Arial" w:hAnsi="Arial" w:cs="Arial"/>
              </w:rPr>
              <w:t>5.5% Senior Managers, General Managers and Executives.</w:t>
            </w:r>
          </w:p>
        </w:tc>
      </w:tr>
      <w:tr w:rsidR="00922855" w:rsidTr="00922855">
        <w:tc>
          <w:tcPr>
            <w:tcW w:w="3419" w:type="dxa"/>
          </w:tcPr>
          <w:p w:rsidR="00922855" w:rsidRDefault="00922855" w:rsidP="00922855">
            <w:pPr>
              <w:spacing w:before="100" w:beforeAutospacing="1" w:after="100" w:afterAutospacing="1"/>
              <w:jc w:val="both"/>
              <w:rPr>
                <w:rFonts w:ascii="Arial" w:hAnsi="Arial" w:cs="Arial"/>
              </w:rPr>
            </w:pPr>
            <w:r>
              <w:rPr>
                <w:rFonts w:ascii="Arial" w:hAnsi="Arial" w:cs="Arial"/>
              </w:rPr>
              <w:t>2016/17</w:t>
            </w:r>
          </w:p>
        </w:tc>
        <w:tc>
          <w:tcPr>
            <w:tcW w:w="3419" w:type="dxa"/>
          </w:tcPr>
          <w:p w:rsidR="00922855" w:rsidRDefault="00922855" w:rsidP="00F05BC8">
            <w:pPr>
              <w:pStyle w:val="ListParagraph"/>
              <w:numPr>
                <w:ilvl w:val="0"/>
                <w:numId w:val="23"/>
              </w:numPr>
              <w:spacing w:before="100" w:beforeAutospacing="1" w:after="100" w:afterAutospacing="1"/>
              <w:ind w:left="309" w:hanging="218"/>
              <w:rPr>
                <w:rFonts w:ascii="Arial" w:hAnsi="Arial" w:cs="Arial"/>
              </w:rPr>
            </w:pPr>
            <w:r>
              <w:rPr>
                <w:rFonts w:ascii="Arial" w:hAnsi="Arial" w:cs="Arial"/>
              </w:rPr>
              <w:t>9</w:t>
            </w:r>
            <w:r w:rsidRPr="0008439F">
              <w:rPr>
                <w:rFonts w:ascii="Arial" w:hAnsi="Arial" w:cs="Arial"/>
              </w:rPr>
              <w:t>% for all</w:t>
            </w:r>
            <w:r>
              <w:rPr>
                <w:rFonts w:ascii="Arial" w:hAnsi="Arial" w:cs="Arial"/>
              </w:rPr>
              <w:t xml:space="preserve"> junior</w:t>
            </w:r>
            <w:r w:rsidRPr="0008439F">
              <w:rPr>
                <w:rFonts w:ascii="Arial" w:hAnsi="Arial" w:cs="Arial"/>
              </w:rPr>
              <w:t xml:space="preserve"> empl</w:t>
            </w:r>
            <w:r>
              <w:rPr>
                <w:rFonts w:ascii="Arial" w:hAnsi="Arial" w:cs="Arial"/>
              </w:rPr>
              <w:t>o</w:t>
            </w:r>
            <w:r w:rsidRPr="0008439F">
              <w:rPr>
                <w:rFonts w:ascii="Arial" w:hAnsi="Arial" w:cs="Arial"/>
              </w:rPr>
              <w:t>yees above R1</w:t>
            </w:r>
            <w:r>
              <w:rPr>
                <w:rFonts w:ascii="Arial" w:hAnsi="Arial" w:cs="Arial"/>
              </w:rPr>
              <w:t>2</w:t>
            </w:r>
            <w:r w:rsidRPr="0008439F">
              <w:rPr>
                <w:rFonts w:ascii="Arial" w:hAnsi="Arial" w:cs="Arial"/>
              </w:rPr>
              <w:t>5,</w:t>
            </w:r>
            <w:r>
              <w:rPr>
                <w:rFonts w:ascii="Arial" w:hAnsi="Arial" w:cs="Arial"/>
              </w:rPr>
              <w:t xml:space="preserve"> </w:t>
            </w:r>
            <w:r w:rsidRPr="0008439F">
              <w:rPr>
                <w:rFonts w:ascii="Arial" w:hAnsi="Arial" w:cs="Arial"/>
              </w:rPr>
              <w:t>000</w:t>
            </w:r>
            <w:r>
              <w:rPr>
                <w:rFonts w:ascii="Arial" w:hAnsi="Arial" w:cs="Arial"/>
              </w:rPr>
              <w:t>.</w:t>
            </w:r>
          </w:p>
          <w:p w:rsidR="00922855" w:rsidRDefault="00922855" w:rsidP="00922855">
            <w:pPr>
              <w:pStyle w:val="ListParagraph"/>
              <w:ind w:left="309"/>
              <w:rPr>
                <w:rFonts w:ascii="Arial" w:hAnsi="Arial" w:cs="Arial"/>
              </w:rPr>
            </w:pPr>
          </w:p>
          <w:p w:rsidR="00922855" w:rsidRDefault="00922855" w:rsidP="00F05BC8">
            <w:pPr>
              <w:numPr>
                <w:ilvl w:val="0"/>
                <w:numId w:val="23"/>
              </w:numPr>
              <w:spacing w:after="100" w:afterAutospacing="1"/>
              <w:ind w:left="309" w:hanging="218"/>
              <w:rPr>
                <w:rFonts w:ascii="Arial" w:hAnsi="Arial" w:cs="Arial"/>
              </w:rPr>
            </w:pPr>
            <w:r>
              <w:rPr>
                <w:rFonts w:ascii="Arial" w:hAnsi="Arial" w:cs="Arial"/>
              </w:rPr>
              <w:t>10% for all junior employees less than R125, 000</w:t>
            </w:r>
          </w:p>
        </w:tc>
        <w:tc>
          <w:tcPr>
            <w:tcW w:w="3420" w:type="dxa"/>
          </w:tcPr>
          <w:p w:rsidR="00922855" w:rsidRDefault="00922855" w:rsidP="00F05BC8">
            <w:pPr>
              <w:pStyle w:val="ListParagraph"/>
              <w:numPr>
                <w:ilvl w:val="0"/>
                <w:numId w:val="23"/>
              </w:numPr>
              <w:spacing w:before="100" w:beforeAutospacing="1" w:after="100" w:afterAutospacing="1"/>
              <w:ind w:left="518" w:hanging="291"/>
              <w:rPr>
                <w:rFonts w:ascii="Arial" w:hAnsi="Arial" w:cs="Arial"/>
              </w:rPr>
            </w:pPr>
            <w:r>
              <w:rPr>
                <w:rFonts w:ascii="Arial" w:hAnsi="Arial" w:cs="Arial"/>
              </w:rPr>
              <w:t>6.2% for Assistant Managers and Managers.</w:t>
            </w:r>
          </w:p>
          <w:p w:rsidR="00922855" w:rsidRDefault="00922855" w:rsidP="00922855">
            <w:pPr>
              <w:pStyle w:val="ListParagraph"/>
              <w:spacing w:before="100" w:beforeAutospacing="1" w:after="100" w:afterAutospacing="1"/>
              <w:ind w:left="518"/>
              <w:jc w:val="both"/>
              <w:rPr>
                <w:rFonts w:ascii="Arial" w:hAnsi="Arial" w:cs="Arial"/>
              </w:rPr>
            </w:pPr>
          </w:p>
          <w:p w:rsidR="00922855" w:rsidRPr="0005438A" w:rsidRDefault="00922855" w:rsidP="00F05BC8">
            <w:pPr>
              <w:pStyle w:val="ListParagraph"/>
              <w:numPr>
                <w:ilvl w:val="0"/>
                <w:numId w:val="23"/>
              </w:numPr>
              <w:spacing w:before="100" w:beforeAutospacing="1" w:after="100" w:afterAutospacing="1"/>
              <w:ind w:left="552"/>
              <w:rPr>
                <w:rFonts w:ascii="Arial" w:hAnsi="Arial" w:cs="Arial"/>
              </w:rPr>
            </w:pPr>
            <w:r>
              <w:rPr>
                <w:rFonts w:ascii="Arial" w:hAnsi="Arial" w:cs="Arial"/>
              </w:rPr>
              <w:t>6% Senior Managers, General Managers and Executives.</w:t>
            </w:r>
          </w:p>
        </w:tc>
      </w:tr>
      <w:tr w:rsidR="00922855" w:rsidTr="00922855">
        <w:tc>
          <w:tcPr>
            <w:tcW w:w="3419" w:type="dxa"/>
          </w:tcPr>
          <w:p w:rsidR="00922855" w:rsidRDefault="00922855" w:rsidP="00922855">
            <w:pPr>
              <w:spacing w:before="100" w:beforeAutospacing="1" w:after="100" w:afterAutospacing="1"/>
              <w:jc w:val="both"/>
              <w:rPr>
                <w:rFonts w:ascii="Arial" w:hAnsi="Arial" w:cs="Arial"/>
              </w:rPr>
            </w:pPr>
            <w:r>
              <w:rPr>
                <w:rFonts w:ascii="Arial" w:hAnsi="Arial" w:cs="Arial"/>
              </w:rPr>
              <w:t>2017/18</w:t>
            </w:r>
          </w:p>
        </w:tc>
        <w:tc>
          <w:tcPr>
            <w:tcW w:w="3419" w:type="dxa"/>
          </w:tcPr>
          <w:p w:rsidR="00922855" w:rsidRDefault="00922855" w:rsidP="00F05BC8">
            <w:pPr>
              <w:pStyle w:val="ListParagraph"/>
              <w:numPr>
                <w:ilvl w:val="0"/>
                <w:numId w:val="23"/>
              </w:numPr>
              <w:spacing w:before="100" w:beforeAutospacing="1" w:after="100" w:afterAutospacing="1"/>
              <w:ind w:left="309" w:hanging="218"/>
              <w:rPr>
                <w:rFonts w:ascii="Arial" w:hAnsi="Arial" w:cs="Arial"/>
              </w:rPr>
            </w:pPr>
            <w:r>
              <w:rPr>
                <w:rFonts w:ascii="Arial" w:hAnsi="Arial" w:cs="Arial"/>
              </w:rPr>
              <w:t>8% Across the Board</w:t>
            </w:r>
          </w:p>
        </w:tc>
        <w:tc>
          <w:tcPr>
            <w:tcW w:w="3420" w:type="dxa"/>
          </w:tcPr>
          <w:p w:rsidR="00922855" w:rsidRPr="0005438A" w:rsidRDefault="00922855" w:rsidP="00F05BC8">
            <w:pPr>
              <w:pStyle w:val="ListParagraph"/>
              <w:numPr>
                <w:ilvl w:val="0"/>
                <w:numId w:val="23"/>
              </w:numPr>
              <w:spacing w:before="100" w:beforeAutospacing="1" w:after="100" w:afterAutospacing="1"/>
              <w:ind w:left="309" w:hanging="218"/>
              <w:rPr>
                <w:rFonts w:ascii="Arial" w:hAnsi="Arial" w:cs="Arial"/>
              </w:rPr>
            </w:pPr>
            <w:r>
              <w:rPr>
                <w:rFonts w:ascii="Arial" w:hAnsi="Arial" w:cs="Arial"/>
              </w:rPr>
              <w:t>6% across the Board</w:t>
            </w:r>
          </w:p>
        </w:tc>
      </w:tr>
    </w:tbl>
    <w:p w:rsidR="00922855" w:rsidRDefault="00922855" w:rsidP="00922855">
      <w:pPr>
        <w:spacing w:before="100" w:beforeAutospacing="1" w:after="100" w:afterAutospacing="1" w:line="240" w:lineRule="auto"/>
        <w:ind w:left="1440" w:hanging="629"/>
        <w:jc w:val="both"/>
        <w:rPr>
          <w:rFonts w:ascii="Arial" w:hAnsi="Arial" w:cs="Arial"/>
        </w:rPr>
      </w:pPr>
    </w:p>
    <w:p w:rsidR="00922855" w:rsidRDefault="00922855" w:rsidP="00922855">
      <w:pPr>
        <w:spacing w:before="100" w:beforeAutospacing="1" w:after="100" w:afterAutospacing="1" w:line="240" w:lineRule="auto"/>
        <w:ind w:left="1440" w:hanging="629"/>
        <w:jc w:val="both"/>
        <w:rPr>
          <w:rFonts w:ascii="Arial" w:hAnsi="Arial" w:cs="Arial"/>
        </w:rPr>
      </w:pPr>
      <w:r>
        <w:rPr>
          <w:rFonts w:ascii="Arial" w:hAnsi="Arial" w:cs="Arial"/>
        </w:rPr>
        <w:t xml:space="preserve">   </w:t>
      </w:r>
      <w:r w:rsidRPr="00830DB6">
        <w:rPr>
          <w:rFonts w:ascii="Arial" w:hAnsi="Arial" w:cs="Arial"/>
        </w:rPr>
        <w:t xml:space="preserve"> (ii) Each entity reporting to him in each of the past three financial years, </w:t>
      </w:r>
    </w:p>
    <w:p w:rsidR="00922855" w:rsidRDefault="00922855" w:rsidP="00922855">
      <w:pPr>
        <w:spacing w:before="100" w:beforeAutospacing="1" w:after="100" w:afterAutospacing="1" w:line="240" w:lineRule="auto"/>
        <w:ind w:left="1276" w:hanging="771"/>
        <w:jc w:val="both"/>
        <w:rPr>
          <w:rFonts w:ascii="Arial" w:hAnsi="Arial" w:cs="Arial"/>
        </w:rPr>
      </w:pPr>
      <w:r>
        <w:rPr>
          <w:rFonts w:ascii="Arial" w:hAnsi="Arial" w:cs="Arial"/>
        </w:rPr>
        <w:t xml:space="preserve">     </w:t>
      </w:r>
      <w:r w:rsidRPr="00830DB6">
        <w:rPr>
          <w:rFonts w:ascii="Arial" w:hAnsi="Arial" w:cs="Arial"/>
        </w:rPr>
        <w:t xml:space="preserve">(b) </w:t>
      </w:r>
      <w:r>
        <w:rPr>
          <w:rFonts w:ascii="Arial" w:hAnsi="Arial" w:cs="Arial"/>
        </w:rPr>
        <w:t xml:space="preserve">The inflationary increases are paid in accordance to the PRASA Remuneration and Benefits Policy and Government guidelines </w:t>
      </w:r>
    </w:p>
    <w:p w:rsidR="00922855" w:rsidRDefault="00922855" w:rsidP="00922855">
      <w:pPr>
        <w:spacing w:before="100" w:beforeAutospacing="1" w:after="100" w:afterAutospacing="1" w:line="240" w:lineRule="auto"/>
        <w:ind w:left="1134" w:hanging="567"/>
        <w:jc w:val="both"/>
        <w:rPr>
          <w:rFonts w:ascii="Arial" w:hAnsi="Arial" w:cs="Arial"/>
        </w:rPr>
      </w:pPr>
      <w:r>
        <w:rPr>
          <w:rFonts w:ascii="Arial" w:hAnsi="Arial" w:cs="Arial"/>
        </w:rPr>
        <w:t xml:space="preserve">   </w:t>
      </w:r>
      <w:r w:rsidRPr="00830DB6">
        <w:rPr>
          <w:rFonts w:ascii="Arial" w:hAnsi="Arial" w:cs="Arial"/>
        </w:rPr>
        <w:t xml:space="preserve">(c) </w:t>
      </w:r>
      <w:r>
        <w:rPr>
          <w:rFonts w:ascii="Arial" w:hAnsi="Arial" w:cs="Arial"/>
        </w:rPr>
        <w:t xml:space="preserve">The Junior Employees in the Bargaining unit inflationary increases are negotiated with Organized </w:t>
      </w:r>
      <w:proofErr w:type="spellStart"/>
      <w:r>
        <w:rPr>
          <w:rFonts w:ascii="Arial" w:hAnsi="Arial" w:cs="Arial"/>
        </w:rPr>
        <w:t>Labour</w:t>
      </w:r>
      <w:proofErr w:type="spellEnd"/>
      <w:r>
        <w:rPr>
          <w:rFonts w:ascii="Arial" w:hAnsi="Arial" w:cs="Arial"/>
        </w:rPr>
        <w:t xml:space="preserve">, recommended by Group </w:t>
      </w:r>
      <w:proofErr w:type="spellStart"/>
      <w:r>
        <w:rPr>
          <w:rFonts w:ascii="Arial" w:hAnsi="Arial" w:cs="Arial"/>
        </w:rPr>
        <w:t>Exco</w:t>
      </w:r>
      <w:proofErr w:type="spellEnd"/>
      <w:r>
        <w:rPr>
          <w:rFonts w:ascii="Arial" w:hAnsi="Arial" w:cs="Arial"/>
        </w:rPr>
        <w:t xml:space="preserve"> to the Group Board for ratification.</w:t>
      </w:r>
    </w:p>
    <w:p w:rsidR="00922855" w:rsidRDefault="00922855" w:rsidP="00922855">
      <w:pPr>
        <w:spacing w:before="100" w:beforeAutospacing="1" w:after="100" w:afterAutospacing="1" w:line="240" w:lineRule="auto"/>
        <w:ind w:left="1134" w:hanging="567"/>
        <w:jc w:val="both"/>
        <w:rPr>
          <w:rFonts w:ascii="Arial" w:hAnsi="Arial" w:cs="Arial"/>
        </w:rPr>
      </w:pPr>
      <w:r>
        <w:rPr>
          <w:rFonts w:ascii="Arial" w:hAnsi="Arial" w:cs="Arial"/>
        </w:rPr>
        <w:t xml:space="preserve">         Ordinarily, the management inflationary increases are recommended by Group Human Capital Management to the Board through the Human Capital and Remuneration Committee or the Board. In the absence of the Board the ratification is sought from the Shareholder. </w:t>
      </w:r>
    </w:p>
    <w:p w:rsidR="00922855" w:rsidRDefault="00922855" w:rsidP="00922855">
      <w:pPr>
        <w:spacing w:before="100" w:beforeAutospacing="1" w:after="100" w:afterAutospacing="1" w:line="240" w:lineRule="auto"/>
        <w:ind w:left="426" w:hanging="426"/>
        <w:jc w:val="both"/>
        <w:rPr>
          <w:rFonts w:ascii="Arial" w:hAnsi="Arial" w:cs="Arial"/>
        </w:rPr>
      </w:pPr>
      <w:r>
        <w:rPr>
          <w:rFonts w:ascii="Arial" w:hAnsi="Arial" w:cs="Arial"/>
        </w:rPr>
        <w:t xml:space="preserve"> (2) </w:t>
      </w:r>
      <w:proofErr w:type="gramStart"/>
      <w:r>
        <w:rPr>
          <w:rFonts w:ascii="Arial" w:hAnsi="Arial" w:cs="Arial"/>
        </w:rPr>
        <w:t>a</w:t>
      </w:r>
      <w:proofErr w:type="gramEnd"/>
      <w:r>
        <w:rPr>
          <w:rFonts w:ascii="Arial" w:hAnsi="Arial" w:cs="Arial"/>
        </w:rPr>
        <w:t>) PRASA has not paid any bonuses for the past 3 financial years</w:t>
      </w:r>
    </w:p>
    <w:p w:rsidR="00922855" w:rsidRPr="00AC6E99" w:rsidRDefault="00922855" w:rsidP="00F05BC8">
      <w:pPr>
        <w:pStyle w:val="ListParagraph"/>
        <w:numPr>
          <w:ilvl w:val="0"/>
          <w:numId w:val="24"/>
        </w:numPr>
        <w:tabs>
          <w:tab w:val="left" w:pos="993"/>
        </w:tabs>
        <w:spacing w:before="100" w:beforeAutospacing="1" w:after="100" w:afterAutospacing="1" w:line="240" w:lineRule="auto"/>
        <w:ind w:left="993" w:hanging="142"/>
        <w:jc w:val="both"/>
        <w:rPr>
          <w:rFonts w:ascii="Arial" w:hAnsi="Arial" w:cs="Arial"/>
        </w:rPr>
      </w:pPr>
      <w:proofErr w:type="spellStart"/>
      <w:r w:rsidRPr="00AC6E99">
        <w:rPr>
          <w:rFonts w:ascii="Arial" w:hAnsi="Arial" w:cs="Arial"/>
        </w:rPr>
        <w:t>a gain</w:t>
      </w:r>
      <w:proofErr w:type="spellEnd"/>
      <w:r w:rsidRPr="00AC6E99">
        <w:rPr>
          <w:rFonts w:ascii="Arial" w:hAnsi="Arial" w:cs="Arial"/>
        </w:rPr>
        <w:t xml:space="preserve"> share payment is made to junior employees </w:t>
      </w:r>
      <w:r>
        <w:rPr>
          <w:rFonts w:ascii="Arial" w:hAnsi="Arial" w:cs="Arial"/>
        </w:rPr>
        <w:t>in the</w:t>
      </w:r>
      <w:r w:rsidRPr="00AC6E99">
        <w:rPr>
          <w:rFonts w:ascii="Arial" w:hAnsi="Arial" w:cs="Arial"/>
        </w:rPr>
        <w:t xml:space="preserve"> Bargaining </w:t>
      </w:r>
      <w:r>
        <w:rPr>
          <w:rFonts w:ascii="Arial" w:hAnsi="Arial" w:cs="Arial"/>
        </w:rPr>
        <w:t>unit</w:t>
      </w:r>
      <w:r w:rsidRPr="00AC6E99">
        <w:rPr>
          <w:rFonts w:ascii="Arial" w:hAnsi="Arial" w:cs="Arial"/>
        </w:rPr>
        <w:t xml:space="preserve"> at PRASA Rail as per the </w:t>
      </w:r>
      <w:proofErr w:type="spellStart"/>
      <w:r w:rsidRPr="00AC6E99">
        <w:rPr>
          <w:rFonts w:ascii="Arial" w:hAnsi="Arial" w:cs="Arial"/>
        </w:rPr>
        <w:t>Labour</w:t>
      </w:r>
      <w:proofErr w:type="spellEnd"/>
      <w:r w:rsidRPr="00AC6E99">
        <w:rPr>
          <w:rFonts w:ascii="Arial" w:hAnsi="Arial" w:cs="Arial"/>
        </w:rPr>
        <w:t xml:space="preserve"> Gain</w:t>
      </w:r>
      <w:r>
        <w:rPr>
          <w:rFonts w:ascii="Arial" w:hAnsi="Arial" w:cs="Arial"/>
        </w:rPr>
        <w:t xml:space="preserve"> </w:t>
      </w:r>
      <w:r w:rsidRPr="00AC6E99">
        <w:rPr>
          <w:rFonts w:ascii="Arial" w:hAnsi="Arial" w:cs="Arial"/>
        </w:rPr>
        <w:t>share Bonus</w:t>
      </w:r>
      <w:r w:rsidRPr="00AC6E99">
        <w:rPr>
          <w:rFonts w:eastAsia="Arial Unicode MS"/>
        </w:rPr>
        <w:t xml:space="preserve"> </w:t>
      </w:r>
      <w:r w:rsidRPr="00AC6E99">
        <w:rPr>
          <w:rFonts w:ascii="Arial" w:hAnsi="Arial" w:cs="Arial"/>
        </w:rPr>
        <w:t xml:space="preserve">Agreement </w:t>
      </w:r>
    </w:p>
    <w:p w:rsidR="00922855" w:rsidRDefault="00922855" w:rsidP="00922855">
      <w:pPr>
        <w:ind w:left="709" w:hanging="709"/>
        <w:rPr>
          <w:rFonts w:ascii="Arial" w:hAnsi="Arial" w:cs="Arial"/>
          <w:noProof/>
          <w:lang w:val="af-ZA"/>
        </w:rPr>
      </w:pPr>
      <w:r>
        <w:rPr>
          <w:rFonts w:ascii="Arial" w:hAnsi="Arial" w:cs="Arial"/>
        </w:rPr>
        <w:t xml:space="preserve">    b) </w:t>
      </w:r>
      <w:proofErr w:type="spellStart"/>
      <w:proofErr w:type="gramStart"/>
      <w:r>
        <w:rPr>
          <w:rFonts w:ascii="Arial" w:hAnsi="Arial" w:cs="Arial"/>
        </w:rPr>
        <w:t>i</w:t>
      </w:r>
      <w:proofErr w:type="spellEnd"/>
      <w:proofErr w:type="gramEnd"/>
      <w:r>
        <w:rPr>
          <w:rFonts w:ascii="Arial" w:hAnsi="Arial" w:cs="Arial"/>
        </w:rPr>
        <w:t xml:space="preserve">) </w:t>
      </w:r>
      <w:r>
        <w:rPr>
          <w:rFonts w:ascii="Arial" w:hAnsi="Arial" w:cs="Arial"/>
          <w:noProof/>
          <w:lang w:val="af-ZA"/>
        </w:rPr>
        <w:t>The gain share payment for junior employees is made to Regions that have exceeded their Revenue Collection Targets.</w:t>
      </w:r>
    </w:p>
    <w:p w:rsidR="00922855" w:rsidRDefault="00922855" w:rsidP="00922855">
      <w:pPr>
        <w:ind w:left="709" w:hanging="709"/>
        <w:rPr>
          <w:rFonts w:ascii="Arial" w:hAnsi="Arial" w:cs="Arial"/>
          <w:noProof/>
          <w:lang w:val="af-ZA"/>
        </w:rPr>
      </w:pPr>
      <w:r>
        <w:rPr>
          <w:rFonts w:ascii="Arial" w:hAnsi="Arial" w:cs="Arial"/>
          <w:noProof/>
          <w:lang w:val="af-ZA"/>
        </w:rPr>
        <w:t xml:space="preserve">       ii) The employees are paid in accordance with the time period  of their participation within the given Financial Year.</w:t>
      </w:r>
    </w:p>
    <w:p w:rsidR="00922855" w:rsidRDefault="00922855" w:rsidP="00922855">
      <w:pPr>
        <w:ind w:left="284" w:hanging="284"/>
        <w:rPr>
          <w:rFonts w:ascii="Arial" w:hAnsi="Arial" w:cs="Arial"/>
          <w:lang w:val="en-ZA" w:eastAsia="x-none"/>
        </w:rPr>
      </w:pPr>
    </w:p>
    <w:p w:rsidR="00922855" w:rsidRDefault="00922855" w:rsidP="00922855">
      <w:pPr>
        <w:ind w:left="284" w:hanging="284"/>
        <w:rPr>
          <w:rFonts w:ascii="Arial" w:hAnsi="Arial" w:cs="Arial"/>
          <w:b/>
          <w:lang w:val="en-ZA" w:eastAsia="x-none"/>
        </w:rPr>
      </w:pPr>
      <w:r w:rsidRPr="00EE7384">
        <w:rPr>
          <w:rFonts w:ascii="Arial" w:hAnsi="Arial" w:cs="Arial"/>
          <w:b/>
          <w:lang w:val="en-ZA" w:eastAsia="x-none"/>
        </w:rPr>
        <w:t>RSR</w:t>
      </w:r>
    </w:p>
    <w:p w:rsidR="00922855" w:rsidRDefault="00922855" w:rsidP="00F05BC8">
      <w:pPr>
        <w:pStyle w:val="ListParagraph"/>
        <w:numPr>
          <w:ilvl w:val="0"/>
          <w:numId w:val="25"/>
        </w:numPr>
        <w:spacing w:before="100" w:beforeAutospacing="1" w:after="100" w:afterAutospacing="1" w:line="240" w:lineRule="auto"/>
        <w:jc w:val="both"/>
        <w:rPr>
          <w:rFonts w:ascii="Arial" w:hAnsi="Arial" w:cs="Arial"/>
        </w:rPr>
      </w:pPr>
      <w:r w:rsidRPr="00623D86">
        <w:rPr>
          <w:rFonts w:ascii="Arial" w:hAnsi="Arial" w:cs="Arial"/>
        </w:rPr>
        <w:t xml:space="preserve">(a) </w:t>
      </w:r>
      <w:r>
        <w:rPr>
          <w:rFonts w:ascii="Arial" w:hAnsi="Arial" w:cs="Arial"/>
        </w:rPr>
        <w:t xml:space="preserve">The RSR salary adjustments over the periods are as follows (excluding </w:t>
      </w:r>
      <w:proofErr w:type="spellStart"/>
      <w:r>
        <w:rPr>
          <w:rFonts w:ascii="Arial" w:hAnsi="Arial" w:cs="Arial"/>
        </w:rPr>
        <w:t>regrading</w:t>
      </w:r>
      <w:proofErr w:type="spellEnd"/>
      <w:r>
        <w:rPr>
          <w:rFonts w:ascii="Arial" w:hAnsi="Arial" w:cs="Arial"/>
        </w:rPr>
        <w:t xml:space="preserve"> or individual posts):</w:t>
      </w:r>
    </w:p>
    <w:tbl>
      <w:tblPr>
        <w:tblStyle w:val="TableGrid"/>
        <w:tblW w:w="0" w:type="auto"/>
        <w:tblInd w:w="1638" w:type="dxa"/>
        <w:tblLook w:val="04A0" w:firstRow="1" w:lastRow="0" w:firstColumn="1" w:lastColumn="0" w:noHBand="0" w:noVBand="1"/>
      </w:tblPr>
      <w:tblGrid>
        <w:gridCol w:w="893"/>
        <w:gridCol w:w="1080"/>
        <w:gridCol w:w="1353"/>
        <w:gridCol w:w="1280"/>
      </w:tblGrid>
      <w:tr w:rsidR="00922855" w:rsidRPr="00F46D09" w:rsidTr="00922855">
        <w:tc>
          <w:tcPr>
            <w:tcW w:w="828" w:type="dxa"/>
            <w:shd w:val="clear" w:color="auto" w:fill="A6A6A6" w:themeFill="background1" w:themeFillShade="A6"/>
          </w:tcPr>
          <w:p w:rsidR="00922855" w:rsidRPr="005602C7" w:rsidRDefault="00922855" w:rsidP="00922855">
            <w:r>
              <w:t>PERIOD</w:t>
            </w:r>
          </w:p>
        </w:tc>
        <w:tc>
          <w:tcPr>
            <w:tcW w:w="1080" w:type="dxa"/>
            <w:shd w:val="clear" w:color="auto" w:fill="A6A6A6" w:themeFill="background1" w:themeFillShade="A6"/>
          </w:tcPr>
          <w:p w:rsidR="00922855" w:rsidRPr="005602C7" w:rsidRDefault="00922855" w:rsidP="00922855">
            <w:r>
              <w:t xml:space="preserve">JOB </w:t>
            </w:r>
            <w:r w:rsidRPr="005602C7">
              <w:t>GRADE</w:t>
            </w:r>
          </w:p>
        </w:tc>
        <w:tc>
          <w:tcPr>
            <w:tcW w:w="1353" w:type="dxa"/>
            <w:shd w:val="clear" w:color="auto" w:fill="A6A6A6" w:themeFill="background1" w:themeFillShade="A6"/>
          </w:tcPr>
          <w:p w:rsidR="00922855" w:rsidRPr="005602C7" w:rsidRDefault="00922855" w:rsidP="00922855">
            <w:r>
              <w:t xml:space="preserve">COST OF LIVING </w:t>
            </w:r>
            <w:r w:rsidRPr="005602C7">
              <w:t>INCREASE %</w:t>
            </w:r>
          </w:p>
        </w:tc>
        <w:tc>
          <w:tcPr>
            <w:tcW w:w="1280" w:type="dxa"/>
            <w:shd w:val="clear" w:color="auto" w:fill="A6A6A6" w:themeFill="background1" w:themeFillShade="A6"/>
          </w:tcPr>
          <w:p w:rsidR="00922855" w:rsidRPr="005602C7" w:rsidRDefault="00922855" w:rsidP="00922855">
            <w:r>
              <w:t xml:space="preserve">AVE </w:t>
            </w:r>
            <w:r w:rsidRPr="005602C7">
              <w:t>NOTCH INC</w:t>
            </w:r>
            <w:r>
              <w:t xml:space="preserve">REASE </w:t>
            </w:r>
            <w:r w:rsidRPr="005602C7">
              <w:t>%</w:t>
            </w:r>
          </w:p>
        </w:tc>
      </w:tr>
      <w:tr w:rsidR="00922855" w:rsidRPr="00F46D09" w:rsidTr="00922855">
        <w:tc>
          <w:tcPr>
            <w:tcW w:w="828" w:type="dxa"/>
            <w:vMerge w:val="restart"/>
          </w:tcPr>
          <w:p w:rsidR="00922855" w:rsidRPr="005602C7" w:rsidRDefault="00922855" w:rsidP="00922855">
            <w:r w:rsidRPr="005602C7">
              <w:t>2015</w:t>
            </w:r>
          </w:p>
          <w:p w:rsidR="00922855" w:rsidRPr="005602C7" w:rsidRDefault="00922855" w:rsidP="00922855"/>
        </w:tc>
        <w:tc>
          <w:tcPr>
            <w:tcW w:w="1080" w:type="dxa"/>
          </w:tcPr>
          <w:p w:rsidR="00922855" w:rsidRPr="005602C7" w:rsidRDefault="00922855" w:rsidP="00922855">
            <w:r w:rsidRPr="005602C7">
              <w:t>1 – 8</w:t>
            </w:r>
          </w:p>
        </w:tc>
        <w:tc>
          <w:tcPr>
            <w:tcW w:w="1353" w:type="dxa"/>
          </w:tcPr>
          <w:p w:rsidR="00922855" w:rsidRPr="005602C7" w:rsidRDefault="00922855" w:rsidP="00922855">
            <w:pPr>
              <w:jc w:val="center"/>
            </w:pPr>
            <w:r w:rsidRPr="005602C7">
              <w:t>7.00%</w:t>
            </w:r>
          </w:p>
        </w:tc>
        <w:tc>
          <w:tcPr>
            <w:tcW w:w="1280" w:type="dxa"/>
          </w:tcPr>
          <w:p w:rsidR="00922855" w:rsidRPr="005602C7" w:rsidRDefault="00922855" w:rsidP="00922855">
            <w:pPr>
              <w:jc w:val="center"/>
            </w:pPr>
            <w:r w:rsidRPr="005602C7">
              <w:t>0.00%</w:t>
            </w:r>
          </w:p>
        </w:tc>
      </w:tr>
      <w:tr w:rsidR="00922855" w:rsidRPr="00F46D09" w:rsidTr="00922855">
        <w:tc>
          <w:tcPr>
            <w:tcW w:w="828" w:type="dxa"/>
            <w:vMerge/>
          </w:tcPr>
          <w:p w:rsidR="00922855" w:rsidRPr="00E24609" w:rsidRDefault="00922855" w:rsidP="00922855">
            <w:pPr>
              <w:spacing w:before="100" w:beforeAutospacing="1" w:after="100" w:afterAutospacing="1"/>
              <w:jc w:val="both"/>
              <w:rPr>
                <w:rFonts w:ascii="Arial" w:hAnsi="Arial" w:cs="Arial"/>
              </w:rPr>
            </w:pPr>
          </w:p>
        </w:tc>
        <w:tc>
          <w:tcPr>
            <w:tcW w:w="1080" w:type="dxa"/>
          </w:tcPr>
          <w:p w:rsidR="00922855" w:rsidRPr="00F46D09" w:rsidRDefault="00922855" w:rsidP="00922855">
            <w:pPr>
              <w:spacing w:before="100" w:beforeAutospacing="1" w:after="100" w:afterAutospacing="1"/>
              <w:jc w:val="both"/>
              <w:rPr>
                <w:rFonts w:ascii="Arial" w:hAnsi="Arial" w:cs="Arial"/>
              </w:rPr>
            </w:pPr>
            <w:r w:rsidRPr="005602C7">
              <w:t>9 – 12</w:t>
            </w:r>
          </w:p>
        </w:tc>
        <w:tc>
          <w:tcPr>
            <w:tcW w:w="1353" w:type="dxa"/>
          </w:tcPr>
          <w:p w:rsidR="00922855" w:rsidRPr="00F46D09" w:rsidRDefault="00922855" w:rsidP="00922855">
            <w:pPr>
              <w:spacing w:before="100" w:beforeAutospacing="1" w:after="100" w:afterAutospacing="1"/>
              <w:jc w:val="center"/>
              <w:rPr>
                <w:rFonts w:ascii="Arial" w:hAnsi="Arial" w:cs="Arial"/>
              </w:rPr>
            </w:pPr>
            <w:r w:rsidRPr="005602C7">
              <w:t>6.50%</w:t>
            </w:r>
          </w:p>
        </w:tc>
        <w:tc>
          <w:tcPr>
            <w:tcW w:w="1280" w:type="dxa"/>
          </w:tcPr>
          <w:p w:rsidR="00922855" w:rsidRDefault="00922855" w:rsidP="00922855">
            <w:pPr>
              <w:spacing w:before="100" w:beforeAutospacing="1" w:after="100" w:afterAutospacing="1"/>
              <w:jc w:val="center"/>
              <w:rPr>
                <w:rFonts w:ascii="Arial" w:hAnsi="Arial" w:cs="Arial"/>
              </w:rPr>
            </w:pPr>
            <w:r w:rsidRPr="005602C7">
              <w:t>0.76%</w:t>
            </w:r>
          </w:p>
        </w:tc>
      </w:tr>
      <w:tr w:rsidR="00922855" w:rsidRPr="00F46D09" w:rsidTr="00922855">
        <w:tc>
          <w:tcPr>
            <w:tcW w:w="828" w:type="dxa"/>
            <w:vMerge/>
          </w:tcPr>
          <w:p w:rsidR="00922855" w:rsidRPr="00E24609" w:rsidRDefault="00922855" w:rsidP="00922855">
            <w:pPr>
              <w:spacing w:before="100" w:beforeAutospacing="1" w:after="100" w:afterAutospacing="1"/>
              <w:jc w:val="both"/>
              <w:rPr>
                <w:rFonts w:ascii="Arial" w:hAnsi="Arial" w:cs="Arial"/>
              </w:rPr>
            </w:pPr>
          </w:p>
        </w:tc>
        <w:tc>
          <w:tcPr>
            <w:tcW w:w="1080" w:type="dxa"/>
          </w:tcPr>
          <w:p w:rsidR="00922855" w:rsidRPr="00F46D09" w:rsidRDefault="00922855" w:rsidP="00922855">
            <w:pPr>
              <w:spacing w:before="100" w:beforeAutospacing="1" w:after="100" w:afterAutospacing="1"/>
              <w:jc w:val="both"/>
              <w:rPr>
                <w:rFonts w:ascii="Arial" w:hAnsi="Arial" w:cs="Arial"/>
              </w:rPr>
            </w:pPr>
            <w:r w:rsidRPr="005602C7">
              <w:t>13 – 16</w:t>
            </w:r>
          </w:p>
        </w:tc>
        <w:tc>
          <w:tcPr>
            <w:tcW w:w="1353" w:type="dxa"/>
          </w:tcPr>
          <w:p w:rsidR="00922855" w:rsidRPr="00F46D09" w:rsidRDefault="00922855" w:rsidP="00922855">
            <w:pPr>
              <w:spacing w:before="100" w:beforeAutospacing="1" w:after="100" w:afterAutospacing="1"/>
              <w:jc w:val="center"/>
              <w:rPr>
                <w:rFonts w:ascii="Arial" w:hAnsi="Arial" w:cs="Arial"/>
              </w:rPr>
            </w:pPr>
            <w:r w:rsidRPr="005602C7">
              <w:t>6.00%</w:t>
            </w:r>
          </w:p>
        </w:tc>
        <w:tc>
          <w:tcPr>
            <w:tcW w:w="1280" w:type="dxa"/>
          </w:tcPr>
          <w:p w:rsidR="00922855" w:rsidRDefault="00922855" w:rsidP="00922855">
            <w:pPr>
              <w:spacing w:before="100" w:beforeAutospacing="1" w:after="100" w:afterAutospacing="1"/>
              <w:jc w:val="center"/>
              <w:rPr>
                <w:rFonts w:ascii="Arial" w:hAnsi="Arial" w:cs="Arial"/>
              </w:rPr>
            </w:pPr>
            <w:r w:rsidRPr="005602C7">
              <w:t>4.06%</w:t>
            </w:r>
          </w:p>
        </w:tc>
      </w:tr>
      <w:tr w:rsidR="00922855" w:rsidRPr="00F46D09" w:rsidTr="00922855">
        <w:tc>
          <w:tcPr>
            <w:tcW w:w="828" w:type="dxa"/>
            <w:vMerge w:val="restart"/>
          </w:tcPr>
          <w:p w:rsidR="00922855" w:rsidRPr="005602C7" w:rsidRDefault="00922855" w:rsidP="00922855">
            <w:r w:rsidRPr="005602C7">
              <w:t>2016</w:t>
            </w:r>
          </w:p>
          <w:p w:rsidR="00922855" w:rsidRPr="005602C7" w:rsidRDefault="00922855" w:rsidP="00922855"/>
        </w:tc>
        <w:tc>
          <w:tcPr>
            <w:tcW w:w="1080" w:type="dxa"/>
          </w:tcPr>
          <w:p w:rsidR="00922855" w:rsidRPr="005602C7" w:rsidRDefault="00922855" w:rsidP="00922855">
            <w:r w:rsidRPr="005602C7">
              <w:t>A1 - C2</w:t>
            </w:r>
          </w:p>
        </w:tc>
        <w:tc>
          <w:tcPr>
            <w:tcW w:w="1353" w:type="dxa"/>
          </w:tcPr>
          <w:p w:rsidR="00922855" w:rsidRPr="005602C7" w:rsidRDefault="00922855" w:rsidP="00922855">
            <w:pPr>
              <w:jc w:val="center"/>
            </w:pPr>
            <w:r w:rsidRPr="005602C7">
              <w:t>6.80%</w:t>
            </w:r>
          </w:p>
        </w:tc>
        <w:tc>
          <w:tcPr>
            <w:tcW w:w="1280" w:type="dxa"/>
          </w:tcPr>
          <w:p w:rsidR="00922855" w:rsidRPr="005602C7" w:rsidRDefault="00922855" w:rsidP="00922855">
            <w:pPr>
              <w:jc w:val="center"/>
            </w:pPr>
            <w:r w:rsidRPr="005602C7">
              <w:t>0.00%</w:t>
            </w:r>
          </w:p>
        </w:tc>
      </w:tr>
      <w:tr w:rsidR="00922855" w:rsidRPr="00F46D09" w:rsidTr="00922855">
        <w:tc>
          <w:tcPr>
            <w:tcW w:w="828" w:type="dxa"/>
            <w:vMerge/>
          </w:tcPr>
          <w:p w:rsidR="00922855" w:rsidRPr="00E24609" w:rsidRDefault="00922855" w:rsidP="00922855">
            <w:pPr>
              <w:spacing w:before="100" w:beforeAutospacing="1" w:after="100" w:afterAutospacing="1"/>
              <w:jc w:val="both"/>
              <w:rPr>
                <w:rFonts w:ascii="Arial" w:hAnsi="Arial" w:cs="Arial"/>
              </w:rPr>
            </w:pPr>
          </w:p>
        </w:tc>
        <w:tc>
          <w:tcPr>
            <w:tcW w:w="1080" w:type="dxa"/>
          </w:tcPr>
          <w:p w:rsidR="00922855" w:rsidRDefault="00922855" w:rsidP="00922855">
            <w:pPr>
              <w:spacing w:before="100" w:beforeAutospacing="1" w:after="100" w:afterAutospacing="1"/>
              <w:jc w:val="both"/>
              <w:rPr>
                <w:rFonts w:ascii="Arial" w:hAnsi="Arial" w:cs="Arial"/>
              </w:rPr>
            </w:pPr>
            <w:r w:rsidRPr="005602C7">
              <w:t>C3 - D1</w:t>
            </w:r>
          </w:p>
        </w:tc>
        <w:tc>
          <w:tcPr>
            <w:tcW w:w="1353" w:type="dxa"/>
          </w:tcPr>
          <w:p w:rsidR="00922855" w:rsidRDefault="00922855" w:rsidP="00922855">
            <w:pPr>
              <w:spacing w:before="100" w:beforeAutospacing="1" w:after="100" w:afterAutospacing="1"/>
              <w:jc w:val="center"/>
              <w:rPr>
                <w:rFonts w:ascii="Arial" w:hAnsi="Arial" w:cs="Arial"/>
              </w:rPr>
            </w:pPr>
            <w:r w:rsidRPr="005602C7">
              <w:t>6.30%</w:t>
            </w:r>
          </w:p>
        </w:tc>
        <w:tc>
          <w:tcPr>
            <w:tcW w:w="1280" w:type="dxa"/>
          </w:tcPr>
          <w:p w:rsidR="00922855" w:rsidRDefault="00922855" w:rsidP="00922855">
            <w:pPr>
              <w:spacing w:before="100" w:beforeAutospacing="1" w:after="100" w:afterAutospacing="1"/>
              <w:jc w:val="center"/>
              <w:rPr>
                <w:rFonts w:ascii="Arial" w:hAnsi="Arial" w:cs="Arial"/>
              </w:rPr>
            </w:pPr>
            <w:r w:rsidRPr="005602C7">
              <w:t>0.31%</w:t>
            </w:r>
          </w:p>
        </w:tc>
      </w:tr>
      <w:tr w:rsidR="00922855" w:rsidRPr="00F46D09" w:rsidTr="00922855">
        <w:trPr>
          <w:trHeight w:val="70"/>
        </w:trPr>
        <w:tc>
          <w:tcPr>
            <w:tcW w:w="828" w:type="dxa"/>
            <w:vMerge/>
          </w:tcPr>
          <w:p w:rsidR="00922855" w:rsidRPr="00E24609" w:rsidRDefault="00922855" w:rsidP="00922855">
            <w:pPr>
              <w:spacing w:before="100" w:beforeAutospacing="1" w:after="100" w:afterAutospacing="1"/>
              <w:jc w:val="both"/>
              <w:rPr>
                <w:rFonts w:ascii="Arial" w:hAnsi="Arial" w:cs="Arial"/>
              </w:rPr>
            </w:pPr>
          </w:p>
        </w:tc>
        <w:tc>
          <w:tcPr>
            <w:tcW w:w="1080" w:type="dxa"/>
          </w:tcPr>
          <w:p w:rsidR="00922855" w:rsidRDefault="00922855" w:rsidP="00922855">
            <w:pPr>
              <w:spacing w:before="100" w:beforeAutospacing="1" w:after="100" w:afterAutospacing="1"/>
              <w:jc w:val="both"/>
              <w:rPr>
                <w:rFonts w:ascii="Arial" w:hAnsi="Arial" w:cs="Arial"/>
              </w:rPr>
            </w:pPr>
            <w:r w:rsidRPr="005602C7">
              <w:t>D2 - F1</w:t>
            </w:r>
          </w:p>
        </w:tc>
        <w:tc>
          <w:tcPr>
            <w:tcW w:w="1353" w:type="dxa"/>
          </w:tcPr>
          <w:p w:rsidR="00922855" w:rsidRDefault="00922855" w:rsidP="00922855">
            <w:pPr>
              <w:spacing w:before="100" w:beforeAutospacing="1" w:after="100" w:afterAutospacing="1"/>
              <w:jc w:val="center"/>
              <w:rPr>
                <w:rFonts w:ascii="Arial" w:hAnsi="Arial" w:cs="Arial"/>
              </w:rPr>
            </w:pPr>
            <w:r w:rsidRPr="005602C7">
              <w:t>5.80%</w:t>
            </w:r>
          </w:p>
        </w:tc>
        <w:tc>
          <w:tcPr>
            <w:tcW w:w="1280" w:type="dxa"/>
          </w:tcPr>
          <w:p w:rsidR="00922855" w:rsidRDefault="00922855" w:rsidP="00922855">
            <w:pPr>
              <w:spacing w:before="100" w:beforeAutospacing="1" w:after="100" w:afterAutospacing="1"/>
              <w:jc w:val="center"/>
              <w:rPr>
                <w:rFonts w:ascii="Arial" w:hAnsi="Arial" w:cs="Arial"/>
              </w:rPr>
            </w:pPr>
            <w:r w:rsidRPr="005602C7">
              <w:t>1.31%</w:t>
            </w:r>
          </w:p>
        </w:tc>
      </w:tr>
      <w:tr w:rsidR="00922855" w:rsidRPr="00F46D09" w:rsidTr="00922855">
        <w:trPr>
          <w:trHeight w:val="70"/>
        </w:trPr>
        <w:tc>
          <w:tcPr>
            <w:tcW w:w="828" w:type="dxa"/>
          </w:tcPr>
          <w:p w:rsidR="00922855" w:rsidRPr="005602C7" w:rsidRDefault="00922855" w:rsidP="00922855">
            <w:r w:rsidRPr="005602C7">
              <w:t>2017</w:t>
            </w:r>
          </w:p>
        </w:tc>
        <w:tc>
          <w:tcPr>
            <w:tcW w:w="1080" w:type="dxa"/>
          </w:tcPr>
          <w:p w:rsidR="00922855" w:rsidRPr="005602C7" w:rsidRDefault="00922855" w:rsidP="00922855">
            <w:r w:rsidRPr="005602C7">
              <w:t>A1 - F1</w:t>
            </w:r>
          </w:p>
        </w:tc>
        <w:tc>
          <w:tcPr>
            <w:tcW w:w="1353" w:type="dxa"/>
          </w:tcPr>
          <w:p w:rsidR="00922855" w:rsidRPr="005602C7" w:rsidRDefault="00922855" w:rsidP="00922855">
            <w:pPr>
              <w:jc w:val="center"/>
            </w:pPr>
            <w:r w:rsidRPr="005602C7">
              <w:t>6.00%</w:t>
            </w:r>
          </w:p>
        </w:tc>
        <w:tc>
          <w:tcPr>
            <w:tcW w:w="1280" w:type="dxa"/>
          </w:tcPr>
          <w:p w:rsidR="00922855" w:rsidRDefault="00922855" w:rsidP="00922855">
            <w:pPr>
              <w:jc w:val="center"/>
            </w:pPr>
            <w:r w:rsidRPr="005602C7">
              <w:t>1.50%</w:t>
            </w:r>
          </w:p>
        </w:tc>
      </w:tr>
    </w:tbl>
    <w:p w:rsidR="00922855" w:rsidRDefault="00922855" w:rsidP="00922855">
      <w:pPr>
        <w:spacing w:before="100" w:beforeAutospacing="1" w:after="100" w:afterAutospacing="1" w:line="360" w:lineRule="auto"/>
        <w:ind w:left="1560"/>
        <w:jc w:val="both"/>
        <w:rPr>
          <w:rFonts w:ascii="Arial" w:hAnsi="Arial" w:cs="Arial"/>
        </w:rPr>
      </w:pPr>
      <w:r>
        <w:rPr>
          <w:rFonts w:ascii="Arial" w:hAnsi="Arial" w:cs="Arial"/>
        </w:rPr>
        <w:t>(b) The above increases are based on annual cost-of living adjustments which are inflation related, and were based on Salary Benchmarking and S</w:t>
      </w:r>
      <w:r w:rsidRPr="00B303B0">
        <w:rPr>
          <w:rFonts w:ascii="Arial" w:hAnsi="Arial" w:cs="Arial"/>
        </w:rPr>
        <w:t xml:space="preserve">alary surveys </w:t>
      </w:r>
      <w:r>
        <w:rPr>
          <w:rFonts w:ascii="Arial" w:hAnsi="Arial" w:cs="Arial"/>
        </w:rPr>
        <w:t>from</w:t>
      </w:r>
      <w:r w:rsidRPr="00B303B0">
        <w:rPr>
          <w:rFonts w:ascii="Arial" w:hAnsi="Arial" w:cs="Arial"/>
        </w:rPr>
        <w:t xml:space="preserve"> the South African market </w:t>
      </w:r>
      <w:r>
        <w:rPr>
          <w:rFonts w:ascii="Arial" w:hAnsi="Arial" w:cs="Arial"/>
        </w:rPr>
        <w:t>to determine</w:t>
      </w:r>
      <w:r w:rsidRPr="00B303B0">
        <w:rPr>
          <w:rFonts w:ascii="Arial" w:hAnsi="Arial" w:cs="Arial"/>
        </w:rPr>
        <w:t xml:space="preserve"> the suitability of </w:t>
      </w:r>
      <w:r>
        <w:rPr>
          <w:rFonts w:ascii="Arial" w:hAnsi="Arial" w:cs="Arial"/>
        </w:rPr>
        <w:t xml:space="preserve">its salary increases and </w:t>
      </w:r>
      <w:r w:rsidRPr="00B303B0">
        <w:rPr>
          <w:rFonts w:ascii="Arial" w:hAnsi="Arial" w:cs="Arial"/>
        </w:rPr>
        <w:t>the financial impac</w:t>
      </w:r>
      <w:r>
        <w:rPr>
          <w:rFonts w:ascii="Arial" w:hAnsi="Arial" w:cs="Arial"/>
        </w:rPr>
        <w:t>t. T</w:t>
      </w:r>
      <w:r w:rsidRPr="00B303B0">
        <w:rPr>
          <w:rFonts w:ascii="Arial" w:hAnsi="Arial" w:cs="Arial"/>
        </w:rPr>
        <w:t xml:space="preserve">he </w:t>
      </w:r>
      <w:r>
        <w:rPr>
          <w:rFonts w:ascii="Arial" w:hAnsi="Arial" w:cs="Arial"/>
        </w:rPr>
        <w:t xml:space="preserve">RSR’s </w:t>
      </w:r>
      <w:r w:rsidRPr="00B303B0">
        <w:rPr>
          <w:rFonts w:ascii="Arial" w:hAnsi="Arial" w:cs="Arial"/>
        </w:rPr>
        <w:t xml:space="preserve">Remuneration </w:t>
      </w:r>
      <w:r>
        <w:rPr>
          <w:rFonts w:ascii="Arial" w:hAnsi="Arial" w:cs="Arial"/>
        </w:rPr>
        <w:t>P</w:t>
      </w:r>
      <w:r w:rsidRPr="00B303B0">
        <w:rPr>
          <w:rFonts w:ascii="Arial" w:hAnsi="Arial" w:cs="Arial"/>
        </w:rPr>
        <w:t xml:space="preserve">hilosophy and </w:t>
      </w:r>
      <w:r>
        <w:rPr>
          <w:rFonts w:ascii="Arial" w:hAnsi="Arial" w:cs="Arial"/>
        </w:rPr>
        <w:t xml:space="preserve">staff retention is also considered in </w:t>
      </w:r>
      <w:proofErr w:type="gramStart"/>
      <w:r>
        <w:rPr>
          <w:rFonts w:ascii="Arial" w:hAnsi="Arial" w:cs="Arial"/>
        </w:rPr>
        <w:t>these determination</w:t>
      </w:r>
      <w:proofErr w:type="gramEnd"/>
      <w:r>
        <w:rPr>
          <w:rFonts w:ascii="Arial" w:hAnsi="Arial" w:cs="Arial"/>
        </w:rPr>
        <w:t xml:space="preserve">. </w:t>
      </w:r>
    </w:p>
    <w:p w:rsidR="00922855" w:rsidRPr="00B303B0" w:rsidRDefault="00922855" w:rsidP="00922855">
      <w:pPr>
        <w:spacing w:before="100" w:beforeAutospacing="1" w:after="100" w:afterAutospacing="1" w:line="360" w:lineRule="auto"/>
        <w:ind w:left="1560"/>
        <w:jc w:val="both"/>
        <w:rPr>
          <w:rFonts w:ascii="Arial" w:hAnsi="Arial" w:cs="Arial"/>
        </w:rPr>
      </w:pPr>
      <w:r>
        <w:rPr>
          <w:rFonts w:ascii="Arial" w:hAnsi="Arial" w:cs="Arial"/>
        </w:rPr>
        <w:t>The increases also include individual notch progressions, based on performance in line with the RSR Performance Management Policy.</w:t>
      </w:r>
    </w:p>
    <w:p w:rsidR="00922855" w:rsidRDefault="00922855" w:rsidP="00922855">
      <w:pPr>
        <w:spacing w:before="100" w:beforeAutospacing="1" w:after="100" w:afterAutospacing="1" w:line="360" w:lineRule="auto"/>
        <w:ind w:left="720" w:firstLine="720"/>
        <w:jc w:val="both"/>
        <w:rPr>
          <w:rFonts w:ascii="Arial" w:hAnsi="Arial" w:cs="Arial"/>
        </w:rPr>
      </w:pPr>
      <w:r w:rsidRPr="00623D86">
        <w:rPr>
          <w:rFonts w:ascii="Arial" w:hAnsi="Arial" w:cs="Arial"/>
        </w:rPr>
        <w:t xml:space="preserve">(c) </w:t>
      </w:r>
      <w:r>
        <w:rPr>
          <w:rFonts w:ascii="Arial" w:hAnsi="Arial" w:cs="Arial"/>
        </w:rPr>
        <w:t>The RSR Board of Directors approved the financial increases in each financial year</w:t>
      </w:r>
    </w:p>
    <w:p w:rsidR="00922855" w:rsidRDefault="00922855" w:rsidP="00F05BC8">
      <w:pPr>
        <w:pStyle w:val="ListParagraph"/>
        <w:numPr>
          <w:ilvl w:val="0"/>
          <w:numId w:val="25"/>
        </w:numPr>
        <w:spacing w:before="100" w:beforeAutospacing="1" w:after="100" w:afterAutospacing="1" w:line="240" w:lineRule="auto"/>
        <w:jc w:val="both"/>
        <w:rPr>
          <w:rFonts w:ascii="Arial" w:hAnsi="Arial" w:cs="Arial"/>
        </w:rPr>
      </w:pPr>
    </w:p>
    <w:p w:rsidR="00922855" w:rsidRDefault="00922855" w:rsidP="00F05BC8">
      <w:pPr>
        <w:pStyle w:val="ListParagraph"/>
        <w:numPr>
          <w:ilvl w:val="0"/>
          <w:numId w:val="26"/>
        </w:numPr>
        <w:spacing w:before="100" w:beforeAutospacing="1" w:after="100" w:afterAutospacing="1" w:line="360" w:lineRule="auto"/>
        <w:jc w:val="both"/>
        <w:rPr>
          <w:rFonts w:ascii="Arial" w:hAnsi="Arial" w:cs="Arial"/>
        </w:rPr>
      </w:pPr>
      <w:r>
        <w:rPr>
          <w:rFonts w:ascii="Arial" w:hAnsi="Arial" w:cs="Arial"/>
        </w:rPr>
        <w:t>The RSR awards annual performance bonuses to all grades of employees who qualify as per the RSR Performance Management Policy. No other bonus types are applicable.</w:t>
      </w:r>
    </w:p>
    <w:p w:rsidR="00922855" w:rsidRPr="00EC5467" w:rsidRDefault="00922855" w:rsidP="00F05BC8">
      <w:pPr>
        <w:pStyle w:val="ListParagraph"/>
        <w:numPr>
          <w:ilvl w:val="0"/>
          <w:numId w:val="26"/>
        </w:numPr>
        <w:spacing w:before="100" w:beforeAutospacing="1" w:after="100" w:afterAutospacing="1" w:line="360" w:lineRule="auto"/>
        <w:jc w:val="both"/>
        <w:rPr>
          <w:rFonts w:ascii="Arial" w:hAnsi="Arial" w:cs="Arial"/>
        </w:rPr>
      </w:pPr>
      <w:r w:rsidRPr="00EC5467">
        <w:rPr>
          <w:rFonts w:ascii="Arial" w:hAnsi="Arial" w:cs="Arial"/>
        </w:rPr>
        <w:t>The RSR’s short term performance bonuses are awarded to staff members who have performed exceptionally and met the set minimum criteria in respect of qualification for a performance bonus, and is determined based on a rating scale of 1 – 4, whereby those who met a score of 4 and above will be awarded bonuses after performance score moderation is finalized and Board approval has been obtained.</w:t>
      </w:r>
    </w:p>
    <w:p w:rsidR="00922855" w:rsidRPr="007E1C04" w:rsidRDefault="00922855" w:rsidP="00F05BC8">
      <w:pPr>
        <w:pStyle w:val="ListParagraph"/>
        <w:numPr>
          <w:ilvl w:val="0"/>
          <w:numId w:val="26"/>
        </w:numPr>
        <w:spacing w:before="100" w:beforeAutospacing="1" w:after="100" w:afterAutospacing="1" w:line="360" w:lineRule="auto"/>
        <w:jc w:val="both"/>
        <w:rPr>
          <w:rFonts w:ascii="Arial" w:hAnsi="Arial" w:cs="Arial"/>
        </w:rPr>
      </w:pPr>
      <w:r w:rsidRPr="007E1C04">
        <w:rPr>
          <w:rFonts w:ascii="Arial" w:hAnsi="Arial" w:cs="Arial"/>
        </w:rPr>
        <w:t>The RSR Board of Directors approved the financial increases in each financial year</w:t>
      </w:r>
      <w:r>
        <w:rPr>
          <w:rFonts w:ascii="Arial" w:hAnsi="Arial" w:cs="Arial"/>
        </w:rPr>
        <w:t>.</w:t>
      </w:r>
    </w:p>
    <w:p w:rsidR="00922855" w:rsidRPr="00EE7384" w:rsidRDefault="00922855" w:rsidP="00922855">
      <w:pPr>
        <w:ind w:left="284" w:hanging="284"/>
        <w:rPr>
          <w:rFonts w:ascii="Arial" w:hAnsi="Arial" w:cs="Arial"/>
          <w:b/>
          <w:lang w:val="en-ZA" w:eastAsia="x-none"/>
        </w:rPr>
      </w:pPr>
    </w:p>
    <w:p w:rsidR="00922855" w:rsidRPr="00DF65F8" w:rsidRDefault="00922855" w:rsidP="00922855">
      <w:pPr>
        <w:spacing w:before="100" w:beforeAutospacing="1" w:after="100" w:afterAutospacing="1" w:line="240" w:lineRule="auto"/>
        <w:ind w:left="851" w:hanging="40"/>
        <w:jc w:val="both"/>
        <w:rPr>
          <w:rFonts w:ascii="Arial" w:hAnsi="Arial" w:cs="Arial"/>
        </w:rPr>
      </w:pPr>
    </w:p>
    <w:p w:rsidR="00922855" w:rsidRPr="00DF65F8" w:rsidRDefault="00922855" w:rsidP="00922855">
      <w:pPr>
        <w:spacing w:before="100" w:beforeAutospacing="1" w:after="100" w:afterAutospacing="1" w:line="240" w:lineRule="auto"/>
        <w:ind w:left="1440" w:hanging="629"/>
        <w:jc w:val="both"/>
        <w:rPr>
          <w:rFonts w:ascii="Arial" w:hAnsi="Arial" w:cs="Arial"/>
        </w:rPr>
      </w:pPr>
    </w:p>
    <w:p w:rsidR="00922855" w:rsidRPr="00DF65F8" w:rsidRDefault="00922855" w:rsidP="00922855">
      <w:pPr>
        <w:ind w:firstLine="720"/>
        <w:rPr>
          <w:rFonts w:ascii="Arial" w:hAnsi="Arial" w:cs="Arial"/>
          <w:lang w:val="en-ZA" w:eastAsia="x-none"/>
        </w:rPr>
      </w:pPr>
    </w:p>
    <w:p w:rsidR="00922855" w:rsidRPr="008D1F3C" w:rsidRDefault="00922855" w:rsidP="00922855">
      <w:pPr>
        <w:spacing w:before="100" w:beforeAutospacing="1" w:after="100" w:afterAutospacing="1" w:line="240" w:lineRule="auto"/>
        <w:ind w:left="1440" w:hanging="629"/>
        <w:jc w:val="both"/>
        <w:rPr>
          <w:rFonts w:ascii="Arial" w:hAnsi="Arial" w:cs="Arial"/>
          <w:b/>
          <w:noProof/>
          <w:lang w:val="af-ZA"/>
        </w:rPr>
      </w:pPr>
      <w:r w:rsidRPr="008D1F3C">
        <w:rPr>
          <w:rFonts w:ascii="Arial" w:hAnsi="Arial" w:cs="Arial"/>
          <w:b/>
          <w:noProof/>
          <w:lang w:val="af-ZA"/>
        </w:rPr>
        <w:lastRenderedPageBreak/>
        <w:t>Ports Regulator of South Africa</w:t>
      </w:r>
    </w:p>
    <w:p w:rsidR="00922855" w:rsidRDefault="00922855" w:rsidP="00922855">
      <w:pPr>
        <w:spacing w:before="100" w:beforeAutospacing="1" w:after="100" w:afterAutospacing="1" w:line="240" w:lineRule="auto"/>
        <w:ind w:left="1440" w:hanging="629"/>
        <w:jc w:val="both"/>
        <w:rPr>
          <w:rFonts w:ascii="Arial" w:hAnsi="Arial" w:cs="Arial"/>
          <w:noProof/>
          <w:lang w:val="af-ZA"/>
        </w:rPr>
      </w:pPr>
      <w:r>
        <w:rPr>
          <w:rFonts w:ascii="Arial" w:hAnsi="Arial" w:cs="Arial"/>
          <w:noProof/>
          <w:lang w:val="af-ZA"/>
        </w:rPr>
        <w:t>1(a)(ii) The Ports Regulator annually grants all employees a salary increase equivalent to CPI adjustment as per the National Treasury estmates used during the MTEF budget process. The employees below senior management are entitled to all bebenfits which include: medical aid, group life and pension. These benefits are however not available to senior employees in terms of the Regulator concidions of service. This practice has been in place since 2012/13 financial year when the salary bands and benefits were approved by the Minister of Transport in concurrence with the Minister of Finance as required by the National Ports Act.</w:t>
      </w:r>
    </w:p>
    <w:p w:rsidR="00922855" w:rsidRDefault="00922855" w:rsidP="00922855">
      <w:pPr>
        <w:spacing w:before="100" w:beforeAutospacing="1" w:after="100" w:afterAutospacing="1" w:line="240" w:lineRule="auto"/>
        <w:ind w:left="1440" w:hanging="629"/>
        <w:jc w:val="both"/>
        <w:rPr>
          <w:rFonts w:ascii="Arial" w:hAnsi="Arial" w:cs="Arial"/>
          <w:noProof/>
          <w:lang w:val="af-ZA"/>
        </w:rPr>
      </w:pPr>
      <w:r>
        <w:rPr>
          <w:rFonts w:ascii="Arial" w:hAnsi="Arial" w:cs="Arial"/>
          <w:noProof/>
          <w:lang w:val="af-ZA"/>
        </w:rPr>
        <w:t>(b)</w:t>
      </w:r>
      <w:r w:rsidRPr="00A756EE">
        <w:rPr>
          <w:rFonts w:ascii="Arial" w:hAnsi="Arial" w:cs="Arial"/>
          <w:noProof/>
          <w:lang w:val="af-ZA"/>
        </w:rPr>
        <w:t xml:space="preserve"> </w:t>
      </w:r>
      <w:r>
        <w:rPr>
          <w:rFonts w:ascii="Arial" w:hAnsi="Arial" w:cs="Arial"/>
          <w:noProof/>
          <w:lang w:val="af-ZA"/>
        </w:rPr>
        <w:t xml:space="preserve">   The increases are implemented at the beginning of each financial year. The salary increases are done as per the National Treasury guide to Departments. </w:t>
      </w:r>
    </w:p>
    <w:p w:rsidR="00922855" w:rsidRDefault="00922855" w:rsidP="00922855">
      <w:pPr>
        <w:spacing w:before="100" w:beforeAutospacing="1" w:after="100" w:afterAutospacing="1" w:line="240" w:lineRule="auto"/>
        <w:ind w:left="1440" w:hanging="629"/>
        <w:jc w:val="both"/>
        <w:rPr>
          <w:rFonts w:ascii="Arial" w:hAnsi="Arial" w:cs="Arial"/>
          <w:noProof/>
          <w:lang w:val="af-ZA"/>
        </w:rPr>
      </w:pPr>
      <w:r>
        <w:rPr>
          <w:rFonts w:ascii="Arial" w:hAnsi="Arial" w:cs="Arial"/>
          <w:noProof/>
          <w:lang w:val="af-ZA"/>
        </w:rPr>
        <w:t>( c)   The salary increases are accounted for in the annual budget of the Regulator which is then approved by the Regulator (board) concurrent with the approval of the APP and the Strategic plan. This is done before the start of the financial year so that the implementation of the APP as well as salary increases is done at the same time.</w:t>
      </w:r>
    </w:p>
    <w:p w:rsidR="00922855" w:rsidRDefault="00922855" w:rsidP="00922855">
      <w:pPr>
        <w:spacing w:before="100" w:beforeAutospacing="1" w:after="100" w:afterAutospacing="1" w:line="240" w:lineRule="auto"/>
        <w:ind w:left="1440" w:hanging="629"/>
        <w:jc w:val="both"/>
        <w:rPr>
          <w:rFonts w:ascii="Arial" w:hAnsi="Arial" w:cs="Arial"/>
          <w:noProof/>
          <w:lang w:val="af-ZA"/>
        </w:rPr>
      </w:pPr>
      <w:r>
        <w:rPr>
          <w:rFonts w:ascii="Arial" w:hAnsi="Arial" w:cs="Arial"/>
          <w:noProof/>
          <w:lang w:val="af-ZA"/>
        </w:rPr>
        <w:t>2(a)   The conditions of service of the Regulator indicates that all employees below manager level get 10% of annual salary as a bonus while employees from manager to senior managers get 20% of annual salary as a bonus. This practice has been in plac since 2013/14 financial year when the performance mnagement system was developed, approved and implemented</w:t>
      </w:r>
    </w:p>
    <w:p w:rsidR="00922855" w:rsidRDefault="00922855" w:rsidP="00922855">
      <w:pPr>
        <w:spacing w:before="100" w:beforeAutospacing="1" w:after="100" w:afterAutospacing="1" w:line="240" w:lineRule="auto"/>
        <w:ind w:left="1440" w:hanging="629"/>
        <w:jc w:val="both"/>
        <w:rPr>
          <w:rFonts w:ascii="Arial" w:hAnsi="Arial" w:cs="Arial"/>
          <w:noProof/>
          <w:lang w:val="af-ZA"/>
        </w:rPr>
      </w:pPr>
      <w:r>
        <w:rPr>
          <w:rFonts w:ascii="Arial" w:hAnsi="Arial" w:cs="Arial"/>
          <w:noProof/>
          <w:lang w:val="af-ZA"/>
        </w:rPr>
        <w:t>(b)    The employees each sign a performance agreement at the beginning of the financial year. The performance agreement will set out expected outputs from each employee based on the deliverables for their specific department. At the end of the financial year, each employee is then assessed against reported performance and scored in accordance with the performance framework which has a sliding scale from 5 to 1. Employees get a bonus if they perform above level 3. A final weighting is done for all KPI’s and final score given to an employee. The final score is then used to calculate the quantum of the bonus earned by the employee.</w:t>
      </w:r>
    </w:p>
    <w:p w:rsidR="00922855" w:rsidRPr="00830DB6" w:rsidRDefault="00922855" w:rsidP="00922855">
      <w:pPr>
        <w:spacing w:before="100" w:beforeAutospacing="1" w:after="100" w:afterAutospacing="1" w:line="240" w:lineRule="auto"/>
        <w:ind w:left="1440" w:hanging="629"/>
        <w:jc w:val="both"/>
        <w:rPr>
          <w:rFonts w:ascii="Arial" w:hAnsi="Arial" w:cs="Arial"/>
        </w:rPr>
      </w:pPr>
      <w:r>
        <w:rPr>
          <w:rFonts w:ascii="Arial" w:hAnsi="Arial" w:cs="Arial"/>
          <w:noProof/>
          <w:lang w:val="af-ZA"/>
        </w:rPr>
        <w:t xml:space="preserve">( c) </w:t>
      </w:r>
      <w:r>
        <w:rPr>
          <w:rFonts w:ascii="Arial" w:hAnsi="Arial" w:cs="Arial"/>
          <w:noProof/>
          <w:lang w:val="af-ZA"/>
        </w:rPr>
        <w:tab/>
        <w:t>The performance bonus forms part of the annual budgert that is approved by the Regulator (board). When the bonuses for all employees have been finalised, there’s a review that is performed by a committee to ensuer that there was transparency, fairness and relevance between employees performance and that of the organisation. Once the review is complete the bonuses are then forwaded to the CFO for recommendation to the CEO for final approval before making payemnts to employees.   .</w:t>
      </w:r>
    </w:p>
    <w:p w:rsidR="00922855" w:rsidRPr="00922855" w:rsidRDefault="00922855" w:rsidP="00922855">
      <w:pPr>
        <w:rPr>
          <w:rFonts w:ascii="Arial" w:hAnsi="Arial" w:cs="Arial"/>
          <w:b/>
          <w:lang w:val="en-ZA" w:eastAsia="x-none"/>
        </w:rPr>
      </w:pPr>
      <w:r w:rsidRPr="00922855">
        <w:rPr>
          <w:rFonts w:ascii="Arial" w:hAnsi="Arial" w:cs="Arial"/>
          <w:b/>
          <w:lang w:val="en-ZA" w:eastAsia="x-none"/>
        </w:rPr>
        <w:tab/>
        <w:t>South African Maritime Safety Authority (SAMSA)</w:t>
      </w:r>
    </w:p>
    <w:p w:rsidR="00922855" w:rsidRPr="00922855" w:rsidRDefault="00922855" w:rsidP="00922855">
      <w:pPr>
        <w:spacing w:before="100" w:beforeAutospacing="1" w:after="100" w:afterAutospacing="1" w:line="240" w:lineRule="auto"/>
        <w:ind w:left="1440" w:hanging="629"/>
        <w:jc w:val="both"/>
        <w:rPr>
          <w:rFonts w:ascii="Arial" w:hAnsi="Arial" w:cs="Arial"/>
        </w:rPr>
      </w:pPr>
      <w:r>
        <w:rPr>
          <w:rFonts w:ascii="Arial" w:hAnsi="Arial" w:cs="Arial"/>
        </w:rPr>
        <w:t>(1)(a</w:t>
      </w:r>
      <w:r w:rsidRPr="00922855">
        <w:rPr>
          <w:rFonts w:ascii="Arial" w:hAnsi="Arial" w:cs="Arial"/>
        </w:rPr>
        <w:t xml:space="preserve">)(ii) </w:t>
      </w:r>
    </w:p>
    <w:tbl>
      <w:tblPr>
        <w:tblpPr w:leftFromText="180" w:rightFromText="180" w:vertAnchor="text" w:horzAnchor="margin" w:tblpXSpec="center" w:tblpY="420"/>
        <w:tblW w:w="0" w:type="auto"/>
        <w:tblCellMar>
          <w:left w:w="0" w:type="dxa"/>
          <w:right w:w="0" w:type="dxa"/>
        </w:tblCellMar>
        <w:tblLook w:val="04A0" w:firstRow="1" w:lastRow="0" w:firstColumn="1" w:lastColumn="0" w:noHBand="0" w:noVBand="1"/>
      </w:tblPr>
      <w:tblGrid>
        <w:gridCol w:w="1327"/>
        <w:gridCol w:w="3273"/>
        <w:gridCol w:w="3273"/>
      </w:tblGrid>
      <w:tr w:rsidR="00922855" w:rsidRPr="00922855" w:rsidTr="00922855">
        <w:trPr>
          <w:trHeight w:val="446"/>
        </w:trPr>
        <w:tc>
          <w:tcPr>
            <w:tcW w:w="1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2855" w:rsidRPr="00922855" w:rsidRDefault="00922855" w:rsidP="00922855">
            <w:pPr>
              <w:rPr>
                <w:rFonts w:ascii="Arial" w:eastAsiaTheme="minorHAnsi" w:hAnsi="Arial" w:cs="Arial"/>
                <w:b/>
                <w:bCs/>
              </w:rPr>
            </w:pPr>
            <w:r w:rsidRPr="00922855">
              <w:rPr>
                <w:rFonts w:ascii="Arial" w:hAnsi="Arial" w:cs="Arial"/>
                <w:b/>
                <w:bCs/>
              </w:rPr>
              <w:t>Year</w:t>
            </w:r>
          </w:p>
        </w:tc>
        <w:tc>
          <w:tcPr>
            <w:tcW w:w="3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2855" w:rsidRPr="00922855" w:rsidRDefault="00922855" w:rsidP="00922855">
            <w:pPr>
              <w:rPr>
                <w:rFonts w:ascii="Arial" w:hAnsi="Arial" w:cs="Arial"/>
                <w:b/>
                <w:bCs/>
              </w:rPr>
            </w:pPr>
            <w:r w:rsidRPr="00922855">
              <w:rPr>
                <w:rFonts w:ascii="Arial" w:hAnsi="Arial" w:cs="Arial"/>
                <w:b/>
                <w:bCs/>
              </w:rPr>
              <w:t>% Increase</w:t>
            </w:r>
          </w:p>
        </w:tc>
        <w:tc>
          <w:tcPr>
            <w:tcW w:w="3273" w:type="dxa"/>
            <w:tcBorders>
              <w:top w:val="single" w:sz="8" w:space="0" w:color="auto"/>
              <w:left w:val="nil"/>
              <w:bottom w:val="single" w:sz="8" w:space="0" w:color="auto"/>
              <w:right w:val="single" w:sz="8" w:space="0" w:color="auto"/>
            </w:tcBorders>
          </w:tcPr>
          <w:p w:rsidR="00922855" w:rsidRPr="00922855" w:rsidRDefault="00922855" w:rsidP="00922855">
            <w:pPr>
              <w:rPr>
                <w:rFonts w:ascii="Arial" w:hAnsi="Arial" w:cs="Arial"/>
                <w:b/>
                <w:bCs/>
              </w:rPr>
            </w:pPr>
          </w:p>
        </w:tc>
      </w:tr>
      <w:tr w:rsidR="00922855" w:rsidRPr="00922855" w:rsidTr="00922855">
        <w:trPr>
          <w:trHeight w:val="446"/>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855" w:rsidRPr="00922855" w:rsidRDefault="00922855" w:rsidP="00922855">
            <w:pPr>
              <w:rPr>
                <w:rFonts w:ascii="Arial" w:hAnsi="Arial" w:cs="Arial"/>
              </w:rPr>
            </w:pPr>
            <w:r w:rsidRPr="00922855">
              <w:rPr>
                <w:rFonts w:ascii="Arial" w:hAnsi="Arial" w:cs="Arial"/>
              </w:rPr>
              <w:t>2014</w:t>
            </w:r>
          </w:p>
        </w:tc>
        <w:tc>
          <w:tcPr>
            <w:tcW w:w="3273" w:type="dxa"/>
            <w:tcBorders>
              <w:top w:val="nil"/>
              <w:left w:val="nil"/>
              <w:bottom w:val="single" w:sz="8" w:space="0" w:color="auto"/>
              <w:right w:val="single" w:sz="8" w:space="0" w:color="auto"/>
            </w:tcBorders>
            <w:tcMar>
              <w:top w:w="0" w:type="dxa"/>
              <w:left w:w="108" w:type="dxa"/>
              <w:bottom w:w="0" w:type="dxa"/>
              <w:right w:w="108" w:type="dxa"/>
            </w:tcMar>
          </w:tcPr>
          <w:p w:rsidR="00922855" w:rsidRPr="00922855" w:rsidRDefault="00922855" w:rsidP="00922855">
            <w:pPr>
              <w:rPr>
                <w:rFonts w:ascii="Arial" w:hAnsi="Arial" w:cs="Arial"/>
              </w:rPr>
            </w:pPr>
            <w:r w:rsidRPr="00922855">
              <w:rPr>
                <w:rFonts w:ascii="Arial" w:hAnsi="Arial" w:cs="Arial"/>
              </w:rPr>
              <w:t>6,2%</w:t>
            </w:r>
          </w:p>
        </w:tc>
        <w:tc>
          <w:tcPr>
            <w:tcW w:w="3273" w:type="dxa"/>
            <w:tcBorders>
              <w:top w:val="nil"/>
              <w:left w:val="nil"/>
              <w:bottom w:val="single" w:sz="8" w:space="0" w:color="auto"/>
              <w:right w:val="single" w:sz="8" w:space="0" w:color="auto"/>
            </w:tcBorders>
          </w:tcPr>
          <w:p w:rsidR="00922855" w:rsidRPr="00922855" w:rsidRDefault="00922855" w:rsidP="00922855">
            <w:pPr>
              <w:rPr>
                <w:rFonts w:ascii="Arial" w:hAnsi="Arial" w:cs="Arial"/>
              </w:rPr>
            </w:pPr>
            <w:r w:rsidRPr="00922855">
              <w:rPr>
                <w:rFonts w:ascii="Arial" w:hAnsi="Arial" w:cs="Arial"/>
              </w:rPr>
              <w:t>All staff</w:t>
            </w:r>
          </w:p>
        </w:tc>
      </w:tr>
      <w:tr w:rsidR="00922855" w:rsidRPr="00922855" w:rsidTr="00922855">
        <w:trPr>
          <w:trHeight w:val="446"/>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55" w:rsidRPr="00922855" w:rsidRDefault="00922855" w:rsidP="00922855">
            <w:pPr>
              <w:rPr>
                <w:rFonts w:ascii="Arial" w:hAnsi="Arial" w:cs="Arial"/>
              </w:rPr>
            </w:pPr>
            <w:r w:rsidRPr="00922855">
              <w:rPr>
                <w:rFonts w:ascii="Arial" w:hAnsi="Arial" w:cs="Arial"/>
              </w:rPr>
              <w:t>2015</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922855" w:rsidRPr="00922855" w:rsidRDefault="00922855" w:rsidP="00922855">
            <w:pPr>
              <w:rPr>
                <w:rFonts w:ascii="Arial" w:hAnsi="Arial" w:cs="Arial"/>
              </w:rPr>
            </w:pPr>
            <w:r w:rsidRPr="00922855">
              <w:rPr>
                <w:rFonts w:ascii="Arial" w:hAnsi="Arial" w:cs="Arial"/>
              </w:rPr>
              <w:t>5.4%</w:t>
            </w:r>
          </w:p>
        </w:tc>
        <w:tc>
          <w:tcPr>
            <w:tcW w:w="3273" w:type="dxa"/>
            <w:tcBorders>
              <w:top w:val="nil"/>
              <w:left w:val="nil"/>
              <w:bottom w:val="single" w:sz="8" w:space="0" w:color="auto"/>
              <w:right w:val="single" w:sz="8" w:space="0" w:color="auto"/>
            </w:tcBorders>
            <w:hideMark/>
          </w:tcPr>
          <w:p w:rsidR="00922855" w:rsidRPr="00922855" w:rsidRDefault="00922855" w:rsidP="00922855">
            <w:pPr>
              <w:rPr>
                <w:rFonts w:ascii="Arial" w:hAnsi="Arial" w:cs="Arial"/>
              </w:rPr>
            </w:pPr>
            <w:r w:rsidRPr="00922855">
              <w:rPr>
                <w:rFonts w:ascii="Arial" w:hAnsi="Arial" w:cs="Arial"/>
              </w:rPr>
              <w:t>All staff</w:t>
            </w:r>
          </w:p>
        </w:tc>
      </w:tr>
      <w:tr w:rsidR="00922855" w:rsidRPr="00922855" w:rsidTr="00922855">
        <w:trPr>
          <w:trHeight w:val="446"/>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55" w:rsidRPr="00922855" w:rsidRDefault="00922855" w:rsidP="00922855">
            <w:pPr>
              <w:rPr>
                <w:rFonts w:ascii="Arial" w:hAnsi="Arial" w:cs="Arial"/>
              </w:rPr>
            </w:pPr>
            <w:r w:rsidRPr="00922855">
              <w:rPr>
                <w:rFonts w:ascii="Arial" w:hAnsi="Arial" w:cs="Arial"/>
              </w:rPr>
              <w:t>2016</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922855" w:rsidRPr="00922855" w:rsidRDefault="00922855" w:rsidP="00922855">
            <w:pPr>
              <w:rPr>
                <w:rFonts w:ascii="Arial" w:hAnsi="Arial" w:cs="Arial"/>
              </w:rPr>
            </w:pPr>
            <w:r w:rsidRPr="00922855">
              <w:rPr>
                <w:rFonts w:ascii="Arial" w:hAnsi="Arial" w:cs="Arial"/>
              </w:rPr>
              <w:t>5.2%</w:t>
            </w:r>
          </w:p>
        </w:tc>
        <w:tc>
          <w:tcPr>
            <w:tcW w:w="3273" w:type="dxa"/>
            <w:tcBorders>
              <w:top w:val="nil"/>
              <w:left w:val="nil"/>
              <w:bottom w:val="single" w:sz="8" w:space="0" w:color="auto"/>
              <w:right w:val="single" w:sz="8" w:space="0" w:color="auto"/>
            </w:tcBorders>
            <w:hideMark/>
          </w:tcPr>
          <w:p w:rsidR="00922855" w:rsidRPr="00922855" w:rsidRDefault="00922855" w:rsidP="00922855">
            <w:pPr>
              <w:rPr>
                <w:rFonts w:ascii="Arial" w:hAnsi="Arial" w:cs="Arial"/>
              </w:rPr>
            </w:pPr>
            <w:r w:rsidRPr="00922855">
              <w:rPr>
                <w:rFonts w:ascii="Arial" w:hAnsi="Arial" w:cs="Arial"/>
              </w:rPr>
              <w:t>All staff</w:t>
            </w:r>
          </w:p>
        </w:tc>
      </w:tr>
    </w:tbl>
    <w:p w:rsidR="00922855" w:rsidRPr="00922855" w:rsidRDefault="00922855" w:rsidP="00922855">
      <w:pPr>
        <w:spacing w:before="100" w:beforeAutospacing="1" w:after="100" w:afterAutospacing="1" w:line="240" w:lineRule="auto"/>
        <w:ind w:left="1440" w:hanging="629"/>
        <w:jc w:val="both"/>
        <w:rPr>
          <w:rFonts w:ascii="Arial" w:hAnsi="Arial" w:cs="Arial"/>
        </w:rPr>
      </w:pPr>
      <w:r w:rsidRPr="00922855">
        <w:rPr>
          <w:rFonts w:ascii="Arial" w:hAnsi="Arial" w:cs="Arial"/>
        </w:rPr>
        <w:t xml:space="preserve"> </w:t>
      </w:r>
    </w:p>
    <w:p w:rsidR="00922855" w:rsidRPr="00922855" w:rsidRDefault="00922855" w:rsidP="00922855">
      <w:pPr>
        <w:spacing w:before="100" w:beforeAutospacing="1" w:after="100" w:afterAutospacing="1" w:line="240" w:lineRule="auto"/>
        <w:ind w:left="1440" w:hanging="629"/>
        <w:jc w:val="both"/>
        <w:rPr>
          <w:rFonts w:ascii="Arial" w:hAnsi="Arial" w:cs="Arial"/>
        </w:rPr>
      </w:pPr>
    </w:p>
    <w:p w:rsidR="00922855" w:rsidRPr="00922855" w:rsidRDefault="00922855" w:rsidP="00922855">
      <w:pPr>
        <w:spacing w:before="100" w:beforeAutospacing="1" w:after="100" w:afterAutospacing="1" w:line="240" w:lineRule="auto"/>
        <w:ind w:left="1440" w:hanging="629"/>
        <w:jc w:val="both"/>
        <w:rPr>
          <w:rFonts w:ascii="Arial" w:hAnsi="Arial" w:cs="Arial"/>
        </w:rPr>
      </w:pPr>
    </w:p>
    <w:p w:rsidR="00922855" w:rsidRPr="00922855" w:rsidRDefault="00922855" w:rsidP="00922855">
      <w:pPr>
        <w:spacing w:before="100" w:beforeAutospacing="1" w:after="100" w:afterAutospacing="1" w:line="240" w:lineRule="auto"/>
        <w:ind w:left="1440" w:hanging="629"/>
        <w:jc w:val="both"/>
        <w:rPr>
          <w:rFonts w:ascii="Arial" w:hAnsi="Arial" w:cs="Arial"/>
        </w:rPr>
      </w:pPr>
    </w:p>
    <w:p w:rsidR="00922855" w:rsidRPr="00922855" w:rsidRDefault="00922855" w:rsidP="00922855">
      <w:pPr>
        <w:spacing w:before="100" w:beforeAutospacing="1" w:after="100" w:afterAutospacing="1" w:line="240" w:lineRule="auto"/>
        <w:ind w:left="1440" w:hanging="629"/>
        <w:jc w:val="both"/>
        <w:rPr>
          <w:rFonts w:ascii="Arial" w:hAnsi="Arial" w:cs="Arial"/>
        </w:rPr>
      </w:pPr>
    </w:p>
    <w:p w:rsidR="00922855" w:rsidRPr="00922855" w:rsidRDefault="00922855" w:rsidP="00922855">
      <w:pPr>
        <w:spacing w:before="100" w:beforeAutospacing="1" w:after="100" w:afterAutospacing="1" w:line="240" w:lineRule="auto"/>
        <w:ind w:left="1440" w:hanging="629"/>
        <w:jc w:val="both"/>
        <w:rPr>
          <w:rFonts w:ascii="Arial" w:hAnsi="Arial" w:cs="Arial"/>
        </w:rPr>
      </w:pPr>
    </w:p>
    <w:p w:rsidR="00922855" w:rsidRPr="00922855" w:rsidRDefault="00922855" w:rsidP="00922855">
      <w:pPr>
        <w:spacing w:before="100" w:beforeAutospacing="1" w:after="100" w:afterAutospacing="1" w:line="240" w:lineRule="auto"/>
        <w:ind w:left="1440" w:hanging="629"/>
        <w:jc w:val="both"/>
        <w:rPr>
          <w:rFonts w:ascii="Arial" w:hAnsi="Arial" w:cs="Arial"/>
        </w:rPr>
      </w:pPr>
      <w:r w:rsidRPr="00922855">
        <w:rPr>
          <w:rFonts w:ascii="Arial" w:hAnsi="Arial" w:cs="Arial"/>
        </w:rPr>
        <w:lastRenderedPageBreak/>
        <w:t>(1)(b)</w:t>
      </w:r>
    </w:p>
    <w:p w:rsidR="00922855" w:rsidRPr="00922855" w:rsidRDefault="00922855" w:rsidP="00922855">
      <w:pPr>
        <w:spacing w:before="100" w:beforeAutospacing="1" w:after="100" w:afterAutospacing="1" w:line="240" w:lineRule="auto"/>
        <w:ind w:left="1440" w:hanging="629"/>
        <w:jc w:val="both"/>
        <w:rPr>
          <w:rFonts w:ascii="Arial" w:hAnsi="Arial" w:cs="Arial"/>
        </w:rPr>
      </w:pPr>
      <w:r w:rsidRPr="00922855">
        <w:rPr>
          <w:rFonts w:ascii="Arial" w:hAnsi="Arial" w:cs="Arial"/>
        </w:rPr>
        <w:t>CPI + 1%</w:t>
      </w:r>
    </w:p>
    <w:p w:rsidR="00922855" w:rsidRPr="00922855" w:rsidRDefault="00922855" w:rsidP="00922855">
      <w:pPr>
        <w:spacing w:before="100" w:beforeAutospacing="1" w:after="100" w:afterAutospacing="1" w:line="240" w:lineRule="auto"/>
        <w:ind w:left="1440" w:hanging="629"/>
        <w:jc w:val="both"/>
        <w:rPr>
          <w:rFonts w:ascii="Arial" w:hAnsi="Arial" w:cs="Arial"/>
        </w:rPr>
      </w:pPr>
      <w:r w:rsidRPr="00922855">
        <w:rPr>
          <w:rFonts w:ascii="Arial" w:hAnsi="Arial" w:cs="Arial"/>
        </w:rPr>
        <w:t>(1)(c)</w:t>
      </w:r>
    </w:p>
    <w:p w:rsidR="00922855" w:rsidRPr="00922855" w:rsidRDefault="00922855" w:rsidP="00922855">
      <w:pPr>
        <w:spacing w:before="100" w:beforeAutospacing="1" w:after="100" w:afterAutospacing="1" w:line="240" w:lineRule="auto"/>
        <w:ind w:left="1440" w:hanging="629"/>
        <w:jc w:val="both"/>
        <w:rPr>
          <w:rFonts w:ascii="Arial" w:hAnsi="Arial" w:cs="Arial"/>
        </w:rPr>
      </w:pPr>
      <w:r w:rsidRPr="00922855">
        <w:rPr>
          <w:rFonts w:ascii="Arial" w:hAnsi="Arial" w:cs="Arial"/>
        </w:rPr>
        <w:t>2014 – Authorized by the Board of Directors</w:t>
      </w:r>
    </w:p>
    <w:p w:rsidR="00922855" w:rsidRPr="00922855" w:rsidRDefault="00922855" w:rsidP="00922855">
      <w:pPr>
        <w:spacing w:before="100" w:beforeAutospacing="1" w:after="100" w:afterAutospacing="1" w:line="240" w:lineRule="auto"/>
        <w:ind w:left="1440" w:hanging="629"/>
        <w:jc w:val="both"/>
        <w:rPr>
          <w:rFonts w:ascii="Arial" w:hAnsi="Arial" w:cs="Arial"/>
        </w:rPr>
      </w:pPr>
      <w:r w:rsidRPr="00922855">
        <w:rPr>
          <w:rFonts w:ascii="Arial" w:hAnsi="Arial" w:cs="Arial"/>
        </w:rPr>
        <w:t>2015 - Authorized by the Board of Directors</w:t>
      </w:r>
    </w:p>
    <w:p w:rsidR="00922855" w:rsidRPr="00922855" w:rsidRDefault="00922855" w:rsidP="00922855">
      <w:pPr>
        <w:spacing w:before="100" w:beforeAutospacing="1" w:after="100" w:afterAutospacing="1" w:line="240" w:lineRule="auto"/>
        <w:ind w:left="1440" w:hanging="629"/>
        <w:jc w:val="both"/>
        <w:rPr>
          <w:rFonts w:ascii="Arial" w:hAnsi="Arial" w:cs="Arial"/>
        </w:rPr>
      </w:pPr>
      <w:r w:rsidRPr="00922855">
        <w:rPr>
          <w:rFonts w:ascii="Arial" w:hAnsi="Arial" w:cs="Arial"/>
        </w:rPr>
        <w:t>2016 – Authorized by the Board of Directors</w:t>
      </w:r>
    </w:p>
    <w:p w:rsidR="00922855" w:rsidRDefault="00922855" w:rsidP="00922855">
      <w:pPr>
        <w:spacing w:before="100" w:beforeAutospacing="1" w:after="100" w:afterAutospacing="1" w:line="240" w:lineRule="auto"/>
        <w:ind w:left="1440" w:hanging="629"/>
        <w:jc w:val="both"/>
        <w:rPr>
          <w:rFonts w:ascii="Arial" w:hAnsi="Arial" w:cs="Arial"/>
        </w:rPr>
      </w:pPr>
    </w:p>
    <w:p w:rsidR="00922855" w:rsidRDefault="00922855" w:rsidP="00922855">
      <w:pPr>
        <w:spacing w:before="100" w:beforeAutospacing="1" w:after="100" w:afterAutospacing="1" w:line="240" w:lineRule="auto"/>
        <w:ind w:left="1440" w:hanging="629"/>
        <w:jc w:val="both"/>
        <w:rPr>
          <w:rFonts w:ascii="Arial" w:hAnsi="Arial" w:cs="Arial"/>
          <w:noProof/>
          <w:lang w:val="af-ZA"/>
        </w:rPr>
      </w:pPr>
      <w:r w:rsidRPr="00830DB6">
        <w:rPr>
          <w:rFonts w:ascii="Arial" w:hAnsi="Arial" w:cs="Arial"/>
        </w:rPr>
        <w:t>(2)</w:t>
      </w:r>
      <w:r w:rsidRPr="00830DB6">
        <w:rPr>
          <w:rFonts w:ascii="Arial" w:hAnsi="Arial" w:cs="Arial"/>
        </w:rPr>
        <w:tab/>
        <w:t xml:space="preserve">(a) what </w:t>
      </w:r>
      <w:r w:rsidRPr="00830DB6">
        <w:rPr>
          <w:rFonts w:ascii="Arial" w:hAnsi="Arial" w:cs="Arial"/>
          <w:noProof/>
          <w:lang w:val="af-ZA"/>
        </w:rPr>
        <w:t>bonuses</w:t>
      </w:r>
      <w:r w:rsidRPr="00830DB6">
        <w:rPr>
          <w:rFonts w:ascii="Arial" w:hAnsi="Arial" w:cs="Arial"/>
        </w:rPr>
        <w:t xml:space="preserve"> have been given in each grade of employee in the past three financial years, (b) what criteria were used when granting the specified bonuses in each specified financial year and (c) who authorized the bonuses in each financial year</w:t>
      </w:r>
      <w:r w:rsidRPr="00830DB6">
        <w:rPr>
          <w:rFonts w:ascii="Arial" w:hAnsi="Arial" w:cs="Arial"/>
          <w:noProof/>
          <w:lang w:val="af-ZA"/>
        </w:rPr>
        <w:t>?</w:t>
      </w:r>
      <w:r w:rsidRPr="00830DB6">
        <w:rPr>
          <w:rFonts w:ascii="Arial" w:hAnsi="Arial" w:cs="Arial"/>
          <w:noProof/>
          <w:lang w:val="af-ZA"/>
        </w:rPr>
        <w:tab/>
      </w:r>
      <w:r w:rsidRPr="00830DB6">
        <w:rPr>
          <w:rFonts w:ascii="Arial" w:hAnsi="Arial" w:cs="Arial"/>
          <w:noProof/>
          <w:lang w:val="af-ZA"/>
        </w:rPr>
        <w:tab/>
      </w:r>
      <w:r w:rsidRPr="00830DB6">
        <w:rPr>
          <w:rFonts w:ascii="Arial" w:hAnsi="Arial" w:cs="Arial"/>
          <w:noProof/>
          <w:lang w:val="af-ZA"/>
        </w:rPr>
        <w:tab/>
      </w:r>
      <w:r w:rsidRPr="00830DB6">
        <w:rPr>
          <w:rFonts w:ascii="Arial" w:hAnsi="Arial" w:cs="Arial"/>
          <w:noProof/>
          <w:lang w:val="af-ZA"/>
        </w:rPr>
        <w:tab/>
      </w:r>
      <w:r w:rsidRPr="00830DB6">
        <w:rPr>
          <w:rFonts w:ascii="Arial" w:hAnsi="Arial" w:cs="Arial"/>
          <w:noProof/>
          <w:lang w:val="af-ZA"/>
        </w:rPr>
        <w:tab/>
      </w:r>
      <w:r w:rsidRPr="00830DB6">
        <w:rPr>
          <w:rFonts w:ascii="Arial" w:hAnsi="Arial" w:cs="Arial"/>
          <w:noProof/>
          <w:lang w:val="af-ZA"/>
        </w:rPr>
        <w:tab/>
      </w:r>
      <w:r w:rsidRPr="00830DB6">
        <w:rPr>
          <w:rFonts w:ascii="Arial" w:hAnsi="Arial" w:cs="Arial"/>
          <w:noProof/>
          <w:lang w:val="af-ZA"/>
        </w:rPr>
        <w:tab/>
        <w:t>NW3806E</w:t>
      </w:r>
    </w:p>
    <w:p w:rsidR="00922855" w:rsidRDefault="00922855" w:rsidP="00922855">
      <w:pPr>
        <w:spacing w:before="100" w:beforeAutospacing="1" w:after="100" w:afterAutospacing="1" w:line="240" w:lineRule="auto"/>
        <w:ind w:left="1440" w:hanging="629"/>
        <w:jc w:val="both"/>
        <w:rPr>
          <w:rFonts w:ascii="Arial" w:hAnsi="Arial" w:cs="Arial"/>
        </w:rPr>
      </w:pPr>
      <w:r>
        <w:rPr>
          <w:rFonts w:ascii="Arial" w:hAnsi="Arial" w:cs="Arial"/>
        </w:rPr>
        <w:t>Response:</w:t>
      </w:r>
    </w:p>
    <w:p w:rsidR="00922855" w:rsidRPr="00830DB6" w:rsidRDefault="00922855" w:rsidP="00922855">
      <w:pPr>
        <w:spacing w:before="100" w:beforeAutospacing="1" w:after="100" w:afterAutospacing="1" w:line="240" w:lineRule="auto"/>
        <w:ind w:left="1440" w:hanging="629"/>
        <w:jc w:val="both"/>
        <w:rPr>
          <w:rFonts w:ascii="Arial" w:hAnsi="Arial" w:cs="Arial"/>
        </w:rPr>
      </w:pPr>
      <w:r>
        <w:rPr>
          <w:rFonts w:ascii="Arial" w:hAnsi="Arial" w:cs="Arial"/>
        </w:rPr>
        <w:t>(2) (</w:t>
      </w:r>
      <w:proofErr w:type="gramStart"/>
      <w:r>
        <w:rPr>
          <w:rFonts w:ascii="Arial" w:hAnsi="Arial" w:cs="Arial"/>
        </w:rPr>
        <w:t>a</w:t>
      </w:r>
      <w:proofErr w:type="gramEnd"/>
      <w:r>
        <w:rPr>
          <w:rFonts w:ascii="Arial" w:hAnsi="Arial" w:cs="Arial"/>
        </w:rPr>
        <w:t xml:space="preserve">) </w:t>
      </w:r>
    </w:p>
    <w:tbl>
      <w:tblPr>
        <w:tblW w:w="0" w:type="auto"/>
        <w:tblInd w:w="837" w:type="dxa"/>
        <w:tblCellMar>
          <w:left w:w="0" w:type="dxa"/>
          <w:right w:w="0" w:type="dxa"/>
        </w:tblCellMar>
        <w:tblLook w:val="04A0" w:firstRow="1" w:lastRow="0" w:firstColumn="1" w:lastColumn="0" w:noHBand="0" w:noVBand="1"/>
      </w:tblPr>
      <w:tblGrid>
        <w:gridCol w:w="1552"/>
        <w:gridCol w:w="3827"/>
        <w:gridCol w:w="3827"/>
      </w:tblGrid>
      <w:tr w:rsidR="00922855" w:rsidTr="00922855">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2855" w:rsidRDefault="00922855" w:rsidP="00922855">
            <w:pPr>
              <w:rPr>
                <w:rFonts w:eastAsiaTheme="minorHAnsi"/>
                <w:b/>
                <w:bCs/>
              </w:rPr>
            </w:pPr>
            <w:r>
              <w:rPr>
                <w:rFonts w:ascii="Arial" w:hAnsi="Arial" w:cs="Arial"/>
                <w:lang w:val="en-ZA" w:eastAsia="x-none"/>
              </w:rPr>
              <w:tab/>
            </w:r>
            <w:r>
              <w:rPr>
                <w:b/>
                <w:bCs/>
              </w:rPr>
              <w:t>Year</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2855" w:rsidRDefault="00922855" w:rsidP="00922855">
            <w:pPr>
              <w:rPr>
                <w:b/>
                <w:bCs/>
              </w:rPr>
            </w:pPr>
            <w:r>
              <w:rPr>
                <w:b/>
                <w:bCs/>
              </w:rPr>
              <w:t>% Increase</w:t>
            </w:r>
          </w:p>
        </w:tc>
        <w:tc>
          <w:tcPr>
            <w:tcW w:w="3827" w:type="dxa"/>
            <w:tcBorders>
              <w:top w:val="single" w:sz="8" w:space="0" w:color="auto"/>
              <w:left w:val="nil"/>
              <w:bottom w:val="single" w:sz="8" w:space="0" w:color="auto"/>
              <w:right w:val="single" w:sz="8" w:space="0" w:color="auto"/>
            </w:tcBorders>
          </w:tcPr>
          <w:p w:rsidR="00922855" w:rsidRDefault="00922855" w:rsidP="00922855">
            <w:pPr>
              <w:rPr>
                <w:b/>
                <w:bCs/>
              </w:rPr>
            </w:pPr>
          </w:p>
        </w:tc>
      </w:tr>
      <w:tr w:rsidR="00922855" w:rsidTr="00922855">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855" w:rsidRDefault="00922855" w:rsidP="00922855"/>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922855" w:rsidRDefault="00922855" w:rsidP="00922855"/>
        </w:tc>
        <w:tc>
          <w:tcPr>
            <w:tcW w:w="3827" w:type="dxa"/>
            <w:tcBorders>
              <w:top w:val="nil"/>
              <w:left w:val="nil"/>
              <w:bottom w:val="single" w:sz="8" w:space="0" w:color="auto"/>
              <w:right w:val="single" w:sz="8" w:space="0" w:color="auto"/>
            </w:tcBorders>
          </w:tcPr>
          <w:p w:rsidR="00922855" w:rsidRDefault="00922855" w:rsidP="00922855"/>
        </w:tc>
      </w:tr>
      <w:tr w:rsidR="00922855" w:rsidTr="00922855">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55" w:rsidRDefault="00922855" w:rsidP="00922855">
            <w:r>
              <w:t>2014</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22855" w:rsidRDefault="00922855" w:rsidP="00922855">
            <w:r>
              <w:t xml:space="preserve">0% </w:t>
            </w:r>
          </w:p>
        </w:tc>
        <w:tc>
          <w:tcPr>
            <w:tcW w:w="3827" w:type="dxa"/>
            <w:tcBorders>
              <w:top w:val="nil"/>
              <w:left w:val="nil"/>
              <w:bottom w:val="single" w:sz="8" w:space="0" w:color="auto"/>
              <w:right w:val="single" w:sz="8" w:space="0" w:color="auto"/>
            </w:tcBorders>
            <w:hideMark/>
          </w:tcPr>
          <w:p w:rsidR="00922855" w:rsidRDefault="00922855" w:rsidP="00922855">
            <w:r>
              <w:t>All staff</w:t>
            </w:r>
          </w:p>
        </w:tc>
      </w:tr>
      <w:tr w:rsidR="00922855" w:rsidTr="00922855">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55" w:rsidRDefault="00922855" w:rsidP="00922855">
            <w:r>
              <w:t>2015</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22855" w:rsidRDefault="00922855" w:rsidP="00922855">
            <w:r>
              <w:t>8.5%</w:t>
            </w:r>
          </w:p>
        </w:tc>
        <w:tc>
          <w:tcPr>
            <w:tcW w:w="3827" w:type="dxa"/>
            <w:tcBorders>
              <w:top w:val="nil"/>
              <w:left w:val="nil"/>
              <w:bottom w:val="single" w:sz="8" w:space="0" w:color="auto"/>
              <w:right w:val="single" w:sz="8" w:space="0" w:color="auto"/>
            </w:tcBorders>
            <w:hideMark/>
          </w:tcPr>
          <w:p w:rsidR="00922855" w:rsidRDefault="00922855" w:rsidP="00922855">
            <w:r>
              <w:t>All staff</w:t>
            </w:r>
          </w:p>
        </w:tc>
      </w:tr>
      <w:tr w:rsidR="00922855" w:rsidTr="00922855">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855" w:rsidRDefault="00922855" w:rsidP="00922855">
            <w:r>
              <w:t>2016</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922855" w:rsidRDefault="00922855" w:rsidP="00922855">
            <w:r>
              <w:t>6.2%</w:t>
            </w:r>
          </w:p>
        </w:tc>
        <w:tc>
          <w:tcPr>
            <w:tcW w:w="3827" w:type="dxa"/>
            <w:tcBorders>
              <w:top w:val="nil"/>
              <w:left w:val="nil"/>
              <w:bottom w:val="single" w:sz="8" w:space="0" w:color="auto"/>
              <w:right w:val="single" w:sz="8" w:space="0" w:color="auto"/>
            </w:tcBorders>
            <w:hideMark/>
          </w:tcPr>
          <w:p w:rsidR="00922855" w:rsidRDefault="00922855" w:rsidP="00922855">
            <w:r>
              <w:t>All staff except EXCO</w:t>
            </w:r>
          </w:p>
        </w:tc>
      </w:tr>
    </w:tbl>
    <w:p w:rsidR="00922855" w:rsidRDefault="00922855" w:rsidP="00922855">
      <w:pPr>
        <w:rPr>
          <w:rFonts w:ascii="Arial" w:hAnsi="Arial" w:cs="Arial"/>
          <w:lang w:val="en-ZA" w:eastAsia="x-none"/>
        </w:rPr>
      </w:pPr>
    </w:p>
    <w:p w:rsidR="00922855" w:rsidRDefault="00922855" w:rsidP="00922855">
      <w:pPr>
        <w:rPr>
          <w:rFonts w:ascii="Arial" w:hAnsi="Arial" w:cs="Arial"/>
          <w:lang w:val="en-ZA" w:eastAsia="x-none"/>
        </w:rPr>
      </w:pPr>
      <w:r>
        <w:rPr>
          <w:rFonts w:ascii="Arial" w:hAnsi="Arial" w:cs="Arial"/>
          <w:lang w:val="en-ZA" w:eastAsia="x-none"/>
        </w:rPr>
        <w:tab/>
        <w:t>(2) (</w:t>
      </w:r>
      <w:proofErr w:type="gramStart"/>
      <w:r>
        <w:rPr>
          <w:rFonts w:ascii="Arial" w:hAnsi="Arial" w:cs="Arial"/>
          <w:lang w:val="en-ZA" w:eastAsia="x-none"/>
        </w:rPr>
        <w:t>b</w:t>
      </w:r>
      <w:proofErr w:type="gramEnd"/>
      <w:r>
        <w:rPr>
          <w:rFonts w:ascii="Arial" w:hAnsi="Arial" w:cs="Arial"/>
          <w:lang w:val="en-ZA" w:eastAsia="x-none"/>
        </w:rPr>
        <w:t>)</w:t>
      </w:r>
    </w:p>
    <w:p w:rsidR="00922855" w:rsidRDefault="00922855" w:rsidP="00922855">
      <w:pPr>
        <w:rPr>
          <w:rFonts w:ascii="Arial" w:hAnsi="Arial" w:cs="Arial"/>
          <w:lang w:val="en-ZA" w:eastAsia="x-none"/>
        </w:rPr>
      </w:pPr>
      <w:r>
        <w:rPr>
          <w:rFonts w:ascii="Arial" w:hAnsi="Arial" w:cs="Arial"/>
          <w:lang w:val="en-ZA" w:eastAsia="x-none"/>
        </w:rPr>
        <w:tab/>
        <w:t>Organisational Performance was the criteria used for granting the bonuses.</w:t>
      </w:r>
    </w:p>
    <w:p w:rsidR="00922855" w:rsidRDefault="00922855" w:rsidP="00922855">
      <w:pPr>
        <w:rPr>
          <w:rFonts w:ascii="Arial" w:hAnsi="Arial" w:cs="Arial"/>
          <w:lang w:val="en-ZA" w:eastAsia="x-none"/>
        </w:rPr>
      </w:pPr>
    </w:p>
    <w:p w:rsidR="00922855" w:rsidRDefault="00922855" w:rsidP="00922855">
      <w:pPr>
        <w:rPr>
          <w:rFonts w:ascii="Arial" w:hAnsi="Arial" w:cs="Arial"/>
          <w:lang w:val="en-ZA" w:eastAsia="x-none"/>
        </w:rPr>
      </w:pPr>
      <w:r>
        <w:rPr>
          <w:rFonts w:ascii="Arial" w:hAnsi="Arial" w:cs="Arial"/>
          <w:lang w:val="en-ZA" w:eastAsia="x-none"/>
        </w:rPr>
        <w:tab/>
        <w:t>(2)(c)</w:t>
      </w:r>
    </w:p>
    <w:p w:rsidR="00922855" w:rsidRDefault="00922855" w:rsidP="00922855">
      <w:pPr>
        <w:rPr>
          <w:rFonts w:ascii="Arial" w:hAnsi="Arial" w:cs="Arial"/>
          <w:lang w:val="en-ZA" w:eastAsia="x-none"/>
        </w:rPr>
      </w:pPr>
      <w:r>
        <w:rPr>
          <w:rFonts w:ascii="Arial" w:hAnsi="Arial" w:cs="Arial"/>
          <w:lang w:val="en-ZA" w:eastAsia="x-none"/>
        </w:rPr>
        <w:tab/>
        <w:t>2014 – Board of Directors</w:t>
      </w:r>
    </w:p>
    <w:p w:rsidR="00922855" w:rsidRDefault="00922855" w:rsidP="00922855">
      <w:pPr>
        <w:rPr>
          <w:rFonts w:ascii="Arial" w:hAnsi="Arial" w:cs="Arial"/>
          <w:lang w:val="en-ZA" w:eastAsia="x-none"/>
        </w:rPr>
      </w:pPr>
      <w:r>
        <w:rPr>
          <w:rFonts w:ascii="Arial" w:hAnsi="Arial" w:cs="Arial"/>
          <w:lang w:val="en-ZA" w:eastAsia="x-none"/>
        </w:rPr>
        <w:tab/>
        <w:t>2015 – Board of Directors</w:t>
      </w:r>
    </w:p>
    <w:p w:rsidR="00922855" w:rsidRPr="00830DB6" w:rsidRDefault="00922855" w:rsidP="00922855">
      <w:pPr>
        <w:ind w:firstLine="720"/>
        <w:rPr>
          <w:rFonts w:ascii="Arial" w:hAnsi="Arial" w:cs="Arial"/>
          <w:lang w:val="en-ZA" w:eastAsia="x-none"/>
        </w:rPr>
      </w:pPr>
      <w:r>
        <w:rPr>
          <w:rFonts w:ascii="Arial" w:hAnsi="Arial" w:cs="Arial"/>
          <w:lang w:val="en-ZA" w:eastAsia="x-none"/>
        </w:rPr>
        <w:t>2016 – Board of Directors</w:t>
      </w:r>
    </w:p>
    <w:p w:rsidR="00830DB6" w:rsidRPr="00830DB6" w:rsidRDefault="00830DB6" w:rsidP="00922855">
      <w:pPr>
        <w:spacing w:before="100" w:beforeAutospacing="1" w:after="100" w:afterAutospacing="1" w:line="240" w:lineRule="auto"/>
        <w:jc w:val="both"/>
        <w:rPr>
          <w:rFonts w:ascii="Arial" w:hAnsi="Arial" w:cs="Arial"/>
        </w:rPr>
      </w:pPr>
      <w:r w:rsidRPr="00830DB6">
        <w:rPr>
          <w:rFonts w:ascii="Arial" w:hAnsi="Arial" w:cs="Arial"/>
          <w:noProof/>
          <w:lang w:val="af-ZA"/>
        </w:rPr>
        <w:tab/>
      </w:r>
      <w:r w:rsidRPr="00830DB6">
        <w:rPr>
          <w:rFonts w:ascii="Arial" w:hAnsi="Arial" w:cs="Arial"/>
          <w:noProof/>
          <w:lang w:val="af-ZA"/>
        </w:rPr>
        <w:tab/>
      </w:r>
      <w:r w:rsidRPr="00830DB6">
        <w:rPr>
          <w:rFonts w:ascii="Arial" w:hAnsi="Arial" w:cs="Arial"/>
          <w:noProof/>
          <w:lang w:val="af-ZA"/>
        </w:rPr>
        <w:tab/>
      </w:r>
      <w:r w:rsidRPr="00830DB6">
        <w:rPr>
          <w:rFonts w:ascii="Arial" w:hAnsi="Arial" w:cs="Arial"/>
          <w:noProof/>
          <w:lang w:val="af-ZA"/>
        </w:rPr>
        <w:tab/>
      </w:r>
    </w:p>
    <w:p w:rsidR="00830DB6" w:rsidRPr="00830DB6" w:rsidRDefault="00830DB6" w:rsidP="00EB1E93">
      <w:pPr>
        <w:rPr>
          <w:rFonts w:ascii="Arial" w:hAnsi="Arial" w:cs="Arial"/>
          <w:lang w:val="en-ZA" w:eastAsia="x-none"/>
        </w:rPr>
      </w:pPr>
    </w:p>
    <w:sectPr w:rsidR="00830DB6" w:rsidRPr="00830DB6"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C8" w:rsidRDefault="00F05BC8" w:rsidP="00DB1508">
      <w:pPr>
        <w:spacing w:after="0" w:line="240" w:lineRule="auto"/>
      </w:pPr>
      <w:r>
        <w:separator/>
      </w:r>
    </w:p>
  </w:endnote>
  <w:endnote w:type="continuationSeparator" w:id="0">
    <w:p w:rsidR="00F05BC8" w:rsidRDefault="00F05BC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C8" w:rsidRDefault="00F05BC8" w:rsidP="00DB1508">
      <w:pPr>
        <w:spacing w:after="0" w:line="240" w:lineRule="auto"/>
      </w:pPr>
      <w:r>
        <w:separator/>
      </w:r>
    </w:p>
  </w:footnote>
  <w:footnote w:type="continuationSeparator" w:id="0">
    <w:p w:rsidR="00F05BC8" w:rsidRDefault="00F05BC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28D"/>
    <w:multiLevelType w:val="hybridMultilevel"/>
    <w:tmpl w:val="6974F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F1F80"/>
    <w:multiLevelType w:val="hybridMultilevel"/>
    <w:tmpl w:val="752E0A02"/>
    <w:lvl w:ilvl="0" w:tplc="45F67734">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7E907E9"/>
    <w:multiLevelType w:val="hybridMultilevel"/>
    <w:tmpl w:val="3BAED56A"/>
    <w:lvl w:ilvl="0" w:tplc="0AF47AAA">
      <w:numFmt w:val="bullet"/>
      <w:lvlText w:val="•"/>
      <w:lvlJc w:val="left"/>
      <w:pPr>
        <w:ind w:left="3495" w:hanging="615"/>
      </w:pPr>
      <w:rPr>
        <w:rFonts w:ascii="Arial" w:eastAsiaTheme="minorEastAsia"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0AF47AAA">
      <w:numFmt w:val="bullet"/>
      <w:lvlText w:val="•"/>
      <w:lvlJc w:val="left"/>
      <w:pPr>
        <w:ind w:left="3600" w:hanging="360"/>
      </w:pPr>
      <w:rPr>
        <w:rFonts w:ascii="Arial" w:eastAsiaTheme="minorEastAsia" w:hAnsi="Arial" w:cs="Arial"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1BC3366C"/>
    <w:multiLevelType w:val="hybridMultilevel"/>
    <w:tmpl w:val="E81C037C"/>
    <w:lvl w:ilvl="0" w:tplc="CD10584C">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923959"/>
    <w:multiLevelType w:val="hybridMultilevel"/>
    <w:tmpl w:val="378412D2"/>
    <w:lvl w:ilvl="0" w:tplc="C4CA13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944B53"/>
    <w:multiLevelType w:val="hybridMultilevel"/>
    <w:tmpl w:val="4CA02144"/>
    <w:lvl w:ilvl="0" w:tplc="0AF47AAA">
      <w:numFmt w:val="bullet"/>
      <w:lvlText w:val="•"/>
      <w:lvlJc w:val="left"/>
      <w:pPr>
        <w:ind w:left="1800" w:hanging="360"/>
      </w:pPr>
      <w:rPr>
        <w:rFonts w:ascii="Arial" w:eastAsiaTheme="minorEastAsia"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313B6476"/>
    <w:multiLevelType w:val="hybridMultilevel"/>
    <w:tmpl w:val="B8449CF6"/>
    <w:lvl w:ilvl="0" w:tplc="7A6AA63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91737"/>
    <w:multiLevelType w:val="hybridMultilevel"/>
    <w:tmpl w:val="8076B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B0333BF"/>
    <w:multiLevelType w:val="hybridMultilevel"/>
    <w:tmpl w:val="3998F598"/>
    <w:lvl w:ilvl="0" w:tplc="2556ADC6">
      <w:start w:val="1"/>
      <w:numFmt w:val="decimal"/>
      <w:lvlText w:val="(%1)"/>
      <w:lvlJc w:val="left"/>
      <w:pPr>
        <w:ind w:left="713" w:hanging="855"/>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9">
    <w:nsid w:val="41092B3E"/>
    <w:multiLevelType w:val="hybridMultilevel"/>
    <w:tmpl w:val="2E76D02A"/>
    <w:lvl w:ilvl="0" w:tplc="CD10584C">
      <w:start w:val="1"/>
      <w:numFmt w:val="bullet"/>
      <w:lvlText w:val="-"/>
      <w:lvlJc w:val="left"/>
      <w:pPr>
        <w:ind w:left="1380" w:hanging="360"/>
      </w:pPr>
      <w:rPr>
        <w:rFonts w:ascii="Arial" w:eastAsiaTheme="minorEastAsia" w:hAnsi="Arial" w:cs="Arial" w:hint="default"/>
      </w:rPr>
    </w:lvl>
    <w:lvl w:ilvl="1" w:tplc="1C090003" w:tentative="1">
      <w:start w:val="1"/>
      <w:numFmt w:val="bullet"/>
      <w:lvlText w:val="o"/>
      <w:lvlJc w:val="left"/>
      <w:pPr>
        <w:ind w:left="2100" w:hanging="360"/>
      </w:pPr>
      <w:rPr>
        <w:rFonts w:ascii="Courier New" w:hAnsi="Courier New" w:cs="Courier New" w:hint="default"/>
      </w:rPr>
    </w:lvl>
    <w:lvl w:ilvl="2" w:tplc="1C090005" w:tentative="1">
      <w:start w:val="1"/>
      <w:numFmt w:val="bullet"/>
      <w:lvlText w:val=""/>
      <w:lvlJc w:val="left"/>
      <w:pPr>
        <w:ind w:left="2820" w:hanging="360"/>
      </w:pPr>
      <w:rPr>
        <w:rFonts w:ascii="Wingdings" w:hAnsi="Wingdings" w:hint="default"/>
      </w:rPr>
    </w:lvl>
    <w:lvl w:ilvl="3" w:tplc="1C090001" w:tentative="1">
      <w:start w:val="1"/>
      <w:numFmt w:val="bullet"/>
      <w:lvlText w:val=""/>
      <w:lvlJc w:val="left"/>
      <w:pPr>
        <w:ind w:left="3540" w:hanging="360"/>
      </w:pPr>
      <w:rPr>
        <w:rFonts w:ascii="Symbol" w:hAnsi="Symbol" w:hint="default"/>
      </w:rPr>
    </w:lvl>
    <w:lvl w:ilvl="4" w:tplc="1C090003" w:tentative="1">
      <w:start w:val="1"/>
      <w:numFmt w:val="bullet"/>
      <w:lvlText w:val="o"/>
      <w:lvlJc w:val="left"/>
      <w:pPr>
        <w:ind w:left="4260" w:hanging="360"/>
      </w:pPr>
      <w:rPr>
        <w:rFonts w:ascii="Courier New" w:hAnsi="Courier New" w:cs="Courier New" w:hint="default"/>
      </w:rPr>
    </w:lvl>
    <w:lvl w:ilvl="5" w:tplc="1C090005" w:tentative="1">
      <w:start w:val="1"/>
      <w:numFmt w:val="bullet"/>
      <w:lvlText w:val=""/>
      <w:lvlJc w:val="left"/>
      <w:pPr>
        <w:ind w:left="4980" w:hanging="360"/>
      </w:pPr>
      <w:rPr>
        <w:rFonts w:ascii="Wingdings" w:hAnsi="Wingdings" w:hint="default"/>
      </w:rPr>
    </w:lvl>
    <w:lvl w:ilvl="6" w:tplc="1C090001" w:tentative="1">
      <w:start w:val="1"/>
      <w:numFmt w:val="bullet"/>
      <w:lvlText w:val=""/>
      <w:lvlJc w:val="left"/>
      <w:pPr>
        <w:ind w:left="5700" w:hanging="360"/>
      </w:pPr>
      <w:rPr>
        <w:rFonts w:ascii="Symbol" w:hAnsi="Symbol" w:hint="default"/>
      </w:rPr>
    </w:lvl>
    <w:lvl w:ilvl="7" w:tplc="1C090003" w:tentative="1">
      <w:start w:val="1"/>
      <w:numFmt w:val="bullet"/>
      <w:lvlText w:val="o"/>
      <w:lvlJc w:val="left"/>
      <w:pPr>
        <w:ind w:left="6420" w:hanging="360"/>
      </w:pPr>
      <w:rPr>
        <w:rFonts w:ascii="Courier New" w:hAnsi="Courier New" w:cs="Courier New" w:hint="default"/>
      </w:rPr>
    </w:lvl>
    <w:lvl w:ilvl="8" w:tplc="1C090005" w:tentative="1">
      <w:start w:val="1"/>
      <w:numFmt w:val="bullet"/>
      <w:lvlText w:val=""/>
      <w:lvlJc w:val="left"/>
      <w:pPr>
        <w:ind w:left="7140" w:hanging="360"/>
      </w:pPr>
      <w:rPr>
        <w:rFonts w:ascii="Wingdings" w:hAnsi="Wingdings" w:hint="default"/>
      </w:rPr>
    </w:lvl>
  </w:abstractNum>
  <w:abstractNum w:abstractNumId="10">
    <w:nsid w:val="52472CE8"/>
    <w:multiLevelType w:val="hybridMultilevel"/>
    <w:tmpl w:val="D4B4BD72"/>
    <w:lvl w:ilvl="0" w:tplc="998ACA26">
      <w:start w:val="1"/>
      <w:numFmt w:val="lowerLetter"/>
      <w:lvlText w:val="%1)"/>
      <w:lvlJc w:val="left"/>
      <w:pPr>
        <w:ind w:left="123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7650FF6"/>
    <w:multiLevelType w:val="hybridMultilevel"/>
    <w:tmpl w:val="0FA8DF86"/>
    <w:lvl w:ilvl="0" w:tplc="154C4F42">
      <w:start w:val="6"/>
      <w:numFmt w:val="bullet"/>
      <w:lvlText w:val="-"/>
      <w:lvlJc w:val="left"/>
      <w:pPr>
        <w:ind w:left="1800" w:hanging="360"/>
      </w:pPr>
      <w:rPr>
        <w:rFonts w:ascii="Arial" w:eastAsiaTheme="minorEastAsia"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5A8E450C"/>
    <w:multiLevelType w:val="hybridMultilevel"/>
    <w:tmpl w:val="60B475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ADE2E39"/>
    <w:multiLevelType w:val="hybridMultilevel"/>
    <w:tmpl w:val="E1E219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5AE7245D"/>
    <w:multiLevelType w:val="hybridMultilevel"/>
    <w:tmpl w:val="9196A3A6"/>
    <w:lvl w:ilvl="0" w:tplc="CF684252">
      <w:start w:val="2"/>
      <w:numFmt w:val="lowerLetter"/>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nsid w:val="5FC84D9C"/>
    <w:multiLevelType w:val="hybridMultilevel"/>
    <w:tmpl w:val="B4664BB8"/>
    <w:lvl w:ilvl="0" w:tplc="7B9EF014">
      <w:start w:val="6"/>
      <w:numFmt w:val="bullet"/>
      <w:lvlText w:val="-"/>
      <w:lvlJc w:val="left"/>
      <w:pPr>
        <w:ind w:left="1069" w:hanging="360"/>
      </w:pPr>
      <w:rPr>
        <w:rFonts w:ascii="Arial" w:eastAsiaTheme="minorEastAsia" w:hAnsi="Arial" w:cs="Aria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nsid w:val="606C58AF"/>
    <w:multiLevelType w:val="hybridMultilevel"/>
    <w:tmpl w:val="FE28D842"/>
    <w:lvl w:ilvl="0" w:tplc="0AF47AAA">
      <w:numFmt w:val="bullet"/>
      <w:lvlText w:val="•"/>
      <w:lvlJc w:val="left"/>
      <w:pPr>
        <w:ind w:left="2160" w:hanging="360"/>
      </w:pPr>
      <w:rPr>
        <w:rFonts w:ascii="Arial" w:eastAsiaTheme="minorEastAsia"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692A3766"/>
    <w:multiLevelType w:val="hybridMultilevel"/>
    <w:tmpl w:val="D79C0976"/>
    <w:lvl w:ilvl="0" w:tplc="767ACA50">
      <w:start w:val="1"/>
      <w:numFmt w:val="lowerLetter"/>
      <w:lvlText w:val="(%1)"/>
      <w:lvlJc w:val="left"/>
      <w:pPr>
        <w:ind w:left="713" w:hanging="855"/>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8">
    <w:nsid w:val="6BAE5081"/>
    <w:multiLevelType w:val="hybridMultilevel"/>
    <w:tmpl w:val="E89661AA"/>
    <w:lvl w:ilvl="0" w:tplc="75F00B9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C735761"/>
    <w:multiLevelType w:val="hybridMultilevel"/>
    <w:tmpl w:val="C704969A"/>
    <w:lvl w:ilvl="0" w:tplc="1C090003">
      <w:start w:val="1"/>
      <w:numFmt w:val="bullet"/>
      <w:lvlText w:val="o"/>
      <w:lvlJc w:val="left"/>
      <w:pPr>
        <w:ind w:left="2988" w:hanging="360"/>
      </w:pPr>
      <w:rPr>
        <w:rFonts w:ascii="Courier New" w:hAnsi="Courier New" w:cs="Courier New" w:hint="default"/>
      </w:rPr>
    </w:lvl>
    <w:lvl w:ilvl="1" w:tplc="1C090003" w:tentative="1">
      <w:start w:val="1"/>
      <w:numFmt w:val="bullet"/>
      <w:lvlText w:val="o"/>
      <w:lvlJc w:val="left"/>
      <w:pPr>
        <w:ind w:left="3708" w:hanging="360"/>
      </w:pPr>
      <w:rPr>
        <w:rFonts w:ascii="Courier New" w:hAnsi="Courier New" w:cs="Courier New" w:hint="default"/>
      </w:rPr>
    </w:lvl>
    <w:lvl w:ilvl="2" w:tplc="1C090005" w:tentative="1">
      <w:start w:val="1"/>
      <w:numFmt w:val="bullet"/>
      <w:lvlText w:val=""/>
      <w:lvlJc w:val="left"/>
      <w:pPr>
        <w:ind w:left="4428" w:hanging="360"/>
      </w:pPr>
      <w:rPr>
        <w:rFonts w:ascii="Wingdings" w:hAnsi="Wingdings" w:hint="default"/>
      </w:rPr>
    </w:lvl>
    <w:lvl w:ilvl="3" w:tplc="1C090001" w:tentative="1">
      <w:start w:val="1"/>
      <w:numFmt w:val="bullet"/>
      <w:lvlText w:val=""/>
      <w:lvlJc w:val="left"/>
      <w:pPr>
        <w:ind w:left="5148" w:hanging="360"/>
      </w:pPr>
      <w:rPr>
        <w:rFonts w:ascii="Symbol" w:hAnsi="Symbol" w:hint="default"/>
      </w:rPr>
    </w:lvl>
    <w:lvl w:ilvl="4" w:tplc="1C090003" w:tentative="1">
      <w:start w:val="1"/>
      <w:numFmt w:val="bullet"/>
      <w:lvlText w:val="o"/>
      <w:lvlJc w:val="left"/>
      <w:pPr>
        <w:ind w:left="5868" w:hanging="360"/>
      </w:pPr>
      <w:rPr>
        <w:rFonts w:ascii="Courier New" w:hAnsi="Courier New" w:cs="Courier New" w:hint="default"/>
      </w:rPr>
    </w:lvl>
    <w:lvl w:ilvl="5" w:tplc="1C090005" w:tentative="1">
      <w:start w:val="1"/>
      <w:numFmt w:val="bullet"/>
      <w:lvlText w:val=""/>
      <w:lvlJc w:val="left"/>
      <w:pPr>
        <w:ind w:left="6588" w:hanging="360"/>
      </w:pPr>
      <w:rPr>
        <w:rFonts w:ascii="Wingdings" w:hAnsi="Wingdings" w:hint="default"/>
      </w:rPr>
    </w:lvl>
    <w:lvl w:ilvl="6" w:tplc="1C090001" w:tentative="1">
      <w:start w:val="1"/>
      <w:numFmt w:val="bullet"/>
      <w:lvlText w:val=""/>
      <w:lvlJc w:val="left"/>
      <w:pPr>
        <w:ind w:left="7308" w:hanging="360"/>
      </w:pPr>
      <w:rPr>
        <w:rFonts w:ascii="Symbol" w:hAnsi="Symbol" w:hint="default"/>
      </w:rPr>
    </w:lvl>
    <w:lvl w:ilvl="7" w:tplc="1C090003" w:tentative="1">
      <w:start w:val="1"/>
      <w:numFmt w:val="bullet"/>
      <w:lvlText w:val="o"/>
      <w:lvlJc w:val="left"/>
      <w:pPr>
        <w:ind w:left="8028" w:hanging="360"/>
      </w:pPr>
      <w:rPr>
        <w:rFonts w:ascii="Courier New" w:hAnsi="Courier New" w:cs="Courier New" w:hint="default"/>
      </w:rPr>
    </w:lvl>
    <w:lvl w:ilvl="8" w:tplc="1C090005" w:tentative="1">
      <w:start w:val="1"/>
      <w:numFmt w:val="bullet"/>
      <w:lvlText w:val=""/>
      <w:lvlJc w:val="left"/>
      <w:pPr>
        <w:ind w:left="8748" w:hanging="360"/>
      </w:pPr>
      <w:rPr>
        <w:rFonts w:ascii="Wingdings" w:hAnsi="Wingdings" w:hint="default"/>
      </w:rPr>
    </w:lvl>
  </w:abstractNum>
  <w:abstractNum w:abstractNumId="20">
    <w:nsid w:val="73DF152E"/>
    <w:multiLevelType w:val="hybridMultilevel"/>
    <w:tmpl w:val="AEE872E2"/>
    <w:lvl w:ilvl="0" w:tplc="FB44F64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74B227BC"/>
    <w:multiLevelType w:val="hybridMultilevel"/>
    <w:tmpl w:val="257C7E58"/>
    <w:lvl w:ilvl="0" w:tplc="1C090001">
      <w:start w:val="1"/>
      <w:numFmt w:val="bullet"/>
      <w:lvlText w:val=""/>
      <w:lvlJc w:val="left"/>
      <w:pPr>
        <w:ind w:left="1531" w:hanging="360"/>
      </w:pPr>
      <w:rPr>
        <w:rFonts w:ascii="Symbol" w:hAnsi="Symbol" w:hint="default"/>
      </w:rPr>
    </w:lvl>
    <w:lvl w:ilvl="1" w:tplc="1C090003" w:tentative="1">
      <w:start w:val="1"/>
      <w:numFmt w:val="bullet"/>
      <w:lvlText w:val="o"/>
      <w:lvlJc w:val="left"/>
      <w:pPr>
        <w:ind w:left="2251" w:hanging="360"/>
      </w:pPr>
      <w:rPr>
        <w:rFonts w:ascii="Courier New" w:hAnsi="Courier New" w:cs="Courier New" w:hint="default"/>
      </w:rPr>
    </w:lvl>
    <w:lvl w:ilvl="2" w:tplc="1C090005" w:tentative="1">
      <w:start w:val="1"/>
      <w:numFmt w:val="bullet"/>
      <w:lvlText w:val=""/>
      <w:lvlJc w:val="left"/>
      <w:pPr>
        <w:ind w:left="2971" w:hanging="360"/>
      </w:pPr>
      <w:rPr>
        <w:rFonts w:ascii="Wingdings" w:hAnsi="Wingdings" w:hint="default"/>
      </w:rPr>
    </w:lvl>
    <w:lvl w:ilvl="3" w:tplc="1C090001" w:tentative="1">
      <w:start w:val="1"/>
      <w:numFmt w:val="bullet"/>
      <w:lvlText w:val=""/>
      <w:lvlJc w:val="left"/>
      <w:pPr>
        <w:ind w:left="3691" w:hanging="360"/>
      </w:pPr>
      <w:rPr>
        <w:rFonts w:ascii="Symbol" w:hAnsi="Symbol" w:hint="default"/>
      </w:rPr>
    </w:lvl>
    <w:lvl w:ilvl="4" w:tplc="1C090003" w:tentative="1">
      <w:start w:val="1"/>
      <w:numFmt w:val="bullet"/>
      <w:lvlText w:val="o"/>
      <w:lvlJc w:val="left"/>
      <w:pPr>
        <w:ind w:left="4411" w:hanging="360"/>
      </w:pPr>
      <w:rPr>
        <w:rFonts w:ascii="Courier New" w:hAnsi="Courier New" w:cs="Courier New" w:hint="default"/>
      </w:rPr>
    </w:lvl>
    <w:lvl w:ilvl="5" w:tplc="1C090005" w:tentative="1">
      <w:start w:val="1"/>
      <w:numFmt w:val="bullet"/>
      <w:lvlText w:val=""/>
      <w:lvlJc w:val="left"/>
      <w:pPr>
        <w:ind w:left="5131" w:hanging="360"/>
      </w:pPr>
      <w:rPr>
        <w:rFonts w:ascii="Wingdings" w:hAnsi="Wingdings" w:hint="default"/>
      </w:rPr>
    </w:lvl>
    <w:lvl w:ilvl="6" w:tplc="1C090001" w:tentative="1">
      <w:start w:val="1"/>
      <w:numFmt w:val="bullet"/>
      <w:lvlText w:val=""/>
      <w:lvlJc w:val="left"/>
      <w:pPr>
        <w:ind w:left="5851" w:hanging="360"/>
      </w:pPr>
      <w:rPr>
        <w:rFonts w:ascii="Symbol" w:hAnsi="Symbol" w:hint="default"/>
      </w:rPr>
    </w:lvl>
    <w:lvl w:ilvl="7" w:tplc="1C090003" w:tentative="1">
      <w:start w:val="1"/>
      <w:numFmt w:val="bullet"/>
      <w:lvlText w:val="o"/>
      <w:lvlJc w:val="left"/>
      <w:pPr>
        <w:ind w:left="6571" w:hanging="360"/>
      </w:pPr>
      <w:rPr>
        <w:rFonts w:ascii="Courier New" w:hAnsi="Courier New" w:cs="Courier New" w:hint="default"/>
      </w:rPr>
    </w:lvl>
    <w:lvl w:ilvl="8" w:tplc="1C090005" w:tentative="1">
      <w:start w:val="1"/>
      <w:numFmt w:val="bullet"/>
      <w:lvlText w:val=""/>
      <w:lvlJc w:val="left"/>
      <w:pPr>
        <w:ind w:left="7291" w:hanging="360"/>
      </w:pPr>
      <w:rPr>
        <w:rFonts w:ascii="Wingdings" w:hAnsi="Wingdings" w:hint="default"/>
      </w:rPr>
    </w:lvl>
  </w:abstractNum>
  <w:abstractNum w:abstractNumId="22">
    <w:nsid w:val="775711B1"/>
    <w:multiLevelType w:val="hybridMultilevel"/>
    <w:tmpl w:val="110A0AE6"/>
    <w:lvl w:ilvl="0" w:tplc="28CC6CD2">
      <w:start w:val="1"/>
      <w:numFmt w:val="lowerRoman"/>
      <w:lvlText w:val="(%1)"/>
      <w:lvlJc w:val="left"/>
      <w:pPr>
        <w:ind w:left="1155" w:hanging="72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3">
    <w:nsid w:val="7AD50C69"/>
    <w:multiLevelType w:val="hybridMultilevel"/>
    <w:tmpl w:val="9FC24E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C371D1E"/>
    <w:multiLevelType w:val="hybridMultilevel"/>
    <w:tmpl w:val="8D8CC2FE"/>
    <w:lvl w:ilvl="0" w:tplc="0AF47AAA">
      <w:numFmt w:val="bullet"/>
      <w:lvlText w:val="•"/>
      <w:lvlJc w:val="left"/>
      <w:pPr>
        <w:ind w:left="2160" w:hanging="360"/>
      </w:pPr>
      <w:rPr>
        <w:rFonts w:ascii="Arial" w:eastAsiaTheme="minorEastAsia"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7D9B7206"/>
    <w:multiLevelType w:val="hybridMultilevel"/>
    <w:tmpl w:val="6526BB1E"/>
    <w:lvl w:ilvl="0" w:tplc="0AF47AAA">
      <w:numFmt w:val="bullet"/>
      <w:lvlText w:val="•"/>
      <w:lvlJc w:val="left"/>
      <w:pPr>
        <w:ind w:left="2055" w:hanging="615"/>
      </w:pPr>
      <w:rPr>
        <w:rFonts w:ascii="Arial" w:eastAsiaTheme="minorEastAsia" w:hAnsi="Arial" w:cs="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7EED1077"/>
    <w:multiLevelType w:val="hybridMultilevel"/>
    <w:tmpl w:val="CE1A341A"/>
    <w:lvl w:ilvl="0" w:tplc="5A1E9C6A">
      <w:start w:val="1"/>
      <w:numFmt w:val="decimal"/>
      <w:lvlText w:val="(%1)"/>
      <w:lvlJc w:val="left"/>
      <w:pPr>
        <w:ind w:left="1441" w:hanging="570"/>
      </w:pPr>
      <w:rPr>
        <w:rFonts w:hint="default"/>
        <w:b/>
      </w:rPr>
    </w:lvl>
    <w:lvl w:ilvl="1" w:tplc="04090019">
      <w:start w:val="1"/>
      <w:numFmt w:val="lowerLetter"/>
      <w:lvlText w:val="%2."/>
      <w:lvlJc w:val="left"/>
      <w:pPr>
        <w:ind w:left="1951" w:hanging="360"/>
      </w:pPr>
    </w:lvl>
    <w:lvl w:ilvl="2" w:tplc="0409001B">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7">
    <w:nsid w:val="7F553535"/>
    <w:multiLevelType w:val="hybridMultilevel"/>
    <w:tmpl w:val="FD6815AE"/>
    <w:lvl w:ilvl="0" w:tplc="16865E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2"/>
  </w:num>
  <w:num w:numId="3">
    <w:abstractNumId w:val="16"/>
  </w:num>
  <w:num w:numId="4">
    <w:abstractNumId w:val="24"/>
  </w:num>
  <w:num w:numId="5">
    <w:abstractNumId w:val="5"/>
  </w:num>
  <w:num w:numId="6">
    <w:abstractNumId w:val="19"/>
  </w:num>
  <w:num w:numId="7">
    <w:abstractNumId w:val="13"/>
  </w:num>
  <w:num w:numId="8">
    <w:abstractNumId w:val="4"/>
  </w:num>
  <w:num w:numId="9">
    <w:abstractNumId w:val="22"/>
  </w:num>
  <w:num w:numId="10">
    <w:abstractNumId w:val="21"/>
  </w:num>
  <w:num w:numId="11">
    <w:abstractNumId w:val="6"/>
  </w:num>
  <w:num w:numId="12">
    <w:abstractNumId w:val="0"/>
  </w:num>
  <w:num w:numId="13">
    <w:abstractNumId w:val="12"/>
  </w:num>
  <w:num w:numId="14">
    <w:abstractNumId w:val="18"/>
  </w:num>
  <w:num w:numId="15">
    <w:abstractNumId w:val="11"/>
  </w:num>
  <w:num w:numId="16">
    <w:abstractNumId w:val="15"/>
  </w:num>
  <w:num w:numId="17">
    <w:abstractNumId w:val="7"/>
  </w:num>
  <w:num w:numId="18">
    <w:abstractNumId w:val="23"/>
  </w:num>
  <w:num w:numId="19">
    <w:abstractNumId w:val="27"/>
  </w:num>
  <w:num w:numId="20">
    <w:abstractNumId w:val="14"/>
  </w:num>
  <w:num w:numId="21">
    <w:abstractNumId w:val="1"/>
  </w:num>
  <w:num w:numId="22">
    <w:abstractNumId w:val="20"/>
  </w:num>
  <w:num w:numId="23">
    <w:abstractNumId w:val="3"/>
  </w:num>
  <w:num w:numId="24">
    <w:abstractNumId w:val="9"/>
  </w:num>
  <w:num w:numId="25">
    <w:abstractNumId w:val="26"/>
  </w:num>
  <w:num w:numId="26">
    <w:abstractNumId w:val="10"/>
  </w:num>
  <w:num w:numId="27">
    <w:abstractNumId w:val="8"/>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0D62"/>
    <w:rsid w:val="000F14B7"/>
    <w:rsid w:val="000F15CB"/>
    <w:rsid w:val="000F29A6"/>
    <w:rsid w:val="000F76BD"/>
    <w:rsid w:val="001306CF"/>
    <w:rsid w:val="00130AB5"/>
    <w:rsid w:val="00131EBD"/>
    <w:rsid w:val="0013407E"/>
    <w:rsid w:val="001479DC"/>
    <w:rsid w:val="00150D31"/>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C7EC6"/>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B5BB2"/>
    <w:rsid w:val="002C441D"/>
    <w:rsid w:val="002C4526"/>
    <w:rsid w:val="002C5CB2"/>
    <w:rsid w:val="002D2977"/>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5599D"/>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2128"/>
    <w:rsid w:val="003F3453"/>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5D63"/>
    <w:rsid w:val="005318EE"/>
    <w:rsid w:val="00532531"/>
    <w:rsid w:val="0053349A"/>
    <w:rsid w:val="005346BD"/>
    <w:rsid w:val="005405F0"/>
    <w:rsid w:val="0054378D"/>
    <w:rsid w:val="0054442F"/>
    <w:rsid w:val="005524DD"/>
    <w:rsid w:val="00555FE7"/>
    <w:rsid w:val="00562AC9"/>
    <w:rsid w:val="0056444A"/>
    <w:rsid w:val="00566CB8"/>
    <w:rsid w:val="00567B24"/>
    <w:rsid w:val="00572AAB"/>
    <w:rsid w:val="00574F3A"/>
    <w:rsid w:val="0057781A"/>
    <w:rsid w:val="0057794C"/>
    <w:rsid w:val="00582974"/>
    <w:rsid w:val="00583FAC"/>
    <w:rsid w:val="005841AE"/>
    <w:rsid w:val="00591EAA"/>
    <w:rsid w:val="00592512"/>
    <w:rsid w:val="00593859"/>
    <w:rsid w:val="00593F66"/>
    <w:rsid w:val="0059674B"/>
    <w:rsid w:val="005A0BF1"/>
    <w:rsid w:val="005D5448"/>
    <w:rsid w:val="005D6F5F"/>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0A99"/>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57DA"/>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0DB6"/>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718F4"/>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2855"/>
    <w:rsid w:val="00926370"/>
    <w:rsid w:val="00926938"/>
    <w:rsid w:val="00930948"/>
    <w:rsid w:val="0093674F"/>
    <w:rsid w:val="009405C3"/>
    <w:rsid w:val="00941DB4"/>
    <w:rsid w:val="00942F9D"/>
    <w:rsid w:val="00945835"/>
    <w:rsid w:val="0095028B"/>
    <w:rsid w:val="009539AF"/>
    <w:rsid w:val="00957D66"/>
    <w:rsid w:val="00961E2F"/>
    <w:rsid w:val="00967259"/>
    <w:rsid w:val="009763BA"/>
    <w:rsid w:val="0097652F"/>
    <w:rsid w:val="00983EC7"/>
    <w:rsid w:val="00984F5B"/>
    <w:rsid w:val="00990CE2"/>
    <w:rsid w:val="00992AA4"/>
    <w:rsid w:val="00993310"/>
    <w:rsid w:val="009A0286"/>
    <w:rsid w:val="009A4739"/>
    <w:rsid w:val="009B0431"/>
    <w:rsid w:val="009C0DE1"/>
    <w:rsid w:val="009C268C"/>
    <w:rsid w:val="009C4E79"/>
    <w:rsid w:val="009D1D10"/>
    <w:rsid w:val="009F3B4B"/>
    <w:rsid w:val="009F7581"/>
    <w:rsid w:val="00A00E4A"/>
    <w:rsid w:val="00A01414"/>
    <w:rsid w:val="00A06B87"/>
    <w:rsid w:val="00A20540"/>
    <w:rsid w:val="00A2187D"/>
    <w:rsid w:val="00A21F7F"/>
    <w:rsid w:val="00A22ECB"/>
    <w:rsid w:val="00A2310B"/>
    <w:rsid w:val="00A33285"/>
    <w:rsid w:val="00A40246"/>
    <w:rsid w:val="00A4192C"/>
    <w:rsid w:val="00A44B9A"/>
    <w:rsid w:val="00A46CC2"/>
    <w:rsid w:val="00A477E3"/>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40FF"/>
    <w:rsid w:val="00B56227"/>
    <w:rsid w:val="00B60B8E"/>
    <w:rsid w:val="00B621B1"/>
    <w:rsid w:val="00B66DDB"/>
    <w:rsid w:val="00B75F59"/>
    <w:rsid w:val="00B85208"/>
    <w:rsid w:val="00B90502"/>
    <w:rsid w:val="00B93309"/>
    <w:rsid w:val="00B95F63"/>
    <w:rsid w:val="00B97BBF"/>
    <w:rsid w:val="00BA3834"/>
    <w:rsid w:val="00BA4847"/>
    <w:rsid w:val="00BA7CE2"/>
    <w:rsid w:val="00BB15C2"/>
    <w:rsid w:val="00BB5EA4"/>
    <w:rsid w:val="00BC06BD"/>
    <w:rsid w:val="00BC2F3F"/>
    <w:rsid w:val="00BC47EE"/>
    <w:rsid w:val="00BC7A99"/>
    <w:rsid w:val="00BD65B7"/>
    <w:rsid w:val="00BE0C5A"/>
    <w:rsid w:val="00BF339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2565D"/>
    <w:rsid w:val="00D444E5"/>
    <w:rsid w:val="00D477D9"/>
    <w:rsid w:val="00D57D61"/>
    <w:rsid w:val="00D74AD1"/>
    <w:rsid w:val="00D82AB0"/>
    <w:rsid w:val="00D91442"/>
    <w:rsid w:val="00D92CFD"/>
    <w:rsid w:val="00D92F30"/>
    <w:rsid w:val="00DA0998"/>
    <w:rsid w:val="00DA1E37"/>
    <w:rsid w:val="00DB1508"/>
    <w:rsid w:val="00DB21E7"/>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2ED6"/>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48EB"/>
    <w:rsid w:val="00EB53F1"/>
    <w:rsid w:val="00EB58BB"/>
    <w:rsid w:val="00EC4D69"/>
    <w:rsid w:val="00EC68CF"/>
    <w:rsid w:val="00EC7D66"/>
    <w:rsid w:val="00ED3E50"/>
    <w:rsid w:val="00ED4839"/>
    <w:rsid w:val="00EF5FED"/>
    <w:rsid w:val="00EF7862"/>
    <w:rsid w:val="00F00B6B"/>
    <w:rsid w:val="00F03617"/>
    <w:rsid w:val="00F05BC8"/>
    <w:rsid w:val="00F13CF6"/>
    <w:rsid w:val="00F13E46"/>
    <w:rsid w:val="00F25A2B"/>
    <w:rsid w:val="00F25E87"/>
    <w:rsid w:val="00F30EBA"/>
    <w:rsid w:val="00F33DA9"/>
    <w:rsid w:val="00F401E2"/>
    <w:rsid w:val="00F4106F"/>
    <w:rsid w:val="00F41319"/>
    <w:rsid w:val="00F449D5"/>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95BCA"/>
    <w:rsid w:val="00FA3CC6"/>
    <w:rsid w:val="00FA6022"/>
    <w:rsid w:val="00FB4378"/>
    <w:rsid w:val="00FC3F41"/>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0D31"/>
    <w:rPr>
      <w:sz w:val="16"/>
      <w:szCs w:val="16"/>
    </w:rPr>
  </w:style>
  <w:style w:type="paragraph" w:styleId="CommentText">
    <w:name w:val="annotation text"/>
    <w:basedOn w:val="Normal"/>
    <w:link w:val="CommentTextChar"/>
    <w:uiPriority w:val="99"/>
    <w:semiHidden/>
    <w:unhideWhenUsed/>
    <w:rsid w:val="00150D31"/>
    <w:pPr>
      <w:spacing w:line="240" w:lineRule="auto"/>
    </w:pPr>
    <w:rPr>
      <w:sz w:val="20"/>
      <w:szCs w:val="20"/>
    </w:rPr>
  </w:style>
  <w:style w:type="character" w:customStyle="1" w:styleId="CommentTextChar">
    <w:name w:val="Comment Text Char"/>
    <w:basedOn w:val="DefaultParagraphFont"/>
    <w:link w:val="CommentText"/>
    <w:uiPriority w:val="99"/>
    <w:semiHidden/>
    <w:rsid w:val="00150D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0D31"/>
    <w:rPr>
      <w:b/>
      <w:bCs/>
    </w:rPr>
  </w:style>
  <w:style w:type="character" w:customStyle="1" w:styleId="CommentSubjectChar">
    <w:name w:val="Comment Subject Char"/>
    <w:basedOn w:val="CommentTextChar"/>
    <w:link w:val="CommentSubject"/>
    <w:uiPriority w:val="99"/>
    <w:semiHidden/>
    <w:rsid w:val="00150D31"/>
    <w:rPr>
      <w:rFonts w:eastAsiaTheme="minorEastAsia"/>
      <w:b/>
      <w:bCs/>
      <w:sz w:val="20"/>
      <w:szCs w:val="20"/>
    </w:rPr>
  </w:style>
  <w:style w:type="paragraph" w:customStyle="1" w:styleId="Default">
    <w:name w:val="Default"/>
    <w:rsid w:val="00593F66"/>
    <w:pPr>
      <w:autoSpaceDE w:val="0"/>
      <w:autoSpaceDN w:val="0"/>
      <w:adjustRightInd w:val="0"/>
      <w:spacing w:after="0" w:line="240" w:lineRule="auto"/>
    </w:pPr>
    <w:rPr>
      <w:rFonts w:ascii="Times New Roman" w:hAnsi="Times New Roman" w:cs="Times New Roman"/>
      <w:color w:val="000000"/>
      <w:sz w:val="24"/>
      <w:szCs w:val="24"/>
      <w:lang w:val="en-ZA"/>
    </w:rPr>
  </w:style>
  <w:style w:type="table" w:customStyle="1" w:styleId="GridTable1LightAccent1">
    <w:name w:val="Grid Table 1 Light Accent 1"/>
    <w:basedOn w:val="TableNormal"/>
    <w:uiPriority w:val="46"/>
    <w:rsid w:val="00922855"/>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0D31"/>
    <w:rPr>
      <w:sz w:val="16"/>
      <w:szCs w:val="16"/>
    </w:rPr>
  </w:style>
  <w:style w:type="paragraph" w:styleId="CommentText">
    <w:name w:val="annotation text"/>
    <w:basedOn w:val="Normal"/>
    <w:link w:val="CommentTextChar"/>
    <w:uiPriority w:val="99"/>
    <w:semiHidden/>
    <w:unhideWhenUsed/>
    <w:rsid w:val="00150D31"/>
    <w:pPr>
      <w:spacing w:line="240" w:lineRule="auto"/>
    </w:pPr>
    <w:rPr>
      <w:sz w:val="20"/>
      <w:szCs w:val="20"/>
    </w:rPr>
  </w:style>
  <w:style w:type="character" w:customStyle="1" w:styleId="CommentTextChar">
    <w:name w:val="Comment Text Char"/>
    <w:basedOn w:val="DefaultParagraphFont"/>
    <w:link w:val="CommentText"/>
    <w:uiPriority w:val="99"/>
    <w:semiHidden/>
    <w:rsid w:val="00150D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0D31"/>
    <w:rPr>
      <w:b/>
      <w:bCs/>
    </w:rPr>
  </w:style>
  <w:style w:type="character" w:customStyle="1" w:styleId="CommentSubjectChar">
    <w:name w:val="Comment Subject Char"/>
    <w:basedOn w:val="CommentTextChar"/>
    <w:link w:val="CommentSubject"/>
    <w:uiPriority w:val="99"/>
    <w:semiHidden/>
    <w:rsid w:val="00150D31"/>
    <w:rPr>
      <w:rFonts w:eastAsiaTheme="minorEastAsia"/>
      <w:b/>
      <w:bCs/>
      <w:sz w:val="20"/>
      <w:szCs w:val="20"/>
    </w:rPr>
  </w:style>
  <w:style w:type="paragraph" w:customStyle="1" w:styleId="Default">
    <w:name w:val="Default"/>
    <w:rsid w:val="00593F66"/>
    <w:pPr>
      <w:autoSpaceDE w:val="0"/>
      <w:autoSpaceDN w:val="0"/>
      <w:adjustRightInd w:val="0"/>
      <w:spacing w:after="0" w:line="240" w:lineRule="auto"/>
    </w:pPr>
    <w:rPr>
      <w:rFonts w:ascii="Times New Roman" w:hAnsi="Times New Roman" w:cs="Times New Roman"/>
      <w:color w:val="000000"/>
      <w:sz w:val="24"/>
      <w:szCs w:val="24"/>
      <w:lang w:val="en-ZA"/>
    </w:rPr>
  </w:style>
  <w:style w:type="table" w:customStyle="1" w:styleId="GridTable1LightAccent1">
    <w:name w:val="Grid Table 1 Light Accent 1"/>
    <w:basedOn w:val="TableNormal"/>
    <w:uiPriority w:val="46"/>
    <w:rsid w:val="00922855"/>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7B76-8513-4561-96C5-E56ADE37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2017-11-02T07:19:00Z</cp:lastPrinted>
  <dcterms:created xsi:type="dcterms:W3CDTF">2017-11-23T07:41:00Z</dcterms:created>
  <dcterms:modified xsi:type="dcterms:W3CDTF">2017-11-23T07:41:00Z</dcterms:modified>
</cp:coreProperties>
</file>