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8" w:rsidRPr="00DD3E68" w:rsidRDefault="00DD3E68" w:rsidP="00DD3E68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DD3E68" w:rsidRPr="00DD3E68" w:rsidRDefault="00DD3E68" w:rsidP="00DD3E68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ZA"/>
        </w:rPr>
      </w:pPr>
      <w:r w:rsidRPr="00DD3E68">
        <w:rPr>
          <w:rFonts w:ascii="Calibri" w:eastAsia="Calibri" w:hAnsi="Calibri" w:cs="Calibri"/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E68" w:rsidRPr="00DD3E68" w:rsidRDefault="00DD3E68" w:rsidP="00DD3E6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MINISTRY: PUBLIC SERVICE AND ADMINISTRATION</w:t>
      </w:r>
    </w:p>
    <w:p w:rsidR="00DD3E68" w:rsidRPr="00DD3E68" w:rsidRDefault="00DD3E68" w:rsidP="00DD3E68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REPUBLIC OF SOUTH AFRICA</w:t>
      </w: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>DATE:</w:t>
      </w: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30 SEPTEMBER 2022</w:t>
      </w: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  <w:t>3411</w:t>
      </w:r>
      <w:r w:rsidRPr="00DD3E68">
        <w:rPr>
          <w:rFonts w:ascii="Arial" w:eastAsia="Arial" w:hAnsi="Arial" w:cs="Arial"/>
          <w:b/>
          <w:color w:val="000000"/>
          <w:sz w:val="24"/>
          <w:szCs w:val="24"/>
          <w:lang w:eastAsia="en-ZA"/>
        </w:rPr>
        <w:tab/>
      </w:r>
    </w:p>
    <w:p w:rsidR="00DD3E68" w:rsidRPr="00DD3E68" w:rsidRDefault="00DD3E68" w:rsidP="00DD3E68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 xml:space="preserve">Dr M </w:t>
      </w:r>
      <w:proofErr w:type="spellStart"/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proofErr w:type="spellEnd"/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>Gondwe</w:t>
      </w:r>
      <w:proofErr w:type="spellEnd"/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Public Service and Administration</w:t>
      </w:r>
      <w:r w:rsidR="005E42B1" w:rsidRPr="00DD3E68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Pr="00DD3E68">
        <w:rPr>
          <w:rFonts w:ascii="Arial" w:hAnsi="Arial" w:cs="Arial"/>
          <w:sz w:val="24"/>
          <w:szCs w:val="24"/>
        </w:rPr>
        <w:instrText xml:space="preserve"> XE "</w:instrText>
      </w:r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instrText>Minister of Public Service and Administration</w:instrText>
      </w:r>
      <w:r w:rsidRPr="00DD3E68">
        <w:rPr>
          <w:rFonts w:ascii="Arial" w:hAnsi="Arial" w:cs="Arial"/>
          <w:sz w:val="24"/>
          <w:szCs w:val="24"/>
        </w:rPr>
        <w:instrText xml:space="preserve">" </w:instrText>
      </w:r>
      <w:r w:rsidR="005E42B1" w:rsidRPr="00DD3E68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Pr="00DD3E68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:rsidR="00DD3E68" w:rsidRPr="00DD3E68" w:rsidRDefault="00DD3E68" w:rsidP="00DD3E68">
      <w:pPr>
        <w:spacing w:before="240" w:after="0" w:line="240" w:lineRule="auto"/>
        <w:ind w:right="72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E68">
        <w:rPr>
          <w:rFonts w:ascii="Arial" w:eastAsia="Times New Roman" w:hAnsi="Arial" w:cs="Arial"/>
          <w:sz w:val="24"/>
          <w:szCs w:val="24"/>
          <w:lang w:val="en-US"/>
        </w:rPr>
        <w:t>(a) What (</w:t>
      </w:r>
      <w:proofErr w:type="spellStart"/>
      <w:r w:rsidRPr="00DD3E6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DD3E68">
        <w:rPr>
          <w:rFonts w:ascii="Arial" w:eastAsia="Times New Roman" w:hAnsi="Arial" w:cs="Arial"/>
          <w:sz w:val="24"/>
          <w:szCs w:val="24"/>
          <w:lang w:val="en-US"/>
        </w:rPr>
        <w:t>) total number of public servants were dismissed from employment in the (aa) 2019-20, (bb) 2020-21 and (cc) 2021-22 financial years and (ii) are the reasons that they were dismissed, (b) is the breakdown of the specified number of suspended public servants in each (</w:t>
      </w:r>
      <w:proofErr w:type="spellStart"/>
      <w:r w:rsidRPr="00DD3E6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DD3E68">
        <w:rPr>
          <w:rFonts w:ascii="Arial" w:eastAsia="Times New Roman" w:hAnsi="Arial" w:cs="Arial"/>
          <w:sz w:val="24"/>
          <w:szCs w:val="24"/>
          <w:lang w:val="en-US"/>
        </w:rPr>
        <w:t>) national and (ii) provincial department and (c) number of such public servants held senior positions within the Public Service?</w:t>
      </w:r>
      <w:r w:rsidRPr="00DD3E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D3E6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D3E68">
        <w:rPr>
          <w:rFonts w:ascii="Arial" w:eastAsia="Times New Roman" w:hAnsi="Arial" w:cs="Arial"/>
          <w:sz w:val="24"/>
          <w:szCs w:val="24"/>
          <w:lang w:val="en-US"/>
        </w:rPr>
        <w:tab/>
      </w:r>
      <w:r w:rsidR="006E0244">
        <w:rPr>
          <w:rFonts w:ascii="Arial" w:eastAsia="Times New Roman" w:hAnsi="Arial" w:cs="Arial"/>
          <w:sz w:val="24"/>
          <w:szCs w:val="24"/>
          <w:lang w:val="en-US"/>
        </w:rPr>
        <w:tab/>
      </w:r>
      <w:r w:rsidR="006E0244">
        <w:rPr>
          <w:rFonts w:ascii="Arial" w:eastAsia="Times New Roman" w:hAnsi="Arial" w:cs="Arial"/>
          <w:sz w:val="24"/>
          <w:szCs w:val="24"/>
          <w:lang w:val="en-US"/>
        </w:rPr>
        <w:tab/>
      </w:r>
      <w:r w:rsidR="006E0244">
        <w:rPr>
          <w:rFonts w:ascii="Arial" w:eastAsia="Times New Roman" w:hAnsi="Arial" w:cs="Arial"/>
          <w:sz w:val="24"/>
          <w:szCs w:val="24"/>
          <w:lang w:val="en-US"/>
        </w:rPr>
        <w:tab/>
      </w:r>
      <w:r w:rsidR="006E0244">
        <w:rPr>
          <w:rFonts w:ascii="Arial" w:eastAsia="Times New Roman" w:hAnsi="Arial" w:cs="Arial"/>
          <w:sz w:val="24"/>
          <w:szCs w:val="24"/>
          <w:lang w:val="en-US"/>
        </w:rPr>
        <w:tab/>
      </w:r>
      <w:r w:rsidR="006E02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D3E68">
        <w:rPr>
          <w:rFonts w:ascii="Arial" w:eastAsia="Times New Roman" w:hAnsi="Arial" w:cs="Arial"/>
          <w:b/>
          <w:sz w:val="24"/>
          <w:szCs w:val="24"/>
          <w:lang w:val="en-US"/>
        </w:rPr>
        <w:t>NW4211E</w:t>
      </w:r>
    </w:p>
    <w:p w:rsidR="00DD3E68" w:rsidRPr="00DD3E68" w:rsidRDefault="00DD3E68" w:rsidP="00DD3E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D3E68" w:rsidRPr="00DD3E68" w:rsidRDefault="006E0244" w:rsidP="00DD3E6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REPLY:</w:t>
      </w:r>
    </w:p>
    <w:p w:rsidR="00DD3E68" w:rsidRPr="00DD3E68" w:rsidRDefault="00DD3E68" w:rsidP="00DD3E6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DD3E68" w:rsidRPr="00DD3E68" w:rsidRDefault="00DD3E68" w:rsidP="00DD3E6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The total number of public servants who were dismissed from employment</w:t>
      </w:r>
      <w:r w:rsidRPr="00DD3E68">
        <w:rPr>
          <w:rFonts w:ascii="Arial" w:eastAsia="Arial" w:hAnsi="Arial" w:cs="Arial"/>
          <w:b/>
          <w:sz w:val="24"/>
          <w:szCs w:val="24"/>
          <w:lang w:eastAsia="en-ZA"/>
        </w:rPr>
        <w:t xml:space="preserve">: </w:t>
      </w:r>
    </w:p>
    <w:p w:rsidR="00DD3E68" w:rsidRPr="00DD3E68" w:rsidRDefault="00DD3E68" w:rsidP="00DD3E68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(</w:t>
      </w:r>
      <w:proofErr w:type="spellStart"/>
      <w:r w:rsidRPr="00DD3E68">
        <w:rPr>
          <w:rFonts w:ascii="Arial" w:eastAsia="Arial" w:hAnsi="Arial" w:cs="Arial"/>
          <w:sz w:val="24"/>
          <w:szCs w:val="24"/>
          <w:lang w:eastAsia="en-ZA"/>
        </w:rPr>
        <w:t>i</w:t>
      </w:r>
      <w:proofErr w:type="spellEnd"/>
      <w:r w:rsidRPr="00DD3E68">
        <w:rPr>
          <w:rFonts w:ascii="Arial" w:eastAsia="Arial" w:hAnsi="Arial" w:cs="Arial"/>
          <w:sz w:val="24"/>
          <w:szCs w:val="24"/>
          <w:lang w:eastAsia="en-ZA"/>
        </w:rPr>
        <w:t>) (</w:t>
      </w:r>
      <w:proofErr w:type="spellStart"/>
      <w:proofErr w:type="gramStart"/>
      <w:r w:rsidRPr="00DD3E68">
        <w:rPr>
          <w:rFonts w:ascii="Arial" w:eastAsia="Arial" w:hAnsi="Arial" w:cs="Arial"/>
          <w:sz w:val="24"/>
          <w:szCs w:val="24"/>
          <w:lang w:eastAsia="en-ZA"/>
        </w:rPr>
        <w:t>aa</w:t>
      </w:r>
      <w:proofErr w:type="spellEnd"/>
      <w:proofErr w:type="gramEnd"/>
      <w:r w:rsidRPr="00DD3E68">
        <w:rPr>
          <w:rFonts w:ascii="Arial" w:eastAsia="Arial" w:hAnsi="Arial" w:cs="Arial"/>
          <w:sz w:val="24"/>
          <w:szCs w:val="24"/>
          <w:lang w:eastAsia="en-ZA"/>
        </w:rPr>
        <w:t>)</w:t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  <w:t xml:space="preserve"> 2019-20 </w:t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  <w:t>2525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 xml:space="preserve">    (</w:t>
      </w:r>
      <w:proofErr w:type="gramStart"/>
      <w:r w:rsidRPr="00DD3E68">
        <w:rPr>
          <w:rFonts w:ascii="Arial" w:eastAsia="Arial" w:hAnsi="Arial" w:cs="Arial"/>
          <w:sz w:val="24"/>
          <w:szCs w:val="24"/>
          <w:lang w:eastAsia="en-ZA"/>
        </w:rPr>
        <w:t>bb</w:t>
      </w:r>
      <w:proofErr w:type="gramEnd"/>
      <w:r w:rsidRPr="00DD3E68">
        <w:rPr>
          <w:rFonts w:ascii="Arial" w:eastAsia="Arial" w:hAnsi="Arial" w:cs="Arial"/>
          <w:sz w:val="24"/>
          <w:szCs w:val="24"/>
          <w:lang w:eastAsia="en-ZA"/>
        </w:rPr>
        <w:t>)  2020-21</w:t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  <w:t>2295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 xml:space="preserve">    (cc)  2021-22</w:t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</w:r>
      <w:r w:rsidRPr="00DD3E68">
        <w:rPr>
          <w:rFonts w:ascii="Arial" w:eastAsia="Arial" w:hAnsi="Arial" w:cs="Arial"/>
          <w:sz w:val="24"/>
          <w:szCs w:val="24"/>
          <w:lang w:eastAsia="en-ZA"/>
        </w:rPr>
        <w:tab/>
        <w:t>3002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(ii)  Reason for dismissal: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5E42B1" w:rsidP="00DD3E68">
      <w:pPr>
        <w:spacing w:after="0" w:line="240" w:lineRule="auto"/>
        <w:ind w:left="1170" w:hanging="450"/>
        <w:contextualSpacing/>
      </w:pPr>
      <w:r w:rsidRPr="00DD3E68">
        <w:rPr>
          <w:rFonts w:ascii="Arial" w:eastAsia="Arial" w:hAnsi="Arial" w:cs="Arial"/>
          <w:sz w:val="24"/>
          <w:szCs w:val="24"/>
          <w:lang w:eastAsia="en-ZA"/>
        </w:rPr>
        <w:fldChar w:fldCharType="begin"/>
      </w:r>
      <w:r w:rsidR="00DD3E68" w:rsidRPr="00DD3E68">
        <w:rPr>
          <w:rFonts w:ascii="Arial" w:eastAsia="Arial" w:hAnsi="Arial" w:cs="Arial"/>
          <w:sz w:val="24"/>
          <w:szCs w:val="24"/>
          <w:lang w:eastAsia="en-ZA"/>
        </w:rPr>
        <w:instrText xml:space="preserve"> LINK Excel.Sheet.12 "C:\\Users\\nkosinathid\\AppData\\Local\\Microsoft\\Windows\\INetCache\\Content.Outlook\\LSS1N6AB\\Number of PS dismissed 2019-2022 2020-2021 2021-2022.xlsx" "Sheet1!R4C1:R15C4" \a \f 5 \h  \* MERGEFORMAT </w:instrText>
      </w:r>
      <w:r w:rsidRPr="00DD3E68">
        <w:rPr>
          <w:rFonts w:ascii="Arial" w:eastAsia="Arial" w:hAnsi="Arial" w:cs="Arial"/>
          <w:sz w:val="24"/>
          <w:szCs w:val="24"/>
          <w:lang w:eastAsia="en-ZA"/>
        </w:rPr>
        <w:fldChar w:fldCharType="separate"/>
      </w:r>
    </w:p>
    <w:tbl>
      <w:tblPr>
        <w:tblStyle w:val="TableGrid"/>
        <w:tblW w:w="8784" w:type="dxa"/>
        <w:tblLayout w:type="fixed"/>
        <w:tblLook w:val="04A0"/>
      </w:tblPr>
      <w:tblGrid>
        <w:gridCol w:w="3114"/>
        <w:gridCol w:w="1843"/>
        <w:gridCol w:w="2126"/>
        <w:gridCol w:w="1701"/>
      </w:tblGrid>
      <w:tr w:rsidR="00DD3E68" w:rsidRPr="00DD3E68" w:rsidTr="000E685D">
        <w:trPr>
          <w:trHeight w:val="270"/>
        </w:trPr>
        <w:tc>
          <w:tcPr>
            <w:tcW w:w="3114" w:type="dxa"/>
            <w:noWrap/>
          </w:tcPr>
          <w:p w:rsidR="00DD3E68" w:rsidRPr="00DD3E68" w:rsidRDefault="00DD3E68" w:rsidP="00DD3E68">
            <w:pPr>
              <w:ind w:left="1170" w:hanging="84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  <w:p w:rsidR="00DD3E68" w:rsidRPr="00DD3E68" w:rsidRDefault="00DD3E68" w:rsidP="00DD3E68">
            <w:pPr>
              <w:ind w:left="1170" w:hanging="1170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 xml:space="preserve">Reason for dismissal </w:t>
            </w:r>
          </w:p>
          <w:p w:rsidR="00DD3E68" w:rsidRPr="00DD3E68" w:rsidRDefault="00DD3E68" w:rsidP="00DD3E68">
            <w:pPr>
              <w:ind w:left="1170" w:hanging="84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</w:tcPr>
          <w:p w:rsidR="00DD3E68" w:rsidRPr="00DD3E68" w:rsidRDefault="00DD3E68" w:rsidP="00DD3E68">
            <w:pPr>
              <w:ind w:left="1170" w:hanging="91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</w:p>
          <w:p w:rsidR="00DD3E68" w:rsidRPr="00DD3E68" w:rsidRDefault="00DD3E68" w:rsidP="00DD3E68">
            <w:pPr>
              <w:ind w:left="1170" w:hanging="91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2019-2020</w:t>
            </w:r>
          </w:p>
        </w:tc>
        <w:tc>
          <w:tcPr>
            <w:tcW w:w="2126" w:type="dxa"/>
          </w:tcPr>
          <w:p w:rsidR="00DD3E68" w:rsidRPr="00DD3E68" w:rsidRDefault="00DD3E68" w:rsidP="00DD3E68">
            <w:pPr>
              <w:ind w:left="1170" w:hanging="85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</w:p>
          <w:p w:rsidR="00DD3E68" w:rsidRPr="00DD3E68" w:rsidRDefault="00DD3E68" w:rsidP="00DD3E68">
            <w:pPr>
              <w:ind w:left="1170" w:hanging="85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2020-2021</w:t>
            </w:r>
          </w:p>
        </w:tc>
        <w:tc>
          <w:tcPr>
            <w:tcW w:w="1701" w:type="dxa"/>
          </w:tcPr>
          <w:p w:rsidR="00DD3E68" w:rsidRPr="00DD3E68" w:rsidRDefault="00DD3E68" w:rsidP="00DD3E68">
            <w:pPr>
              <w:ind w:left="1170" w:hanging="88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</w:p>
          <w:p w:rsidR="00DD3E68" w:rsidRPr="00DD3E68" w:rsidRDefault="00DD3E68" w:rsidP="00DD3E68">
            <w:pPr>
              <w:ind w:left="1170" w:hanging="884"/>
              <w:contextualSpacing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2021-2022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Alcohol/Narcotic abuse</w:t>
            </w:r>
          </w:p>
        </w:tc>
        <w:tc>
          <w:tcPr>
            <w:tcW w:w="1843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2126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01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Criminal offence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Desertion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332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354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Dishonourable discharge</w:t>
            </w:r>
          </w:p>
        </w:tc>
        <w:tc>
          <w:tcPr>
            <w:tcW w:w="1843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2126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221</w:t>
            </w:r>
          </w:p>
        </w:tc>
        <w:tc>
          <w:tcPr>
            <w:tcW w:w="1701" w:type="dxa"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208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lastRenderedPageBreak/>
              <w:t>Falsifying documents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Insubordination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Misconduct not indicated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1,896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1,786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2,424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Perjury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Poor work performance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Professionally unqualified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D3E68" w:rsidRPr="00DD3E68" w:rsidTr="000E685D">
        <w:trPr>
          <w:trHeight w:val="270"/>
        </w:trPr>
        <w:tc>
          <w:tcPr>
            <w:tcW w:w="3114" w:type="dxa"/>
            <w:noWrap/>
            <w:hideMark/>
          </w:tcPr>
          <w:p w:rsidR="00DD3E68" w:rsidRPr="00DD3E68" w:rsidRDefault="00DD3E68" w:rsidP="00DD3E68">
            <w:pPr>
              <w:ind w:left="1170" w:hanging="111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Unsatisfactory attendance</w:t>
            </w:r>
          </w:p>
        </w:tc>
        <w:tc>
          <w:tcPr>
            <w:tcW w:w="1843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DD3E68" w:rsidRPr="00DD3E68" w:rsidRDefault="00DD3E68" w:rsidP="00DD3E68">
            <w:pPr>
              <w:ind w:left="1170" w:hanging="450"/>
              <w:contextualSpacing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sz w:val="24"/>
                <w:szCs w:val="24"/>
                <w:lang w:eastAsia="en-ZA"/>
              </w:rPr>
              <w:t>9</w:t>
            </w:r>
          </w:p>
        </w:tc>
      </w:tr>
      <w:tr w:rsidR="00DD3E68" w:rsidRPr="00DD3E68" w:rsidTr="000E685D">
        <w:trPr>
          <w:trHeight w:val="270"/>
        </w:trPr>
        <w:tc>
          <w:tcPr>
            <w:tcW w:w="8784" w:type="dxa"/>
            <w:gridSpan w:val="4"/>
            <w:noWrap/>
            <w:hideMark/>
          </w:tcPr>
          <w:p w:rsidR="00DD3E68" w:rsidRPr="00DD3E68" w:rsidRDefault="00DD3E68" w:rsidP="00DD3E68">
            <w:pPr>
              <w:ind w:left="1170" w:firstLine="1770"/>
              <w:contextualSpacing/>
              <w:rPr>
                <w:rFonts w:ascii="Arial" w:eastAsia="Arial" w:hAnsi="Arial" w:cs="Arial"/>
                <w:i/>
                <w:iCs/>
                <w:sz w:val="24"/>
                <w:szCs w:val="24"/>
                <w:lang w:eastAsia="en-ZA"/>
              </w:rPr>
            </w:pPr>
            <w:r w:rsidRPr="00DD3E68">
              <w:rPr>
                <w:rFonts w:ascii="Arial" w:eastAsia="Arial" w:hAnsi="Arial" w:cs="Arial"/>
                <w:i/>
                <w:iCs/>
                <w:sz w:val="24"/>
                <w:szCs w:val="24"/>
                <w:lang w:eastAsia="en-ZA"/>
              </w:rPr>
              <w:t>Data source: PERSAL</w:t>
            </w:r>
          </w:p>
        </w:tc>
      </w:tr>
    </w:tbl>
    <w:p w:rsidR="00DD3E68" w:rsidRPr="00DD3E68" w:rsidRDefault="005E42B1" w:rsidP="00DD3E68">
      <w:pPr>
        <w:spacing w:after="0" w:line="240" w:lineRule="auto"/>
        <w:ind w:left="1170" w:hanging="45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fldChar w:fldCharType="end"/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Breakdown of the specified number of suspended public servants:</w:t>
      </w:r>
    </w:p>
    <w:p w:rsidR="00DD3E68" w:rsidRPr="00DD3E68" w:rsidRDefault="00DD3E68" w:rsidP="00DD3E68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National Departments:</w:t>
      </w:r>
    </w:p>
    <w:p w:rsidR="00DD3E68" w:rsidRPr="00DD3E68" w:rsidRDefault="00DD3E68" w:rsidP="00DD3E68">
      <w:pPr>
        <w:spacing w:after="0" w:line="240" w:lineRule="auto"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8995" w:type="dxa"/>
        <w:tblLook w:val="04A0"/>
      </w:tblPr>
      <w:tblGrid>
        <w:gridCol w:w="2578"/>
        <w:gridCol w:w="1622"/>
        <w:gridCol w:w="2545"/>
        <w:gridCol w:w="2250"/>
      </w:tblGrid>
      <w:tr w:rsidR="00DD3E68" w:rsidRPr="00DD3E68" w:rsidTr="000E685D">
        <w:trPr>
          <w:trHeight w:val="114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Name of Departments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SMS Member (Level)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Number of Precautionary suspensions cases received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Number of Precautionary suspensions cases </w:t>
            </w:r>
            <w:proofErr w:type="spellStart"/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finalised</w:t>
            </w:r>
            <w:proofErr w:type="spellEnd"/>
          </w:p>
        </w:tc>
      </w:tr>
      <w:tr w:rsidR="00DD3E68" w:rsidRPr="00DD3E68" w:rsidTr="000E685D">
        <w:trPr>
          <w:trHeight w:val="80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Agriculture, Land reform and Rural Development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6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Basic Education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Civilian Secretariat for Police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58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Communications and Digital Technologies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73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Cooperative Governance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5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3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883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43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Correctional Services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28"/>
        </w:trPr>
        <w:tc>
          <w:tcPr>
            <w:tcW w:w="2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83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1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Defence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6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Employment Law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Forestry, Fisheries and the Environmental Affairs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73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Government Communications &amp; Information Systems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Government Pensions Administration Agency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5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Government Printing Works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6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Health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867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Higher Education and Training, Science &amp; Innovation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Home Affairs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4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1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54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Human Settlement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8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Independent police Investigative Directorate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13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International Relations and Cooperation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97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Justice and Constitutional Development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14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14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Military Veterans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Mineral Resources and Energy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National School of Government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14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National Treasury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03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National Prosecuting Authority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03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03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63"/>
        </w:trPr>
        <w:tc>
          <w:tcPr>
            <w:tcW w:w="2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Office of Chief Justice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3"/>
        </w:trPr>
        <w:tc>
          <w:tcPr>
            <w:tcW w:w="2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33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Planning , Monitoring and Evaluation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53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Public Enterprises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61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Public Service and Administration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13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Public Service Commission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84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Public Works and Infrastructure</w:t>
            </w:r>
          </w:p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Science  and Innovation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43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Small Business Development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Social Development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South African Police Service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Sports, Arts and Culture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Statistics South Africa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Tourism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9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Trade and Industry and Competition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Traditional Affairs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Transport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Water and Sanitation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1077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Women , Youth and Persons with Disabilities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lang w:val="en-US"/>
              </w:rPr>
              <w:t>The Presidency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99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3E6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</w:tr>
    </w:tbl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(ii) Provincial Departments: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7589" w:type="dxa"/>
        <w:tblLook w:val="04A0"/>
      </w:tblPr>
      <w:tblGrid>
        <w:gridCol w:w="1859"/>
        <w:gridCol w:w="2461"/>
        <w:gridCol w:w="1761"/>
        <w:gridCol w:w="1508"/>
      </w:tblGrid>
      <w:tr w:rsidR="00DD3E68" w:rsidRPr="00DD3E68" w:rsidTr="000E685D">
        <w:trPr>
          <w:trHeight w:val="102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Provinces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Provincial Departments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Number of Precautionary suspensions  received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SMS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841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Environmental Affairs and Tourism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8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3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2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6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85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 and Infrastructure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Rural Development and Agrarian Reform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2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Safety and Liaison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9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70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 Recreation,  Arts and Culture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15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35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34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1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42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DESTEA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403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3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1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4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4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Police, Roads and Transport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93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8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&amp; Infrastructure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7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66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Sport, Arts, Culture and Recreation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1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DD3E68" w:rsidRPr="00DD3E68" w:rsidTr="000E685D">
        <w:trPr>
          <w:trHeight w:val="559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9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0</w:t>
            </w:r>
          </w:p>
        </w:tc>
      </w:tr>
      <w:tr w:rsidR="00DD3E68" w:rsidRPr="00DD3E68" w:rsidTr="000E685D">
        <w:trPr>
          <w:trHeight w:val="6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 and Traditional Affairs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0 </w:t>
            </w:r>
          </w:p>
        </w:tc>
      </w:tr>
      <w:tr w:rsidR="00DD3E68" w:rsidRPr="00DD3E68" w:rsidTr="000E685D">
        <w:trPr>
          <w:trHeight w:val="40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0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D3E68" w:rsidRPr="00DD3E68" w:rsidTr="000E685D">
        <w:trPr>
          <w:trHeight w:val="63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E-Government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9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54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63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Infrastructure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D3E68" w:rsidRPr="00DD3E68" w:rsidTr="000E685D">
        <w:trPr>
          <w:trHeight w:val="4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4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Transport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3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, Culture and Recreation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46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DD3E68" w:rsidRPr="00DD3E68" w:rsidTr="000E685D">
        <w:trPr>
          <w:trHeight w:val="69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49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Arts and Culture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0    </w:t>
            </w:r>
          </w:p>
        </w:tc>
      </w:tr>
      <w:tr w:rsidR="00DD3E68" w:rsidRPr="00DD3E68" w:rsidTr="000E685D">
        <w:trPr>
          <w:trHeight w:val="71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88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Development, Tourism and Environmental Affairs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3E68" w:rsidRPr="00DD3E68" w:rsidTr="000E685D">
        <w:trPr>
          <w:trHeight w:val="34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D3E68" w:rsidRPr="00DD3E68" w:rsidTr="000E685D">
        <w:trPr>
          <w:trHeight w:val="40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49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3E68" w:rsidRPr="00DD3E68" w:rsidTr="000E685D">
        <w:trPr>
          <w:trHeight w:val="48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DD3E68" w:rsidRPr="00DD3E68" w:rsidTr="000E685D">
        <w:trPr>
          <w:trHeight w:val="4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 and Recreation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3E68" w:rsidRPr="00DD3E68" w:rsidTr="000E685D">
        <w:trPr>
          <w:trHeight w:val="64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3E68" w:rsidRPr="00DD3E68" w:rsidTr="000E685D">
        <w:trPr>
          <w:trHeight w:val="48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DD3E68" w:rsidRPr="00DD3E68" w:rsidTr="000E685D">
        <w:trPr>
          <w:trHeight w:val="60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and Rural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COGHSTA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3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4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88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Limpopo Depart. of Economic Development, Environment and Tourism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6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6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Infrastructure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Sports, Arts and Culture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3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Transport </w:t>
            </w:r>
            <w:proofErr w:type="gramStart"/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and  Community</w:t>
            </w:r>
            <w:proofErr w:type="gramEnd"/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Safety.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9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80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Rural Development, Land and Environment Affairs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00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Safety, Security and Liaison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00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Co-operative Governance and Traditional Affairs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05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Culture, Sports and recreation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75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70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6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28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0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Works, Roads and Transport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8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1156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Northern Cape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Agriculture, Environmental Affairs,  Rural Development and Land Reform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916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Cooperative Governance, Human Settlements and Traditional Affairs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39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8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Roads and Public Works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D3E68" w:rsidRPr="00DD3E68" w:rsidTr="000E685D">
        <w:trPr>
          <w:trHeight w:val="67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Sports and Arts and Culture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64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4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Transport, Safety and Liaison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7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13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 &amp; Rural development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3E68" w:rsidRPr="00DD3E68" w:rsidTr="000E685D">
        <w:trPr>
          <w:trHeight w:val="705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Arts , Culture Sports and Recreation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7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Corporative Governance &amp; Traditional Affairs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 and Transport Management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93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, Environment, Conservation &amp; Tourism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166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3E68" w:rsidRPr="00DD3E68" w:rsidTr="000E685D">
        <w:trPr>
          <w:trHeight w:val="4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Human Settlements (New department)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78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Office of 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0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Public Works and Roads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2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report</w:t>
            </w:r>
          </w:p>
        </w:tc>
      </w:tr>
      <w:tr w:rsidR="00DD3E68" w:rsidRPr="00DD3E68" w:rsidTr="000E685D">
        <w:trPr>
          <w:trHeight w:val="4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DD3E68" w:rsidRPr="00DD3E68" w:rsidTr="000E685D">
        <w:trPr>
          <w:trHeight w:val="570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hideMark/>
          </w:tcPr>
          <w:p w:rsidR="00DD3E68" w:rsidRPr="00DD3E68" w:rsidRDefault="00DD3E68" w:rsidP="00DD3E6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Western Cape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6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Community Safety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DD3E68" w:rsidRPr="00DD3E68" w:rsidTr="000E685D">
        <w:trPr>
          <w:trHeight w:val="4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Cultural Affairs and Sport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73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Economic Development and Tourism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71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D3E68" w:rsidRPr="00DD3E68" w:rsidTr="000E685D">
        <w:trPr>
          <w:trHeight w:val="66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Environmental and Development Planning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4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Human Settlements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5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Local Government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34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Provincial Treasury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457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Social Development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25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The Premier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69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Transport and Public Works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DD3E68" w:rsidRPr="00DD3E68" w:rsidTr="000E685D">
        <w:trPr>
          <w:trHeight w:val="51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E68" w:rsidRPr="00DD3E68" w:rsidRDefault="00DD3E68" w:rsidP="00DD3E6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3E68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n-US"/>
              </w:rPr>
              <w:t>38</w:t>
            </w:r>
          </w:p>
        </w:tc>
      </w:tr>
    </w:tbl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 xml:space="preserve">Number of SMS on precautionary suspension: </w:t>
      </w:r>
      <w:r w:rsidRPr="00DD3E68">
        <w:rPr>
          <w:rFonts w:ascii="Arial" w:eastAsia="Arial" w:hAnsi="Arial" w:cs="Arial"/>
          <w:b/>
          <w:sz w:val="24"/>
          <w:szCs w:val="24"/>
          <w:lang w:eastAsia="en-ZA"/>
        </w:rPr>
        <w:t>57</w:t>
      </w:r>
    </w:p>
    <w:p w:rsidR="00DD3E68" w:rsidRPr="00DD3E68" w:rsidRDefault="00DD3E68" w:rsidP="00DD3E68">
      <w:pPr>
        <w:spacing w:after="0" w:line="240" w:lineRule="auto"/>
        <w:ind w:left="720"/>
        <w:contextualSpacing/>
        <w:rPr>
          <w:rFonts w:ascii="Arial" w:eastAsia="Arial" w:hAnsi="Arial" w:cs="Arial"/>
          <w:sz w:val="24"/>
          <w:szCs w:val="24"/>
          <w:lang w:eastAsia="en-ZA"/>
        </w:rPr>
      </w:pPr>
    </w:p>
    <w:p w:rsidR="00DD3E68" w:rsidRPr="00DD3E68" w:rsidRDefault="00DD3E68" w:rsidP="00DD3E6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en-ZA"/>
        </w:rPr>
      </w:pPr>
      <w:r w:rsidRPr="00DD3E68">
        <w:rPr>
          <w:rFonts w:ascii="Arial" w:eastAsia="Arial" w:hAnsi="Arial" w:cs="Arial"/>
          <w:sz w:val="24"/>
          <w:szCs w:val="24"/>
          <w:lang w:eastAsia="en-ZA"/>
        </w:rPr>
        <w:t>NOTE: The information used for this response was obtained from the FOSAD reports sent to the DPSA as at 30 June 2022.</w:t>
      </w:r>
    </w:p>
    <w:p w:rsidR="00171970" w:rsidRDefault="00DA7335"/>
    <w:p w:rsidR="006E0244" w:rsidRPr="006E0244" w:rsidRDefault="006E0244">
      <w:pPr>
        <w:rPr>
          <w:rFonts w:ascii="Arial" w:hAnsi="Arial" w:cs="Arial"/>
          <w:sz w:val="24"/>
          <w:szCs w:val="24"/>
        </w:rPr>
      </w:pPr>
      <w:r w:rsidRPr="006E0244">
        <w:rPr>
          <w:rFonts w:ascii="Arial" w:hAnsi="Arial" w:cs="Arial"/>
          <w:sz w:val="24"/>
          <w:szCs w:val="24"/>
        </w:rPr>
        <w:t xml:space="preserve">End </w:t>
      </w:r>
    </w:p>
    <w:sectPr w:rsidR="006E0244" w:rsidRPr="006E0244" w:rsidSect="005E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4E8"/>
    <w:multiLevelType w:val="hybridMultilevel"/>
    <w:tmpl w:val="AE18501A"/>
    <w:lvl w:ilvl="0" w:tplc="731A3D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506"/>
    <w:multiLevelType w:val="hybridMultilevel"/>
    <w:tmpl w:val="81C49D26"/>
    <w:lvl w:ilvl="0" w:tplc="709A21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D3E68"/>
    <w:rsid w:val="00194E64"/>
    <w:rsid w:val="001D0BAA"/>
    <w:rsid w:val="005E42B1"/>
    <w:rsid w:val="006E0244"/>
    <w:rsid w:val="00DA7335"/>
    <w:rsid w:val="00DD3E68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E6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DD3E68"/>
    <w:rPr>
      <w:rFonts w:ascii="Calibri" w:eastAsia="Calibri" w:hAnsi="Calibri" w:cs="Calibri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D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68"/>
  </w:style>
  <w:style w:type="paragraph" w:styleId="ListParagraph">
    <w:name w:val="List Paragraph"/>
    <w:basedOn w:val="Normal"/>
    <w:uiPriority w:val="34"/>
    <w:qFormat/>
    <w:rsid w:val="00DD3E68"/>
    <w:pPr>
      <w:ind w:left="720"/>
      <w:contextualSpacing/>
    </w:pPr>
  </w:style>
  <w:style w:type="table" w:styleId="TableGrid">
    <w:name w:val="Table Grid"/>
    <w:basedOn w:val="TableNormal"/>
    <w:uiPriority w:val="39"/>
    <w:rsid w:val="00DD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2022-11-01T10:36:00Z</dcterms:created>
  <dcterms:modified xsi:type="dcterms:W3CDTF">2022-11-01T10:36:00Z</dcterms:modified>
</cp:coreProperties>
</file>