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column">
              <wp:posOffset>2693670</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704C29">
        <w:rPr>
          <w:rFonts w:cs="Arial"/>
          <w:b/>
          <w:sz w:val="24"/>
          <w:szCs w:val="24"/>
          <w:lang w:val="en-US" w:eastAsia="en-US"/>
        </w:rPr>
        <w:t>341</w:t>
      </w:r>
      <w:r w:rsidR="00DD35FA">
        <w:rPr>
          <w:rFonts w:eastAsia="Calibri" w:cs="Arial"/>
          <w:b/>
          <w:sz w:val="24"/>
          <w:szCs w:val="24"/>
        </w:rPr>
        <w:t xml:space="preserve"> </w:t>
      </w:r>
      <w:r w:rsidR="00E526CF" w:rsidRPr="000B4F40">
        <w:rPr>
          <w:rFonts w:cs="Arial"/>
          <w:b/>
          <w:sz w:val="24"/>
          <w:szCs w:val="24"/>
          <w:lang w:val="en-US" w:eastAsia="en-US"/>
        </w:rPr>
        <w:t>[</w:t>
      </w:r>
      <w:r w:rsidR="00D3168D" w:rsidRPr="00AE12EB">
        <w:rPr>
          <w:rFonts w:eastAsia="Calibri" w:cs="Arial"/>
          <w:b/>
          <w:szCs w:val="22"/>
          <w:lang w:eastAsia="en-US"/>
        </w:rPr>
        <w:t>NW495E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A91E5E">
        <w:rPr>
          <w:rFonts w:cs="Arial"/>
          <w:b/>
          <w:sz w:val="24"/>
          <w:szCs w:val="24"/>
          <w:lang w:val="en-US" w:eastAsia="en-US"/>
        </w:rPr>
        <w:t>07</w:t>
      </w:r>
      <w:r w:rsidR="007F42A3">
        <w:rPr>
          <w:rFonts w:cs="Arial"/>
          <w:b/>
          <w:sz w:val="24"/>
          <w:szCs w:val="24"/>
          <w:lang w:val="en-US" w:eastAsia="en-US"/>
        </w:rPr>
        <w:t xml:space="preserve"> of 2020</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A91E5E">
        <w:rPr>
          <w:rFonts w:cs="Arial"/>
          <w:b/>
          <w:sz w:val="24"/>
          <w:szCs w:val="24"/>
        </w:rPr>
        <w:t>06</w:t>
      </w:r>
      <w:r w:rsidR="00E501BF">
        <w:rPr>
          <w:rFonts w:cs="Arial"/>
          <w:b/>
          <w:sz w:val="24"/>
          <w:szCs w:val="24"/>
        </w:rPr>
        <w:t xml:space="preserve"> </w:t>
      </w:r>
      <w:r w:rsidR="00A91E5E">
        <w:rPr>
          <w:rFonts w:cs="Arial"/>
          <w:b/>
          <w:sz w:val="24"/>
          <w:szCs w:val="24"/>
        </w:rPr>
        <w:t>MARCH</w:t>
      </w:r>
      <w:r w:rsidR="0058140A">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A46751">
        <w:rPr>
          <w:rFonts w:cs="Arial"/>
          <w:b/>
          <w:sz w:val="24"/>
          <w:szCs w:val="24"/>
          <w:lang w:val="en-US" w:eastAsia="en-US"/>
        </w:rPr>
        <w:t xml:space="preserve">  </w:t>
      </w:r>
      <w:r w:rsidR="006E58E8">
        <w:rPr>
          <w:rFonts w:cs="Arial"/>
          <w:b/>
          <w:sz w:val="24"/>
          <w:szCs w:val="24"/>
          <w:lang w:val="en-US" w:eastAsia="en-US"/>
        </w:rPr>
        <w:t>1</w:t>
      </w:r>
      <w:r w:rsidR="00630DC3">
        <w:rPr>
          <w:rFonts w:cs="Arial"/>
          <w:b/>
          <w:sz w:val="24"/>
          <w:szCs w:val="24"/>
          <w:lang w:val="en-US" w:eastAsia="en-US"/>
        </w:rPr>
        <w:t>9</w:t>
      </w:r>
      <w:r w:rsidR="00F76576">
        <w:rPr>
          <w:rFonts w:cs="Arial"/>
          <w:b/>
          <w:sz w:val="24"/>
          <w:szCs w:val="24"/>
          <w:lang w:val="en-US" w:eastAsia="en-US"/>
        </w:rPr>
        <w:t xml:space="preserve"> </w:t>
      </w:r>
      <w:r w:rsidR="00A91E5E">
        <w:rPr>
          <w:rFonts w:cs="Arial"/>
          <w:b/>
          <w:sz w:val="24"/>
          <w:szCs w:val="24"/>
          <w:lang w:val="en-US" w:eastAsia="en-US"/>
        </w:rPr>
        <w:t>MARCH</w:t>
      </w:r>
      <w:r w:rsidR="0058140A">
        <w:rPr>
          <w:rFonts w:cs="Arial"/>
          <w:b/>
          <w:sz w:val="24"/>
          <w:szCs w:val="24"/>
          <w:lang w:val="en-US" w:eastAsia="en-US"/>
        </w:rPr>
        <w:t xml:space="preserve"> 2020</w:t>
      </w:r>
    </w:p>
    <w:p w:rsidR="00A86DF9" w:rsidRDefault="00A86DF9" w:rsidP="00FB47F9">
      <w:pPr>
        <w:spacing w:before="240"/>
        <w:jc w:val="left"/>
        <w:rPr>
          <w:rFonts w:cs="Arial"/>
          <w:b/>
          <w:sz w:val="24"/>
          <w:szCs w:val="24"/>
          <w:lang w:val="en-US" w:eastAsia="en-US"/>
        </w:rPr>
      </w:pPr>
    </w:p>
    <w:p w:rsidR="0035431A" w:rsidRDefault="00D3168D" w:rsidP="00704C29">
      <w:pPr>
        <w:ind w:left="720" w:hanging="810"/>
        <w:outlineLvl w:val="0"/>
        <w:rPr>
          <w:rFonts w:eastAsia="Calibri" w:cs="Arial"/>
          <w:b/>
          <w:bCs/>
          <w:sz w:val="24"/>
          <w:szCs w:val="24"/>
          <w:lang w:val="af-ZA" w:eastAsia="en-US"/>
        </w:rPr>
      </w:pPr>
      <w:r>
        <w:rPr>
          <w:rFonts w:eastAsia="Calibri" w:cs="Arial"/>
          <w:b/>
          <w:sz w:val="24"/>
          <w:szCs w:val="24"/>
        </w:rPr>
        <w:t>341</w:t>
      </w:r>
      <w:r w:rsidR="008425A3" w:rsidRPr="00D3269F">
        <w:rPr>
          <w:rFonts w:eastAsia="Calibri" w:cs="Arial"/>
          <w:b/>
          <w:sz w:val="24"/>
          <w:szCs w:val="24"/>
        </w:rPr>
        <w:t>.</w:t>
      </w:r>
      <w:r w:rsidR="002265E0">
        <w:rPr>
          <w:rFonts w:eastAsia="Calibri" w:cs="Arial"/>
          <w:b/>
          <w:bCs/>
          <w:sz w:val="24"/>
          <w:szCs w:val="24"/>
          <w:lang w:val="af-ZA" w:eastAsia="en-US"/>
        </w:rPr>
        <w:tab/>
      </w:r>
      <w:r w:rsidR="00704C29">
        <w:rPr>
          <w:rFonts w:eastAsia="Calibri" w:cs="Arial"/>
          <w:b/>
          <w:bCs/>
          <w:sz w:val="24"/>
          <w:szCs w:val="24"/>
          <w:lang w:val="en-GB" w:eastAsia="en-US"/>
        </w:rPr>
        <w:t>Mrs M B Hicklin (DA)</w:t>
      </w:r>
      <w:r w:rsidR="00A454D0" w:rsidRPr="00A454D0">
        <w:rPr>
          <w:rFonts w:cs="Arial"/>
          <w:b/>
          <w:sz w:val="24"/>
          <w:szCs w:val="24"/>
          <w:lang w:val="en-US" w:eastAsia="en-US"/>
        </w:rPr>
        <w:t xml:space="preserve"> </w:t>
      </w:r>
      <w:r w:rsidR="00DF0F83" w:rsidRPr="00A454D0">
        <w:rPr>
          <w:rFonts w:eastAsia="Calibri" w:cs="Arial"/>
          <w:b/>
          <w:bCs/>
          <w:sz w:val="24"/>
          <w:szCs w:val="24"/>
          <w:lang w:val="af-ZA" w:eastAsia="en-US"/>
        </w:rPr>
        <w:t>asked the Minister of Public Works</w:t>
      </w:r>
      <w:r w:rsidR="002A683E" w:rsidRPr="00A454D0">
        <w:rPr>
          <w:rFonts w:cs="Arial"/>
          <w:b/>
          <w:sz w:val="24"/>
          <w:szCs w:val="24"/>
          <w:lang w:val="en-US" w:eastAsia="en-US"/>
        </w:rPr>
        <w:t xml:space="preserve"> and Infrastructure</w:t>
      </w:r>
      <w:r w:rsidR="00DF0F83" w:rsidRPr="00A454D0">
        <w:rPr>
          <w:rFonts w:eastAsia="Calibri" w:cs="Arial"/>
          <w:b/>
          <w:bCs/>
          <w:sz w:val="24"/>
          <w:szCs w:val="24"/>
          <w:lang w:val="af-ZA" w:eastAsia="en-US"/>
        </w:rPr>
        <w:t>:</w:t>
      </w:r>
    </w:p>
    <w:p w:rsidR="00D3168D" w:rsidRPr="00704C29" w:rsidRDefault="00D3168D" w:rsidP="00704C29">
      <w:pPr>
        <w:ind w:left="720" w:hanging="810"/>
        <w:outlineLvl w:val="0"/>
        <w:rPr>
          <w:rFonts w:eastAsia="Calibri" w:cs="Arial"/>
          <w:b/>
          <w:bCs/>
          <w:sz w:val="24"/>
          <w:szCs w:val="24"/>
          <w:lang w:val="af-ZA" w:eastAsia="en-US"/>
        </w:rPr>
      </w:pPr>
    </w:p>
    <w:p w:rsidR="00704C29" w:rsidRPr="00704C29" w:rsidRDefault="00A07ABE" w:rsidP="00A05D95">
      <w:pPr>
        <w:spacing w:after="100" w:afterAutospacing="1"/>
        <w:ind w:left="709" w:hanging="720"/>
        <w:outlineLvl w:val="0"/>
        <w:rPr>
          <w:rFonts w:eastAsia="Calibri" w:cs="Arial"/>
          <w:szCs w:val="22"/>
          <w:lang w:eastAsia="en-US"/>
        </w:rPr>
      </w:pPr>
      <w:r w:rsidRPr="00A07ABE">
        <w:rPr>
          <w:rFonts w:eastAsia="Calibri" w:cs="Arial"/>
          <w:color w:val="000000"/>
          <w:szCs w:val="22"/>
          <w:lang w:eastAsia="en-US"/>
        </w:rPr>
        <w:t>(</w:t>
      </w:r>
      <w:r w:rsidR="00704C29" w:rsidRPr="00704C29">
        <w:rPr>
          <w:rFonts w:eastAsia="Calibri" w:cs="Arial"/>
          <w:szCs w:val="22"/>
          <w:lang w:eastAsia="en-US"/>
        </w:rPr>
        <w:t>1)</w:t>
      </w:r>
      <w:r w:rsidR="00704C29" w:rsidRPr="00704C29">
        <w:rPr>
          <w:rFonts w:eastAsia="Calibri" w:cs="Arial"/>
          <w:szCs w:val="22"/>
          <w:lang w:eastAsia="en-US"/>
        </w:rPr>
        <w:tab/>
        <w:t>In view of the statement in the progress report for the Council for the Built Environment (CBE) dated 26 February 2020 that registration with the SA Council for the Architectural Profession (SACAP) is not mandatory, which resulted in many graduates seeing no value in registration, what measures is she and/or her department taking to elevate the image of SACAP and make registration compulsory;</w:t>
      </w:r>
    </w:p>
    <w:p w:rsidR="00704C29" w:rsidRPr="00704C29" w:rsidRDefault="00704C29" w:rsidP="00A05D95">
      <w:pPr>
        <w:pBdr>
          <w:top w:val="nil"/>
          <w:left w:val="nil"/>
          <w:bottom w:val="nil"/>
          <w:right w:val="nil"/>
          <w:between w:val="nil"/>
        </w:pBdr>
        <w:spacing w:after="100" w:afterAutospacing="1"/>
        <w:ind w:left="709" w:hanging="720"/>
        <w:rPr>
          <w:rFonts w:eastAsia="Calibri" w:cs="Arial"/>
          <w:szCs w:val="22"/>
          <w:lang w:eastAsia="en-US"/>
        </w:rPr>
      </w:pPr>
      <w:r w:rsidRPr="00704C29">
        <w:rPr>
          <w:rFonts w:eastAsia="Calibri" w:cs="Arial"/>
          <w:szCs w:val="22"/>
          <w:lang w:eastAsia="en-US"/>
        </w:rPr>
        <w:t>(2)</w:t>
      </w:r>
      <w:r w:rsidRPr="00704C29">
        <w:rPr>
          <w:rFonts w:eastAsia="Calibri" w:cs="Arial"/>
          <w:szCs w:val="22"/>
          <w:lang w:eastAsia="en-US"/>
        </w:rPr>
        <w:tab/>
        <w:t>what (a) measures is she and/or her department taking to encourage government departments and institutions responsible for infrastructure to assist graduates with vocational training to enable them to progress to professional registration and (b) is being done to increase access to vocational training opportunities within her department;</w:t>
      </w:r>
    </w:p>
    <w:p w:rsidR="00704C29" w:rsidRPr="00704C29" w:rsidRDefault="00704C29" w:rsidP="00A05D95">
      <w:pPr>
        <w:pBdr>
          <w:top w:val="nil"/>
          <w:left w:val="nil"/>
          <w:bottom w:val="nil"/>
          <w:right w:val="nil"/>
          <w:between w:val="nil"/>
        </w:pBdr>
        <w:spacing w:after="240" w:line="276" w:lineRule="auto"/>
        <w:ind w:left="709" w:hanging="720"/>
        <w:rPr>
          <w:rFonts w:eastAsia="Calibri" w:cs="Arial"/>
          <w:szCs w:val="22"/>
          <w:lang w:eastAsia="en-US"/>
        </w:rPr>
      </w:pPr>
      <w:r w:rsidRPr="00704C29">
        <w:rPr>
          <w:rFonts w:eastAsia="Calibri" w:cs="Arial"/>
          <w:szCs w:val="22"/>
          <w:lang w:eastAsia="en-US"/>
        </w:rPr>
        <w:t>(3)</w:t>
      </w:r>
      <w:r w:rsidRPr="00704C29">
        <w:rPr>
          <w:rFonts w:eastAsia="Calibri" w:cs="Arial"/>
          <w:szCs w:val="22"/>
          <w:lang w:eastAsia="en-US"/>
        </w:rPr>
        <w:tab/>
        <w:t xml:space="preserve">whether graduates are able to attain professional registration without having attained mentorship and vocational training; if not, what is the position in this regard; if so, what are the relevant details; </w:t>
      </w:r>
    </w:p>
    <w:p w:rsidR="00704C29" w:rsidRPr="00704C29" w:rsidRDefault="00704C29" w:rsidP="00A05D95">
      <w:pPr>
        <w:pBdr>
          <w:top w:val="nil"/>
          <w:left w:val="nil"/>
          <w:bottom w:val="nil"/>
          <w:right w:val="nil"/>
          <w:between w:val="nil"/>
        </w:pBdr>
        <w:spacing w:after="100" w:afterAutospacing="1" w:line="276" w:lineRule="auto"/>
        <w:ind w:left="709" w:hanging="720"/>
        <w:rPr>
          <w:rFonts w:eastAsia="Calibri" w:cs="Arial"/>
          <w:szCs w:val="22"/>
          <w:lang w:eastAsia="en-US"/>
        </w:rPr>
      </w:pPr>
      <w:r w:rsidRPr="00704C29">
        <w:rPr>
          <w:rFonts w:eastAsia="Calibri" w:cs="Arial"/>
          <w:szCs w:val="22"/>
          <w:lang w:eastAsia="en-US"/>
        </w:rPr>
        <w:t>(4)</w:t>
      </w:r>
      <w:r w:rsidRPr="00704C29">
        <w:rPr>
          <w:rFonts w:eastAsia="Calibri" w:cs="Arial"/>
          <w:szCs w:val="22"/>
          <w:lang w:eastAsia="en-US"/>
        </w:rPr>
        <w:tab/>
        <w:t>whether she has found that it is permissible that government departments responsible for infrastructure are employing architectural graduates who are not SACAP registered; if not, what is the position in this regard; if so, what are the relevant details;</w:t>
      </w:r>
    </w:p>
    <w:p w:rsidR="00704C29" w:rsidRDefault="00704C29" w:rsidP="00A05D95">
      <w:pPr>
        <w:pBdr>
          <w:top w:val="nil"/>
          <w:left w:val="nil"/>
          <w:bottom w:val="nil"/>
          <w:right w:val="nil"/>
          <w:between w:val="nil"/>
        </w:pBdr>
        <w:ind w:left="709" w:hanging="720"/>
        <w:rPr>
          <w:rFonts w:eastAsia="Calibri" w:cs="Arial"/>
          <w:b/>
          <w:szCs w:val="22"/>
          <w:lang w:eastAsia="en-US"/>
        </w:rPr>
      </w:pPr>
      <w:r w:rsidRPr="00D3168D">
        <w:rPr>
          <w:rFonts w:eastAsia="Calibri" w:cs="Arial"/>
          <w:szCs w:val="22"/>
          <w:lang w:eastAsia="en-US"/>
        </w:rPr>
        <w:t>(5)</w:t>
      </w:r>
      <w:r w:rsidRPr="00D3168D">
        <w:rPr>
          <w:rFonts w:eastAsia="Calibri" w:cs="Arial"/>
          <w:szCs w:val="22"/>
          <w:lang w:eastAsia="en-US"/>
        </w:rPr>
        <w:tab/>
        <w:t>what incentives exist for graduates to comply with the request to register with the CBE if her department flouts its own recommendations and hires unregistered graduates</w:t>
      </w:r>
      <w:r w:rsidRPr="00AE12EB">
        <w:rPr>
          <w:rFonts w:eastAsia="Calibri" w:cs="Arial"/>
          <w:szCs w:val="22"/>
          <w:lang w:eastAsia="en-US"/>
        </w:rPr>
        <w:t>?</w:t>
      </w:r>
      <w:r w:rsidRPr="00D3168D">
        <w:rPr>
          <w:rFonts w:cs="Arial"/>
          <w:szCs w:val="22"/>
          <w:lang w:val="en-US" w:eastAsia="en-US"/>
        </w:rPr>
        <w:t xml:space="preserve"> </w:t>
      </w:r>
      <w:r w:rsidR="00D3168D">
        <w:rPr>
          <w:rFonts w:cs="Arial"/>
          <w:szCs w:val="22"/>
          <w:lang w:val="en-US" w:eastAsia="en-US"/>
        </w:rPr>
        <w:tab/>
      </w:r>
      <w:r w:rsidR="00D3168D">
        <w:rPr>
          <w:rFonts w:cs="Arial"/>
          <w:szCs w:val="22"/>
          <w:lang w:val="en-US" w:eastAsia="en-US"/>
        </w:rPr>
        <w:tab/>
      </w:r>
      <w:r w:rsidR="00D3168D">
        <w:rPr>
          <w:rFonts w:cs="Arial"/>
          <w:szCs w:val="22"/>
          <w:lang w:val="en-US" w:eastAsia="en-US"/>
        </w:rPr>
        <w:tab/>
      </w:r>
      <w:r w:rsidR="00D3168D">
        <w:rPr>
          <w:rFonts w:cs="Arial"/>
          <w:szCs w:val="22"/>
          <w:lang w:val="en-US" w:eastAsia="en-US"/>
        </w:rPr>
        <w:tab/>
      </w:r>
      <w:r w:rsidR="00D3168D">
        <w:rPr>
          <w:rFonts w:cs="Arial"/>
          <w:szCs w:val="22"/>
          <w:lang w:val="en-US" w:eastAsia="en-US"/>
        </w:rPr>
        <w:tab/>
      </w:r>
      <w:r w:rsidR="00D3168D">
        <w:rPr>
          <w:rFonts w:cs="Arial"/>
          <w:szCs w:val="22"/>
          <w:lang w:val="en-US" w:eastAsia="en-US"/>
        </w:rPr>
        <w:tab/>
      </w:r>
      <w:r w:rsidR="00D3168D">
        <w:rPr>
          <w:rFonts w:cs="Arial"/>
          <w:szCs w:val="22"/>
          <w:lang w:val="en-US" w:eastAsia="en-US"/>
        </w:rPr>
        <w:tab/>
      </w:r>
      <w:r w:rsidR="00D3168D">
        <w:rPr>
          <w:rFonts w:cs="Arial"/>
          <w:szCs w:val="22"/>
          <w:lang w:val="en-US" w:eastAsia="en-US"/>
        </w:rPr>
        <w:tab/>
      </w:r>
      <w:r w:rsidR="00A05D95">
        <w:rPr>
          <w:rFonts w:cs="Arial"/>
          <w:szCs w:val="22"/>
          <w:lang w:val="en-US" w:eastAsia="en-US"/>
        </w:rPr>
        <w:tab/>
      </w:r>
      <w:r w:rsidR="00A05D95">
        <w:rPr>
          <w:rFonts w:cs="Arial"/>
          <w:szCs w:val="22"/>
          <w:lang w:val="en-US" w:eastAsia="en-US"/>
        </w:rPr>
        <w:tab/>
      </w:r>
      <w:r w:rsidR="00A05D95">
        <w:rPr>
          <w:rFonts w:cs="Arial"/>
          <w:szCs w:val="22"/>
          <w:lang w:val="en-US" w:eastAsia="en-US"/>
        </w:rPr>
        <w:tab/>
      </w:r>
      <w:r w:rsidR="00A05D95">
        <w:rPr>
          <w:rFonts w:cs="Arial"/>
          <w:szCs w:val="22"/>
          <w:lang w:val="en-US" w:eastAsia="en-US"/>
        </w:rPr>
        <w:tab/>
      </w:r>
      <w:r w:rsidR="00D3168D">
        <w:rPr>
          <w:rFonts w:cs="Arial"/>
          <w:szCs w:val="22"/>
          <w:lang w:val="en-US" w:eastAsia="en-US"/>
        </w:rPr>
        <w:tab/>
      </w:r>
      <w:r w:rsidRPr="00AE12EB">
        <w:rPr>
          <w:rFonts w:eastAsia="Calibri" w:cs="Arial"/>
          <w:b/>
          <w:szCs w:val="22"/>
          <w:lang w:eastAsia="en-US"/>
        </w:rPr>
        <w:t>NW495E</w:t>
      </w:r>
    </w:p>
    <w:p w:rsidR="00581BB9" w:rsidRPr="00D3168D" w:rsidRDefault="00581BB9" w:rsidP="00A05D95">
      <w:pPr>
        <w:pBdr>
          <w:top w:val="nil"/>
          <w:left w:val="nil"/>
          <w:bottom w:val="nil"/>
          <w:right w:val="nil"/>
          <w:between w:val="nil"/>
        </w:pBdr>
        <w:ind w:left="709" w:hanging="720"/>
        <w:rPr>
          <w:rFonts w:cs="Arial"/>
          <w:szCs w:val="22"/>
          <w:lang w:val="en-US" w:eastAsia="en-US"/>
        </w:rPr>
      </w:pPr>
    </w:p>
    <w:p w:rsidR="004D2F24" w:rsidRDefault="004D2F24" w:rsidP="00D3168D">
      <w:pPr>
        <w:pBdr>
          <w:top w:val="nil"/>
          <w:left w:val="nil"/>
          <w:bottom w:val="single" w:sz="12" w:space="1" w:color="auto"/>
          <w:right w:val="nil"/>
          <w:between w:val="nil"/>
        </w:pBdr>
        <w:spacing w:after="240"/>
        <w:ind w:left="1350" w:hanging="1350"/>
        <w:rPr>
          <w:rFonts w:cs="Arial"/>
          <w:b/>
          <w:sz w:val="24"/>
          <w:szCs w:val="24"/>
          <w:lang w:eastAsia="en-US"/>
        </w:rPr>
      </w:pPr>
    </w:p>
    <w:p w:rsidR="00581BB9" w:rsidRPr="005B3B26" w:rsidRDefault="00581BB9" w:rsidP="00D3168D">
      <w:pPr>
        <w:pBdr>
          <w:left w:val="nil"/>
          <w:bottom w:val="nil"/>
          <w:right w:val="nil"/>
          <w:between w:val="nil"/>
        </w:pBdr>
        <w:spacing w:after="240"/>
        <w:ind w:left="1350" w:hanging="1350"/>
        <w:rPr>
          <w:rFonts w:cs="Arial"/>
          <w:b/>
          <w:sz w:val="24"/>
          <w:szCs w:val="24"/>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lastRenderedPageBreak/>
        <w:t>REPLY</w:t>
      </w:r>
      <w:r w:rsidR="004D2F24" w:rsidRPr="001C6CA1">
        <w:rPr>
          <w:rFonts w:cs="Arial"/>
          <w:b/>
          <w:sz w:val="24"/>
          <w:szCs w:val="24"/>
          <w:lang w:eastAsia="en-US"/>
        </w:rPr>
        <w:t>:</w:t>
      </w:r>
    </w:p>
    <w:p w:rsidR="00B27DA1" w:rsidRDefault="00B27DA1" w:rsidP="00A966FC">
      <w:pPr>
        <w:rPr>
          <w:rFonts w:cs="Arial"/>
          <w:b/>
          <w:szCs w:val="22"/>
          <w:lang w:eastAsia="en-US"/>
        </w:rPr>
      </w:pPr>
    </w:p>
    <w:p w:rsidR="002265E0" w:rsidRDefault="0058140A"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7F42A3" w:rsidRDefault="007F42A3" w:rsidP="002265E0">
      <w:pPr>
        <w:spacing w:line="360" w:lineRule="auto"/>
        <w:rPr>
          <w:b/>
          <w:bCs/>
          <w:sz w:val="24"/>
          <w:szCs w:val="24"/>
        </w:rPr>
      </w:pPr>
    </w:p>
    <w:p w:rsidR="00A54348" w:rsidRPr="00A54348" w:rsidRDefault="007F42A3" w:rsidP="00A54348">
      <w:pPr>
        <w:spacing w:line="360" w:lineRule="auto"/>
        <w:ind w:left="709" w:hanging="709"/>
        <w:rPr>
          <w:bCs/>
          <w:sz w:val="24"/>
          <w:szCs w:val="24"/>
        </w:rPr>
      </w:pPr>
      <w:r>
        <w:rPr>
          <w:bCs/>
          <w:sz w:val="24"/>
          <w:szCs w:val="24"/>
        </w:rPr>
        <w:t xml:space="preserve">(1) </w:t>
      </w:r>
      <w:r w:rsidR="00A54348">
        <w:rPr>
          <w:bCs/>
          <w:sz w:val="24"/>
          <w:szCs w:val="24"/>
        </w:rPr>
        <w:tab/>
        <w:t>The</w:t>
      </w:r>
      <w:r w:rsidR="00630DC3">
        <w:rPr>
          <w:bCs/>
          <w:sz w:val="24"/>
          <w:szCs w:val="24"/>
        </w:rPr>
        <w:t xml:space="preserve"> Department of Public Works and Infrastructure (DPWI) informed me the</w:t>
      </w:r>
      <w:r w:rsidR="00A54348">
        <w:rPr>
          <w:bCs/>
          <w:sz w:val="24"/>
          <w:szCs w:val="24"/>
        </w:rPr>
        <w:t xml:space="preserve"> South African Council for the Architectural Profession (SACAP) </w:t>
      </w:r>
      <w:r w:rsidR="00630DC3">
        <w:rPr>
          <w:bCs/>
          <w:sz w:val="24"/>
          <w:szCs w:val="24"/>
        </w:rPr>
        <w:t>wrote</w:t>
      </w:r>
      <w:r w:rsidR="00A54348" w:rsidRPr="00A54348">
        <w:rPr>
          <w:bCs/>
          <w:sz w:val="24"/>
          <w:szCs w:val="24"/>
        </w:rPr>
        <w:t xml:space="preserve"> to all </w:t>
      </w:r>
      <w:r w:rsidR="00630DC3">
        <w:rPr>
          <w:bCs/>
          <w:sz w:val="24"/>
          <w:szCs w:val="24"/>
        </w:rPr>
        <w:t>g</w:t>
      </w:r>
      <w:r w:rsidR="00A54348" w:rsidRPr="00A54348">
        <w:rPr>
          <w:bCs/>
          <w:sz w:val="24"/>
          <w:szCs w:val="24"/>
        </w:rPr>
        <w:t>overnment</w:t>
      </w:r>
      <w:r w:rsidR="00A54348">
        <w:rPr>
          <w:bCs/>
          <w:sz w:val="24"/>
          <w:szCs w:val="24"/>
        </w:rPr>
        <w:t xml:space="preserve"> d</w:t>
      </w:r>
      <w:r w:rsidR="00A54348" w:rsidRPr="00A54348">
        <w:rPr>
          <w:bCs/>
          <w:sz w:val="24"/>
          <w:szCs w:val="24"/>
        </w:rPr>
        <w:t>epartments responsible for infrastructure in South Africa</w:t>
      </w:r>
      <w:r w:rsidR="00630DC3">
        <w:rPr>
          <w:bCs/>
          <w:sz w:val="24"/>
          <w:szCs w:val="24"/>
        </w:rPr>
        <w:t xml:space="preserve"> in order</w:t>
      </w:r>
      <w:r w:rsidR="00A54348" w:rsidRPr="00A54348">
        <w:rPr>
          <w:bCs/>
          <w:sz w:val="24"/>
          <w:szCs w:val="24"/>
        </w:rPr>
        <w:t xml:space="preserve"> to promote the benefits of using registered professionals in all their projects. </w:t>
      </w:r>
      <w:r w:rsidR="00A54348">
        <w:rPr>
          <w:bCs/>
          <w:sz w:val="24"/>
          <w:szCs w:val="24"/>
        </w:rPr>
        <w:t>SACAP</w:t>
      </w:r>
      <w:r w:rsidR="00A54348" w:rsidRPr="00A54348">
        <w:rPr>
          <w:bCs/>
          <w:sz w:val="24"/>
          <w:szCs w:val="24"/>
        </w:rPr>
        <w:t xml:space="preserve"> </w:t>
      </w:r>
      <w:r w:rsidR="00A54348">
        <w:rPr>
          <w:bCs/>
          <w:sz w:val="24"/>
          <w:szCs w:val="24"/>
        </w:rPr>
        <w:t xml:space="preserve">is </w:t>
      </w:r>
      <w:r w:rsidR="00A54348" w:rsidRPr="00A54348">
        <w:rPr>
          <w:bCs/>
          <w:sz w:val="24"/>
          <w:szCs w:val="24"/>
        </w:rPr>
        <w:t>undertaking pub</w:t>
      </w:r>
      <w:r w:rsidR="00A54348">
        <w:rPr>
          <w:bCs/>
          <w:sz w:val="24"/>
          <w:szCs w:val="24"/>
        </w:rPr>
        <w:t>lic awareness campaigns to all l</w:t>
      </w:r>
      <w:r w:rsidR="00A54348" w:rsidRPr="00A54348">
        <w:rPr>
          <w:bCs/>
          <w:sz w:val="24"/>
          <w:szCs w:val="24"/>
        </w:rPr>
        <w:t xml:space="preserve">ocal Municipalities to ensure that only registered persons submit building plan applications for approval. </w:t>
      </w:r>
      <w:r w:rsidR="00A54348">
        <w:rPr>
          <w:bCs/>
          <w:sz w:val="24"/>
          <w:szCs w:val="24"/>
        </w:rPr>
        <w:t>SACAP also has</w:t>
      </w:r>
      <w:r w:rsidR="00A54348" w:rsidRPr="00A54348">
        <w:rPr>
          <w:bCs/>
          <w:sz w:val="24"/>
          <w:szCs w:val="24"/>
        </w:rPr>
        <w:t xml:space="preserve"> planned workshops to promote the architectural profession to the public.   </w:t>
      </w:r>
    </w:p>
    <w:p w:rsidR="00A54348" w:rsidRPr="00A54348" w:rsidRDefault="00A54348" w:rsidP="00A54348">
      <w:pPr>
        <w:spacing w:line="360" w:lineRule="auto"/>
        <w:ind w:left="709" w:hanging="709"/>
        <w:rPr>
          <w:bCs/>
          <w:sz w:val="24"/>
          <w:szCs w:val="24"/>
        </w:rPr>
      </w:pPr>
      <w:r w:rsidRPr="00A54348">
        <w:rPr>
          <w:bCs/>
          <w:sz w:val="24"/>
          <w:szCs w:val="24"/>
        </w:rPr>
        <w:t xml:space="preserve"> </w:t>
      </w:r>
    </w:p>
    <w:p w:rsidR="00A54348" w:rsidRPr="00A54348" w:rsidRDefault="00A54348" w:rsidP="00F40621">
      <w:pPr>
        <w:spacing w:line="360" w:lineRule="auto"/>
        <w:ind w:left="709" w:hanging="709"/>
        <w:rPr>
          <w:bCs/>
          <w:sz w:val="24"/>
          <w:szCs w:val="24"/>
        </w:rPr>
      </w:pPr>
      <w:r w:rsidRPr="00A54348">
        <w:rPr>
          <w:bCs/>
          <w:sz w:val="24"/>
          <w:szCs w:val="24"/>
        </w:rPr>
        <w:t xml:space="preserve"> </w:t>
      </w:r>
      <w:r>
        <w:rPr>
          <w:bCs/>
          <w:sz w:val="24"/>
          <w:szCs w:val="24"/>
        </w:rPr>
        <w:tab/>
      </w:r>
      <w:r w:rsidRPr="00A54348">
        <w:rPr>
          <w:bCs/>
          <w:sz w:val="24"/>
          <w:szCs w:val="24"/>
        </w:rPr>
        <w:t>SACAP intends to access funding</w:t>
      </w:r>
      <w:r>
        <w:rPr>
          <w:bCs/>
          <w:sz w:val="24"/>
          <w:szCs w:val="24"/>
        </w:rPr>
        <w:t>, mainly from</w:t>
      </w:r>
      <w:r w:rsidRPr="00A54348">
        <w:rPr>
          <w:bCs/>
          <w:sz w:val="24"/>
          <w:szCs w:val="24"/>
        </w:rPr>
        <w:t xml:space="preserve"> the C</w:t>
      </w:r>
      <w:r>
        <w:rPr>
          <w:bCs/>
          <w:sz w:val="24"/>
          <w:szCs w:val="24"/>
        </w:rPr>
        <w:t xml:space="preserve">onstruction Sector </w:t>
      </w:r>
      <w:r w:rsidRPr="00A54348">
        <w:rPr>
          <w:bCs/>
          <w:sz w:val="24"/>
          <w:szCs w:val="24"/>
        </w:rPr>
        <w:t>E</w:t>
      </w:r>
      <w:r>
        <w:rPr>
          <w:bCs/>
          <w:sz w:val="24"/>
          <w:szCs w:val="24"/>
        </w:rPr>
        <w:t xml:space="preserve">ducation and </w:t>
      </w:r>
      <w:r w:rsidRPr="00A54348">
        <w:rPr>
          <w:bCs/>
          <w:sz w:val="24"/>
          <w:szCs w:val="24"/>
        </w:rPr>
        <w:t>T</w:t>
      </w:r>
      <w:r>
        <w:rPr>
          <w:bCs/>
          <w:sz w:val="24"/>
          <w:szCs w:val="24"/>
        </w:rPr>
        <w:t xml:space="preserve">raining </w:t>
      </w:r>
      <w:r w:rsidRPr="00A54348">
        <w:rPr>
          <w:bCs/>
          <w:sz w:val="24"/>
          <w:szCs w:val="24"/>
        </w:rPr>
        <w:t>A</w:t>
      </w:r>
      <w:r>
        <w:rPr>
          <w:bCs/>
          <w:sz w:val="24"/>
          <w:szCs w:val="24"/>
        </w:rPr>
        <w:t>uthority</w:t>
      </w:r>
      <w:r w:rsidRPr="00A54348">
        <w:rPr>
          <w:bCs/>
          <w:sz w:val="24"/>
          <w:szCs w:val="24"/>
        </w:rPr>
        <w:t xml:space="preserve"> </w:t>
      </w:r>
      <w:r>
        <w:rPr>
          <w:bCs/>
          <w:sz w:val="24"/>
          <w:szCs w:val="24"/>
        </w:rPr>
        <w:t xml:space="preserve">(CETA) </w:t>
      </w:r>
      <w:r w:rsidRPr="00A54348">
        <w:rPr>
          <w:bCs/>
          <w:sz w:val="24"/>
          <w:szCs w:val="24"/>
        </w:rPr>
        <w:t>to run a mentorship program</w:t>
      </w:r>
      <w:r>
        <w:rPr>
          <w:bCs/>
          <w:sz w:val="24"/>
          <w:szCs w:val="24"/>
        </w:rPr>
        <w:t>me</w:t>
      </w:r>
      <w:r w:rsidRPr="00A54348">
        <w:rPr>
          <w:bCs/>
          <w:sz w:val="24"/>
          <w:szCs w:val="24"/>
        </w:rPr>
        <w:t xml:space="preserve">. A meeting has been arranged with CETA </w:t>
      </w:r>
      <w:r>
        <w:rPr>
          <w:bCs/>
          <w:sz w:val="24"/>
          <w:szCs w:val="24"/>
        </w:rPr>
        <w:t>and the Council for the Built Environment (C</w:t>
      </w:r>
      <w:r w:rsidRPr="00A54348">
        <w:rPr>
          <w:bCs/>
          <w:sz w:val="24"/>
          <w:szCs w:val="24"/>
        </w:rPr>
        <w:t>BE</w:t>
      </w:r>
      <w:r>
        <w:rPr>
          <w:bCs/>
          <w:sz w:val="24"/>
          <w:szCs w:val="24"/>
        </w:rPr>
        <w:t>)</w:t>
      </w:r>
      <w:r w:rsidRPr="00A54348">
        <w:rPr>
          <w:bCs/>
          <w:sz w:val="24"/>
          <w:szCs w:val="24"/>
        </w:rPr>
        <w:t xml:space="preserve"> to deal with funding for </w:t>
      </w:r>
      <w:r>
        <w:rPr>
          <w:bCs/>
          <w:sz w:val="24"/>
          <w:szCs w:val="24"/>
        </w:rPr>
        <w:t xml:space="preserve">the </w:t>
      </w:r>
      <w:r w:rsidRPr="00A54348">
        <w:rPr>
          <w:bCs/>
          <w:sz w:val="24"/>
          <w:szCs w:val="24"/>
        </w:rPr>
        <w:t>mentorship program</w:t>
      </w:r>
      <w:r>
        <w:rPr>
          <w:bCs/>
          <w:sz w:val="24"/>
          <w:szCs w:val="24"/>
        </w:rPr>
        <w:t>me</w:t>
      </w:r>
      <w:r w:rsidRPr="00A54348">
        <w:rPr>
          <w:bCs/>
          <w:sz w:val="24"/>
          <w:szCs w:val="24"/>
        </w:rPr>
        <w:t xml:space="preserve">.  This will assist graduates </w:t>
      </w:r>
      <w:r>
        <w:rPr>
          <w:bCs/>
          <w:sz w:val="24"/>
          <w:szCs w:val="24"/>
        </w:rPr>
        <w:t>that</w:t>
      </w:r>
      <w:r w:rsidRPr="00A54348">
        <w:rPr>
          <w:bCs/>
          <w:sz w:val="24"/>
          <w:szCs w:val="24"/>
        </w:rPr>
        <w:t xml:space="preserve"> do not have mentors to access mentors and progres</w:t>
      </w:r>
      <w:r w:rsidR="00F40621">
        <w:rPr>
          <w:bCs/>
          <w:sz w:val="24"/>
          <w:szCs w:val="24"/>
        </w:rPr>
        <w:t>s to professional registration.</w:t>
      </w:r>
      <w:r w:rsidRPr="00A54348">
        <w:rPr>
          <w:bCs/>
          <w:sz w:val="24"/>
          <w:szCs w:val="24"/>
        </w:rPr>
        <w:t xml:space="preserve"> </w:t>
      </w:r>
    </w:p>
    <w:p w:rsidR="00A54348" w:rsidRPr="00A54348" w:rsidRDefault="00A54348" w:rsidP="00A54348">
      <w:pPr>
        <w:spacing w:line="360" w:lineRule="auto"/>
        <w:ind w:left="709" w:hanging="709"/>
        <w:rPr>
          <w:bCs/>
          <w:sz w:val="24"/>
          <w:szCs w:val="24"/>
        </w:rPr>
      </w:pPr>
      <w:r w:rsidRPr="00A54348">
        <w:rPr>
          <w:bCs/>
          <w:sz w:val="24"/>
          <w:szCs w:val="24"/>
        </w:rPr>
        <w:t xml:space="preserve"> </w:t>
      </w:r>
    </w:p>
    <w:p w:rsidR="007F42A3" w:rsidRPr="007F42A3" w:rsidRDefault="007F42A3" w:rsidP="007F42A3">
      <w:pPr>
        <w:spacing w:line="360" w:lineRule="auto"/>
        <w:ind w:left="709" w:hanging="709"/>
        <w:rPr>
          <w:bCs/>
          <w:sz w:val="24"/>
          <w:szCs w:val="24"/>
        </w:rPr>
      </w:pPr>
      <w:r>
        <w:rPr>
          <w:bCs/>
          <w:sz w:val="24"/>
          <w:szCs w:val="24"/>
        </w:rPr>
        <w:t>(2)</w:t>
      </w:r>
      <w:r>
        <w:rPr>
          <w:bCs/>
          <w:sz w:val="24"/>
          <w:szCs w:val="24"/>
        </w:rPr>
        <w:tab/>
      </w:r>
      <w:r w:rsidRPr="007F42A3">
        <w:rPr>
          <w:bCs/>
          <w:sz w:val="24"/>
          <w:szCs w:val="24"/>
        </w:rPr>
        <w:t xml:space="preserve">In ensuring that all Provincial Public Works departments are implementing the Skills Pipeline Strategy; DPWI has established the Public Works Sector Capacity Building Forum. This forum was established based on a research study that was undertaken by the National Department of Public Works to examine the causes underlying technical capacity constraints within the Public Works Family. The establishment of the </w:t>
      </w:r>
      <w:r w:rsidR="00630DC3">
        <w:rPr>
          <w:bCs/>
          <w:sz w:val="24"/>
          <w:szCs w:val="24"/>
        </w:rPr>
        <w:t>f</w:t>
      </w:r>
      <w:r w:rsidRPr="007F42A3">
        <w:rPr>
          <w:bCs/>
          <w:sz w:val="24"/>
          <w:szCs w:val="24"/>
        </w:rPr>
        <w:t xml:space="preserve">orum was primarily to have a structured approach to accelerate the production of professionals by Public Works through the Built Environment Skills Pipeline Strategy. It is further aimed at fostering cooperation with other institutions in order to strengthen the efforts of building technical capacity for the state and impact on job creation. The </w:t>
      </w:r>
      <w:r w:rsidR="00630DC3">
        <w:rPr>
          <w:bCs/>
          <w:sz w:val="24"/>
          <w:szCs w:val="24"/>
        </w:rPr>
        <w:t>f</w:t>
      </w:r>
      <w:r w:rsidRPr="007F42A3">
        <w:rPr>
          <w:bCs/>
          <w:sz w:val="24"/>
          <w:szCs w:val="24"/>
        </w:rPr>
        <w:t>orum meets on a quarterly basis.</w:t>
      </w:r>
    </w:p>
    <w:p w:rsidR="007F42A3" w:rsidRDefault="007F42A3" w:rsidP="007F42A3">
      <w:pPr>
        <w:spacing w:line="360" w:lineRule="auto"/>
        <w:ind w:left="709"/>
        <w:rPr>
          <w:bCs/>
          <w:sz w:val="24"/>
          <w:szCs w:val="24"/>
        </w:rPr>
      </w:pPr>
    </w:p>
    <w:p w:rsidR="007F42A3" w:rsidRPr="007F42A3" w:rsidRDefault="007F42A3" w:rsidP="007F42A3">
      <w:pPr>
        <w:spacing w:line="360" w:lineRule="auto"/>
        <w:ind w:left="709"/>
        <w:rPr>
          <w:bCs/>
          <w:sz w:val="24"/>
          <w:szCs w:val="24"/>
        </w:rPr>
      </w:pPr>
      <w:r w:rsidRPr="007F42A3">
        <w:rPr>
          <w:bCs/>
          <w:sz w:val="24"/>
          <w:szCs w:val="24"/>
        </w:rPr>
        <w:t xml:space="preserve">Through this structure the department not only monitors and reports on the implementation of the Skills Pipeline Strategy; but also provides strategic support and guidance to the Provincial Public Works and other partners on implementing, evaluating and mobilising funding from Sector Education Training Authorities </w:t>
      </w:r>
      <w:r w:rsidRPr="007F42A3">
        <w:rPr>
          <w:bCs/>
          <w:sz w:val="24"/>
          <w:szCs w:val="24"/>
        </w:rPr>
        <w:lastRenderedPageBreak/>
        <w:t>(SETAs), Department of Higher Education, National Skills Fund (NSF) and other funders to help execute the Skills Pipeline strategy.</w:t>
      </w:r>
    </w:p>
    <w:p w:rsidR="007F42A3" w:rsidRPr="007F42A3" w:rsidRDefault="007F42A3" w:rsidP="007F42A3">
      <w:pPr>
        <w:spacing w:line="360" w:lineRule="auto"/>
        <w:ind w:left="709" w:hanging="709"/>
        <w:rPr>
          <w:bCs/>
          <w:sz w:val="24"/>
          <w:szCs w:val="24"/>
        </w:rPr>
      </w:pPr>
    </w:p>
    <w:p w:rsidR="007F42A3" w:rsidRDefault="007F42A3" w:rsidP="007F42A3">
      <w:pPr>
        <w:spacing w:line="360" w:lineRule="auto"/>
        <w:ind w:left="709"/>
        <w:rPr>
          <w:bCs/>
          <w:sz w:val="24"/>
          <w:szCs w:val="24"/>
        </w:rPr>
      </w:pPr>
      <w:r w:rsidRPr="007F42A3">
        <w:rPr>
          <w:bCs/>
          <w:sz w:val="24"/>
          <w:szCs w:val="24"/>
        </w:rPr>
        <w:t xml:space="preserve">To ensure that there is massive vocational training, the DPWI is partnering with Technical Vocational Training Colleges to implement the Centre of Specialisation (Dual Apprenticeship program), and Work Integrated Learning (WIL). The aim is to ensure that trainees are able to complete their full qualification and obtain “trade test” (in the artisanal and or apprenticeship program) in different trades. The piloting of the Centre of Specialisation (Dual Apprenticeship program), will be extended to the Provincial Public Works in the incoming 2020/2021 financial year. Further to this, the department will be embarking on an exercise to adopt the Construction Industry Development Board (CIDB) Standard for Developing Skills through Infrastructure Contracts as a policy. This standard puts a percentage (between 0.25 to 0.5%) of the contract value being set aside for developmental goals.   </w:t>
      </w:r>
    </w:p>
    <w:p w:rsidR="007F42A3" w:rsidRDefault="007F42A3" w:rsidP="007F42A3">
      <w:pPr>
        <w:spacing w:line="360" w:lineRule="auto"/>
        <w:ind w:left="709" w:hanging="709"/>
        <w:rPr>
          <w:bCs/>
          <w:sz w:val="24"/>
          <w:szCs w:val="24"/>
        </w:rPr>
      </w:pPr>
    </w:p>
    <w:p w:rsidR="007F42A3" w:rsidRPr="007F42A3" w:rsidRDefault="007F42A3" w:rsidP="007F42A3">
      <w:pPr>
        <w:spacing w:line="360" w:lineRule="auto"/>
        <w:ind w:left="709" w:hanging="709"/>
        <w:rPr>
          <w:bCs/>
          <w:sz w:val="24"/>
          <w:szCs w:val="24"/>
        </w:rPr>
      </w:pPr>
      <w:r>
        <w:rPr>
          <w:bCs/>
          <w:sz w:val="24"/>
          <w:szCs w:val="24"/>
        </w:rPr>
        <w:t>(3)</w:t>
      </w:r>
      <w:r>
        <w:rPr>
          <w:bCs/>
          <w:sz w:val="24"/>
          <w:szCs w:val="24"/>
        </w:rPr>
        <w:tab/>
      </w:r>
      <w:r w:rsidRPr="007F42A3">
        <w:rPr>
          <w:bCs/>
          <w:sz w:val="24"/>
          <w:szCs w:val="24"/>
        </w:rPr>
        <w:t xml:space="preserve">Without Mentorship and Vocational Training trainees are unable to register as professionals. Mentorship is a critical component in the professionalisation process. The department executes different types of mentorship strategies i.e. </w:t>
      </w:r>
    </w:p>
    <w:p w:rsidR="007F42A3" w:rsidRPr="007F42A3" w:rsidRDefault="007F42A3" w:rsidP="007F42A3">
      <w:pPr>
        <w:spacing w:line="360" w:lineRule="auto"/>
        <w:ind w:left="1418" w:hanging="709"/>
        <w:rPr>
          <w:bCs/>
          <w:sz w:val="24"/>
          <w:szCs w:val="24"/>
        </w:rPr>
      </w:pPr>
      <w:r w:rsidRPr="007F42A3">
        <w:rPr>
          <w:bCs/>
          <w:sz w:val="24"/>
          <w:szCs w:val="24"/>
        </w:rPr>
        <w:t>i)</w:t>
      </w:r>
      <w:r w:rsidRPr="007F42A3">
        <w:rPr>
          <w:bCs/>
          <w:sz w:val="24"/>
          <w:szCs w:val="24"/>
        </w:rPr>
        <w:tab/>
        <w:t>Internal mentorship:-mentors appointed solely for mentoring and existing employees who are qualified as professionals are experienced and passionate about the development of young people in this country;</w:t>
      </w:r>
    </w:p>
    <w:p w:rsidR="007F42A3" w:rsidRPr="007F42A3" w:rsidRDefault="007F42A3" w:rsidP="007F42A3">
      <w:pPr>
        <w:spacing w:line="360" w:lineRule="auto"/>
        <w:ind w:left="1418" w:hanging="709"/>
        <w:rPr>
          <w:bCs/>
          <w:sz w:val="24"/>
          <w:szCs w:val="24"/>
        </w:rPr>
      </w:pPr>
    </w:p>
    <w:p w:rsidR="007F42A3" w:rsidRDefault="007F42A3" w:rsidP="007F42A3">
      <w:pPr>
        <w:spacing w:line="360" w:lineRule="auto"/>
        <w:ind w:left="1418" w:hanging="709"/>
        <w:rPr>
          <w:bCs/>
          <w:sz w:val="24"/>
          <w:szCs w:val="24"/>
        </w:rPr>
      </w:pPr>
      <w:r w:rsidRPr="007F42A3">
        <w:rPr>
          <w:bCs/>
          <w:sz w:val="24"/>
          <w:szCs w:val="24"/>
        </w:rPr>
        <w:t>ii)</w:t>
      </w:r>
      <w:r w:rsidRPr="007F42A3">
        <w:rPr>
          <w:bCs/>
          <w:sz w:val="24"/>
          <w:szCs w:val="24"/>
        </w:rPr>
        <w:tab/>
        <w:t>By forging collaborations with the Industry, through among others, entering into a memoranda of understanding with the private sector. The parties commit to training, development and mentorship by accommodating trainees for practical work exposure in their respective fields of study.  These companies further expose departmental trainees in their private sector work, which also includes International assignments where applicable.</w:t>
      </w:r>
    </w:p>
    <w:p w:rsidR="007F42A3" w:rsidRDefault="007F42A3" w:rsidP="007F42A3">
      <w:pPr>
        <w:spacing w:line="360" w:lineRule="auto"/>
        <w:ind w:left="709" w:hanging="709"/>
        <w:rPr>
          <w:bCs/>
          <w:sz w:val="24"/>
          <w:szCs w:val="24"/>
        </w:rPr>
      </w:pPr>
    </w:p>
    <w:p w:rsidR="007F42A3" w:rsidRDefault="007F42A3" w:rsidP="007F42A3">
      <w:pPr>
        <w:spacing w:line="360" w:lineRule="auto"/>
        <w:ind w:left="709" w:hanging="709"/>
        <w:rPr>
          <w:bCs/>
          <w:sz w:val="24"/>
          <w:szCs w:val="24"/>
        </w:rPr>
      </w:pPr>
      <w:r>
        <w:rPr>
          <w:bCs/>
          <w:sz w:val="24"/>
          <w:szCs w:val="24"/>
        </w:rPr>
        <w:t>(4)</w:t>
      </w:r>
      <w:r>
        <w:rPr>
          <w:bCs/>
          <w:sz w:val="24"/>
          <w:szCs w:val="24"/>
        </w:rPr>
        <w:tab/>
      </w:r>
      <w:r w:rsidR="00736E81">
        <w:rPr>
          <w:bCs/>
          <w:sz w:val="24"/>
          <w:szCs w:val="24"/>
        </w:rPr>
        <w:t>Yes, it is permissible for Infrastructure Departments to appoint g</w:t>
      </w:r>
      <w:r w:rsidRPr="007F42A3">
        <w:rPr>
          <w:bCs/>
          <w:sz w:val="24"/>
          <w:szCs w:val="24"/>
        </w:rPr>
        <w:t>raduates</w:t>
      </w:r>
      <w:r w:rsidR="00736E81">
        <w:rPr>
          <w:bCs/>
          <w:sz w:val="24"/>
          <w:szCs w:val="24"/>
        </w:rPr>
        <w:t xml:space="preserve"> for developmental purposes</w:t>
      </w:r>
      <w:r w:rsidRPr="007F42A3">
        <w:rPr>
          <w:bCs/>
          <w:sz w:val="24"/>
          <w:szCs w:val="24"/>
        </w:rPr>
        <w:t xml:space="preserve">, namely, as former bursary holders who are appointed to serve back the bursary scheme obligation. Secondly, graduates are appointed as part of the Graduate Recruitment programme and offered Internship or Candidacy </w:t>
      </w:r>
      <w:r w:rsidRPr="007F42A3">
        <w:rPr>
          <w:bCs/>
          <w:sz w:val="24"/>
          <w:szCs w:val="24"/>
        </w:rPr>
        <w:lastRenderedPageBreak/>
        <w:t xml:space="preserve">opportunities in the departments. Once in the Internship Programme, graduates are assisted to register as Candidates with SACAP to prepare them for the structured Candidacy Programme. </w:t>
      </w:r>
      <w:r w:rsidR="00736E81">
        <w:rPr>
          <w:bCs/>
          <w:sz w:val="24"/>
          <w:szCs w:val="24"/>
        </w:rPr>
        <w:t xml:space="preserve">In DPWI’s </w:t>
      </w:r>
      <w:r w:rsidRPr="007F42A3">
        <w:rPr>
          <w:bCs/>
          <w:sz w:val="24"/>
          <w:szCs w:val="24"/>
        </w:rPr>
        <w:t>Architectural Services Unit</w:t>
      </w:r>
      <w:r w:rsidR="00736E81">
        <w:rPr>
          <w:bCs/>
          <w:sz w:val="24"/>
          <w:szCs w:val="24"/>
        </w:rPr>
        <w:t xml:space="preserve"> all employees and trainees are registered with SACAP as Candidates or Professionals</w:t>
      </w:r>
      <w:r w:rsidRPr="007F42A3">
        <w:rPr>
          <w:bCs/>
          <w:sz w:val="24"/>
          <w:szCs w:val="24"/>
        </w:rPr>
        <w:t>.</w:t>
      </w:r>
    </w:p>
    <w:p w:rsidR="007F42A3" w:rsidRDefault="007F42A3" w:rsidP="007F42A3">
      <w:pPr>
        <w:spacing w:line="360" w:lineRule="auto"/>
        <w:ind w:left="709" w:hanging="709"/>
        <w:rPr>
          <w:bCs/>
          <w:sz w:val="24"/>
          <w:szCs w:val="24"/>
        </w:rPr>
      </w:pPr>
    </w:p>
    <w:p w:rsidR="007F42A3" w:rsidRDefault="007F42A3" w:rsidP="007F42A3">
      <w:pPr>
        <w:spacing w:line="360" w:lineRule="auto"/>
        <w:ind w:left="709" w:hanging="709"/>
        <w:rPr>
          <w:bCs/>
          <w:sz w:val="24"/>
          <w:szCs w:val="24"/>
        </w:rPr>
      </w:pPr>
      <w:r>
        <w:rPr>
          <w:bCs/>
          <w:sz w:val="24"/>
          <w:szCs w:val="24"/>
        </w:rPr>
        <w:t>(5)</w:t>
      </w:r>
      <w:r>
        <w:rPr>
          <w:bCs/>
          <w:sz w:val="24"/>
          <w:szCs w:val="24"/>
        </w:rPr>
        <w:tab/>
      </w:r>
      <w:r w:rsidRPr="007F42A3">
        <w:rPr>
          <w:bCs/>
          <w:sz w:val="24"/>
          <w:szCs w:val="24"/>
        </w:rPr>
        <w:t xml:space="preserve">The department </w:t>
      </w:r>
      <w:r>
        <w:rPr>
          <w:bCs/>
          <w:sz w:val="24"/>
          <w:szCs w:val="24"/>
        </w:rPr>
        <w:t>employs</w:t>
      </w:r>
      <w:r w:rsidRPr="007F42A3">
        <w:rPr>
          <w:bCs/>
          <w:sz w:val="24"/>
          <w:szCs w:val="24"/>
        </w:rPr>
        <w:t xml:space="preserve"> unregistered graduates as per point 4 above for training purposes and seeing out the obligations as per the bursary contract. Posts that require professional registration have stringent requirements as per Occupational Specific Dispensation. The incentive to register for graduates is that Infrastructure implementing departments have high vacancy rates on professional posts. Professionalised graduates improve their chances of employability as professional skills remain scarce in the country.</w:t>
      </w:r>
    </w:p>
    <w:p w:rsidR="007F42A3" w:rsidRDefault="007F42A3" w:rsidP="002265E0">
      <w:pPr>
        <w:spacing w:line="360" w:lineRule="auto"/>
        <w:rPr>
          <w:bCs/>
          <w:sz w:val="24"/>
          <w:szCs w:val="24"/>
        </w:rPr>
      </w:pPr>
    </w:p>
    <w:p w:rsidR="007F42A3" w:rsidRPr="007F42A3" w:rsidRDefault="007F42A3" w:rsidP="002265E0">
      <w:pPr>
        <w:spacing w:line="360" w:lineRule="auto"/>
        <w:rPr>
          <w:bCs/>
          <w:sz w:val="24"/>
          <w:szCs w:val="24"/>
        </w:rPr>
      </w:pPr>
    </w:p>
    <w:sectPr w:rsidR="007F42A3" w:rsidRPr="007F42A3" w:rsidSect="00352506">
      <w:headerReference w:type="default" r:id="rId10"/>
      <w:footerReference w:type="default" r:id="rId11"/>
      <w:pgSz w:w="12240" w:h="15840"/>
      <w:pgMar w:top="117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05" w:rsidRDefault="00B64305" w:rsidP="00B01072">
      <w:r>
        <w:separator/>
      </w:r>
    </w:p>
  </w:endnote>
  <w:endnote w:type="continuationSeparator" w:id="0">
    <w:p w:rsidR="00B64305" w:rsidRDefault="00B64305"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D0" w:rsidRPr="000B4F40" w:rsidRDefault="00A454D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w:t>
    </w:r>
    <w:r w:rsidR="00D3168D">
      <w:rPr>
        <w:rFonts w:eastAsiaTheme="majorEastAsia" w:cs="Arial"/>
        <w:b/>
        <w:sz w:val="18"/>
        <w:szCs w:val="18"/>
      </w:rPr>
      <w:t xml:space="preserve"> ASSEMBLY QUESTION NO. 3</w:t>
    </w:r>
    <w:r w:rsidR="00A07ABE">
      <w:rPr>
        <w:rFonts w:eastAsiaTheme="majorEastAsia" w:cs="Arial"/>
        <w:b/>
        <w:sz w:val="18"/>
        <w:szCs w:val="18"/>
      </w:rPr>
      <w:t>4</w:t>
    </w:r>
    <w:r w:rsidR="00D3168D">
      <w:rPr>
        <w:rFonts w:eastAsiaTheme="majorEastAsia" w:cs="Arial"/>
        <w:b/>
        <w:sz w:val="18"/>
        <w:szCs w:val="18"/>
      </w:rPr>
      <w:t>1</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D3168D" w:rsidRPr="00D3168D">
      <w:rPr>
        <w:rFonts w:eastAsia="Calibri" w:cs="Arial"/>
        <w:b/>
        <w:bCs/>
        <w:sz w:val="18"/>
        <w:szCs w:val="18"/>
        <w:lang w:val="af-ZA" w:eastAsia="en-US"/>
      </w:rPr>
      <w:t xml:space="preserve">Mrs M B Hicklin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15328E" w:rsidRPr="0015328E">
      <w:rPr>
        <w:rFonts w:eastAsiaTheme="majorEastAsia" w:cs="Arial"/>
        <w:b/>
        <w:noProof/>
        <w:sz w:val="18"/>
        <w:szCs w:val="18"/>
      </w:rPr>
      <w:t>1</w:t>
    </w:r>
    <w:r w:rsidRPr="00E66692">
      <w:rPr>
        <w:rFonts w:eastAsiaTheme="majorEastAsia" w:cs="Arial"/>
        <w:b/>
        <w:noProof/>
        <w:sz w:val="18"/>
        <w:szCs w:val="18"/>
      </w:rPr>
      <w:fldChar w:fldCharType="end"/>
    </w:r>
  </w:p>
  <w:p w:rsidR="00A454D0" w:rsidRPr="000B4F40" w:rsidRDefault="00A454D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05" w:rsidRDefault="00B64305" w:rsidP="00B01072">
      <w:r>
        <w:separator/>
      </w:r>
    </w:p>
  </w:footnote>
  <w:footnote w:type="continuationSeparator" w:id="0">
    <w:p w:rsidR="00B64305" w:rsidRDefault="00B64305"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D0" w:rsidRDefault="00A454D0">
    <w:pPr>
      <w:pStyle w:val="Header"/>
      <w:jc w:val="right"/>
    </w:pPr>
  </w:p>
  <w:p w:rsidR="00A454D0" w:rsidRDefault="00A454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7D2"/>
    <w:multiLevelType w:val="hybridMultilevel"/>
    <w:tmpl w:val="00F2B2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9F07F8"/>
    <w:multiLevelType w:val="hybridMultilevel"/>
    <w:tmpl w:val="7E6EBE9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841C7C"/>
    <w:multiLevelType w:val="hybridMultilevel"/>
    <w:tmpl w:val="895E5D98"/>
    <w:lvl w:ilvl="0" w:tplc="4DB68D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3A1B12"/>
    <w:multiLevelType w:val="hybridMultilevel"/>
    <w:tmpl w:val="2DF0D342"/>
    <w:lvl w:ilvl="0" w:tplc="E19CAC7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5E48F9"/>
    <w:multiLevelType w:val="hybridMultilevel"/>
    <w:tmpl w:val="32E49B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53E7745"/>
    <w:multiLevelType w:val="hybridMultilevel"/>
    <w:tmpl w:val="B7E07A00"/>
    <w:lvl w:ilvl="0" w:tplc="1BFA85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6"/>
  </w:num>
  <w:num w:numId="4">
    <w:abstractNumId w:val="10"/>
  </w:num>
  <w:num w:numId="5">
    <w:abstractNumId w:val="4"/>
  </w:num>
  <w:num w:numId="6">
    <w:abstractNumId w:val="2"/>
  </w:num>
  <w:num w:numId="7">
    <w:abstractNumId w:val="3"/>
  </w:num>
  <w:num w:numId="8">
    <w:abstractNumId w:val="0"/>
  </w:num>
  <w:num w:numId="9">
    <w:abstractNumId w:val="7"/>
  </w:num>
  <w:num w:numId="10">
    <w:abstractNumId w:val="1"/>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tTC3NDQyMjI1MrVU0lEKTi0uzszPAykwqgUAcPRIGSwAAAA="/>
  </w:docVars>
  <w:rsids>
    <w:rsidRoot w:val="004D2F24"/>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473F7"/>
    <w:rsid w:val="000528E1"/>
    <w:rsid w:val="00053264"/>
    <w:rsid w:val="00054265"/>
    <w:rsid w:val="00057331"/>
    <w:rsid w:val="000574C9"/>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413F"/>
    <w:rsid w:val="000F590B"/>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529A0"/>
    <w:rsid w:val="00152C01"/>
    <w:rsid w:val="0015328E"/>
    <w:rsid w:val="0015410D"/>
    <w:rsid w:val="001558AF"/>
    <w:rsid w:val="00155F06"/>
    <w:rsid w:val="00156186"/>
    <w:rsid w:val="00162A0F"/>
    <w:rsid w:val="00166FD7"/>
    <w:rsid w:val="001729E9"/>
    <w:rsid w:val="001743CF"/>
    <w:rsid w:val="00174560"/>
    <w:rsid w:val="00177367"/>
    <w:rsid w:val="00180395"/>
    <w:rsid w:val="0018124B"/>
    <w:rsid w:val="001833AC"/>
    <w:rsid w:val="0019162A"/>
    <w:rsid w:val="00193AF0"/>
    <w:rsid w:val="001A22C6"/>
    <w:rsid w:val="001B177D"/>
    <w:rsid w:val="001C2A53"/>
    <w:rsid w:val="001C2B34"/>
    <w:rsid w:val="001C3FDF"/>
    <w:rsid w:val="001C4269"/>
    <w:rsid w:val="001C602F"/>
    <w:rsid w:val="001C6CA1"/>
    <w:rsid w:val="001E486F"/>
    <w:rsid w:val="001F0D11"/>
    <w:rsid w:val="001F1F16"/>
    <w:rsid w:val="001F698C"/>
    <w:rsid w:val="00203E0F"/>
    <w:rsid w:val="00204151"/>
    <w:rsid w:val="00206C11"/>
    <w:rsid w:val="00211C78"/>
    <w:rsid w:val="002178BA"/>
    <w:rsid w:val="002229B7"/>
    <w:rsid w:val="002265CB"/>
    <w:rsid w:val="002265E0"/>
    <w:rsid w:val="0023195F"/>
    <w:rsid w:val="00232D48"/>
    <w:rsid w:val="00243357"/>
    <w:rsid w:val="002458D7"/>
    <w:rsid w:val="0025275C"/>
    <w:rsid w:val="00257D56"/>
    <w:rsid w:val="00266477"/>
    <w:rsid w:val="0027383D"/>
    <w:rsid w:val="00275F2F"/>
    <w:rsid w:val="00277AA1"/>
    <w:rsid w:val="002837A2"/>
    <w:rsid w:val="00291BC2"/>
    <w:rsid w:val="0029301E"/>
    <w:rsid w:val="00294275"/>
    <w:rsid w:val="00296C6F"/>
    <w:rsid w:val="002A3DCF"/>
    <w:rsid w:val="002A5D13"/>
    <w:rsid w:val="002A683E"/>
    <w:rsid w:val="002B2F32"/>
    <w:rsid w:val="002B7305"/>
    <w:rsid w:val="002C175C"/>
    <w:rsid w:val="002C603A"/>
    <w:rsid w:val="002C7394"/>
    <w:rsid w:val="002E6B86"/>
    <w:rsid w:val="002E6F59"/>
    <w:rsid w:val="00302C99"/>
    <w:rsid w:val="003031BE"/>
    <w:rsid w:val="003054D3"/>
    <w:rsid w:val="003074FB"/>
    <w:rsid w:val="00307BEC"/>
    <w:rsid w:val="00313946"/>
    <w:rsid w:val="00321FAA"/>
    <w:rsid w:val="003241F6"/>
    <w:rsid w:val="00325E8F"/>
    <w:rsid w:val="00327965"/>
    <w:rsid w:val="00327BFC"/>
    <w:rsid w:val="00330E0B"/>
    <w:rsid w:val="00331DAF"/>
    <w:rsid w:val="00333ED8"/>
    <w:rsid w:val="00337483"/>
    <w:rsid w:val="00343207"/>
    <w:rsid w:val="00343216"/>
    <w:rsid w:val="00351A07"/>
    <w:rsid w:val="00351D61"/>
    <w:rsid w:val="00352506"/>
    <w:rsid w:val="00352AC2"/>
    <w:rsid w:val="0035431A"/>
    <w:rsid w:val="0035503F"/>
    <w:rsid w:val="00367531"/>
    <w:rsid w:val="003718A9"/>
    <w:rsid w:val="003731CC"/>
    <w:rsid w:val="00382C94"/>
    <w:rsid w:val="00385CC5"/>
    <w:rsid w:val="003930E2"/>
    <w:rsid w:val="003A0AD7"/>
    <w:rsid w:val="003A6097"/>
    <w:rsid w:val="003B3F50"/>
    <w:rsid w:val="003B41BA"/>
    <w:rsid w:val="003D262F"/>
    <w:rsid w:val="003D3567"/>
    <w:rsid w:val="003D3867"/>
    <w:rsid w:val="003E2910"/>
    <w:rsid w:val="003E5694"/>
    <w:rsid w:val="003F275D"/>
    <w:rsid w:val="003F3ABB"/>
    <w:rsid w:val="003F628A"/>
    <w:rsid w:val="003F6C7B"/>
    <w:rsid w:val="004079CA"/>
    <w:rsid w:val="00413C62"/>
    <w:rsid w:val="00432C4E"/>
    <w:rsid w:val="00433D3D"/>
    <w:rsid w:val="004342FE"/>
    <w:rsid w:val="0043545C"/>
    <w:rsid w:val="00435691"/>
    <w:rsid w:val="0044149F"/>
    <w:rsid w:val="004422F9"/>
    <w:rsid w:val="00446AA2"/>
    <w:rsid w:val="00450456"/>
    <w:rsid w:val="00451A52"/>
    <w:rsid w:val="004532AE"/>
    <w:rsid w:val="00453445"/>
    <w:rsid w:val="00465041"/>
    <w:rsid w:val="004739D7"/>
    <w:rsid w:val="004868AF"/>
    <w:rsid w:val="0049199E"/>
    <w:rsid w:val="00493FB3"/>
    <w:rsid w:val="0049710C"/>
    <w:rsid w:val="004B1769"/>
    <w:rsid w:val="004B4593"/>
    <w:rsid w:val="004B70B1"/>
    <w:rsid w:val="004B74FC"/>
    <w:rsid w:val="004B7D65"/>
    <w:rsid w:val="004B7D74"/>
    <w:rsid w:val="004C2610"/>
    <w:rsid w:val="004C3C1E"/>
    <w:rsid w:val="004C5597"/>
    <w:rsid w:val="004C6EB7"/>
    <w:rsid w:val="004D2249"/>
    <w:rsid w:val="004D2F24"/>
    <w:rsid w:val="004D48E8"/>
    <w:rsid w:val="004E27A5"/>
    <w:rsid w:val="004F329B"/>
    <w:rsid w:val="004F4F0B"/>
    <w:rsid w:val="004F5925"/>
    <w:rsid w:val="004F61F7"/>
    <w:rsid w:val="00513712"/>
    <w:rsid w:val="0052239F"/>
    <w:rsid w:val="005271BF"/>
    <w:rsid w:val="00531D8A"/>
    <w:rsid w:val="005330F9"/>
    <w:rsid w:val="0053382B"/>
    <w:rsid w:val="00536224"/>
    <w:rsid w:val="00540DA6"/>
    <w:rsid w:val="005449EC"/>
    <w:rsid w:val="00550A0F"/>
    <w:rsid w:val="00556C53"/>
    <w:rsid w:val="00557577"/>
    <w:rsid w:val="00560E8F"/>
    <w:rsid w:val="00563D73"/>
    <w:rsid w:val="00570B4C"/>
    <w:rsid w:val="005716E6"/>
    <w:rsid w:val="00574AE0"/>
    <w:rsid w:val="0057746F"/>
    <w:rsid w:val="0058071C"/>
    <w:rsid w:val="0058140A"/>
    <w:rsid w:val="00581BB9"/>
    <w:rsid w:val="00591850"/>
    <w:rsid w:val="005940D1"/>
    <w:rsid w:val="005B1E2B"/>
    <w:rsid w:val="005B286F"/>
    <w:rsid w:val="005B2D19"/>
    <w:rsid w:val="005B3B26"/>
    <w:rsid w:val="005C570C"/>
    <w:rsid w:val="005C699E"/>
    <w:rsid w:val="005D1762"/>
    <w:rsid w:val="005D4543"/>
    <w:rsid w:val="005D5B0B"/>
    <w:rsid w:val="005E2D86"/>
    <w:rsid w:val="005E4E7B"/>
    <w:rsid w:val="005E535A"/>
    <w:rsid w:val="005E6AF1"/>
    <w:rsid w:val="005E71DB"/>
    <w:rsid w:val="005F1CFF"/>
    <w:rsid w:val="005F206A"/>
    <w:rsid w:val="005F35F3"/>
    <w:rsid w:val="005F4C62"/>
    <w:rsid w:val="0060047A"/>
    <w:rsid w:val="00605E8F"/>
    <w:rsid w:val="00606E21"/>
    <w:rsid w:val="00616097"/>
    <w:rsid w:val="00623007"/>
    <w:rsid w:val="00623053"/>
    <w:rsid w:val="00624A4D"/>
    <w:rsid w:val="00625573"/>
    <w:rsid w:val="00630DC3"/>
    <w:rsid w:val="00632C03"/>
    <w:rsid w:val="006343C2"/>
    <w:rsid w:val="006345DA"/>
    <w:rsid w:val="00641E3A"/>
    <w:rsid w:val="00645776"/>
    <w:rsid w:val="006462D7"/>
    <w:rsid w:val="00655338"/>
    <w:rsid w:val="006576EF"/>
    <w:rsid w:val="00670BA5"/>
    <w:rsid w:val="00675570"/>
    <w:rsid w:val="00675938"/>
    <w:rsid w:val="00683024"/>
    <w:rsid w:val="00684BB6"/>
    <w:rsid w:val="00685646"/>
    <w:rsid w:val="00694DF7"/>
    <w:rsid w:val="006A027A"/>
    <w:rsid w:val="006A05C9"/>
    <w:rsid w:val="006A3EF8"/>
    <w:rsid w:val="006B1166"/>
    <w:rsid w:val="006B79CB"/>
    <w:rsid w:val="006C1F95"/>
    <w:rsid w:val="006C3E5B"/>
    <w:rsid w:val="006D00E0"/>
    <w:rsid w:val="006D0841"/>
    <w:rsid w:val="006D1A51"/>
    <w:rsid w:val="006D4597"/>
    <w:rsid w:val="006D4C8A"/>
    <w:rsid w:val="006E1C1F"/>
    <w:rsid w:val="006E54EA"/>
    <w:rsid w:val="006E58E8"/>
    <w:rsid w:val="006F2930"/>
    <w:rsid w:val="006F36F8"/>
    <w:rsid w:val="006F6CCD"/>
    <w:rsid w:val="00704C29"/>
    <w:rsid w:val="00705DD0"/>
    <w:rsid w:val="00713D62"/>
    <w:rsid w:val="007144AF"/>
    <w:rsid w:val="007221BB"/>
    <w:rsid w:val="0073270F"/>
    <w:rsid w:val="00736E81"/>
    <w:rsid w:val="00737327"/>
    <w:rsid w:val="00741804"/>
    <w:rsid w:val="007422B3"/>
    <w:rsid w:val="00755DEC"/>
    <w:rsid w:val="0075656E"/>
    <w:rsid w:val="00760875"/>
    <w:rsid w:val="007625B5"/>
    <w:rsid w:val="0077480B"/>
    <w:rsid w:val="00781562"/>
    <w:rsid w:val="00794233"/>
    <w:rsid w:val="007950DA"/>
    <w:rsid w:val="00795939"/>
    <w:rsid w:val="007A03D5"/>
    <w:rsid w:val="007A7318"/>
    <w:rsid w:val="007C4AFA"/>
    <w:rsid w:val="007E0072"/>
    <w:rsid w:val="007E3B7C"/>
    <w:rsid w:val="007E4E3E"/>
    <w:rsid w:val="007E63B3"/>
    <w:rsid w:val="007F2807"/>
    <w:rsid w:val="007F42A3"/>
    <w:rsid w:val="00800BBC"/>
    <w:rsid w:val="008039CD"/>
    <w:rsid w:val="00803A16"/>
    <w:rsid w:val="008232E5"/>
    <w:rsid w:val="00836EA6"/>
    <w:rsid w:val="008425A3"/>
    <w:rsid w:val="00847567"/>
    <w:rsid w:val="00854D28"/>
    <w:rsid w:val="0085572D"/>
    <w:rsid w:val="00860122"/>
    <w:rsid w:val="00864F5C"/>
    <w:rsid w:val="00870CEE"/>
    <w:rsid w:val="008717E7"/>
    <w:rsid w:val="00873D00"/>
    <w:rsid w:val="00873D6D"/>
    <w:rsid w:val="0088064A"/>
    <w:rsid w:val="00883179"/>
    <w:rsid w:val="0089342B"/>
    <w:rsid w:val="00895659"/>
    <w:rsid w:val="008961F8"/>
    <w:rsid w:val="00897581"/>
    <w:rsid w:val="008A28F5"/>
    <w:rsid w:val="008A4354"/>
    <w:rsid w:val="008B3660"/>
    <w:rsid w:val="008C472C"/>
    <w:rsid w:val="008D1494"/>
    <w:rsid w:val="008D5076"/>
    <w:rsid w:val="008E146C"/>
    <w:rsid w:val="008E4A71"/>
    <w:rsid w:val="008F177A"/>
    <w:rsid w:val="008F3C78"/>
    <w:rsid w:val="008F6636"/>
    <w:rsid w:val="009148F7"/>
    <w:rsid w:val="00915F23"/>
    <w:rsid w:val="00916D71"/>
    <w:rsid w:val="00926917"/>
    <w:rsid w:val="00926BCD"/>
    <w:rsid w:val="009335B8"/>
    <w:rsid w:val="00940E46"/>
    <w:rsid w:val="00956AE8"/>
    <w:rsid w:val="009571E4"/>
    <w:rsid w:val="00957952"/>
    <w:rsid w:val="00964581"/>
    <w:rsid w:val="00964E55"/>
    <w:rsid w:val="00970F77"/>
    <w:rsid w:val="00974E90"/>
    <w:rsid w:val="00976436"/>
    <w:rsid w:val="00980BB4"/>
    <w:rsid w:val="009826A5"/>
    <w:rsid w:val="00986B9E"/>
    <w:rsid w:val="00991331"/>
    <w:rsid w:val="00993C29"/>
    <w:rsid w:val="00997315"/>
    <w:rsid w:val="009A121F"/>
    <w:rsid w:val="009A34AE"/>
    <w:rsid w:val="009A4F0E"/>
    <w:rsid w:val="009A792F"/>
    <w:rsid w:val="009B07DF"/>
    <w:rsid w:val="009B418A"/>
    <w:rsid w:val="009B7DB2"/>
    <w:rsid w:val="009C4A11"/>
    <w:rsid w:val="009C61ED"/>
    <w:rsid w:val="009C7EB9"/>
    <w:rsid w:val="009D256C"/>
    <w:rsid w:val="009E4DF2"/>
    <w:rsid w:val="009F123F"/>
    <w:rsid w:val="009F492C"/>
    <w:rsid w:val="009F4EFA"/>
    <w:rsid w:val="00A05D95"/>
    <w:rsid w:val="00A07ABE"/>
    <w:rsid w:val="00A10453"/>
    <w:rsid w:val="00A1165A"/>
    <w:rsid w:val="00A11A85"/>
    <w:rsid w:val="00A13CD7"/>
    <w:rsid w:val="00A213AD"/>
    <w:rsid w:val="00A23D03"/>
    <w:rsid w:val="00A2795E"/>
    <w:rsid w:val="00A4432D"/>
    <w:rsid w:val="00A454D0"/>
    <w:rsid w:val="00A46014"/>
    <w:rsid w:val="00A46751"/>
    <w:rsid w:val="00A46FD8"/>
    <w:rsid w:val="00A50E27"/>
    <w:rsid w:val="00A5375C"/>
    <w:rsid w:val="00A54348"/>
    <w:rsid w:val="00A60127"/>
    <w:rsid w:val="00A62357"/>
    <w:rsid w:val="00A65DCC"/>
    <w:rsid w:val="00A673B3"/>
    <w:rsid w:val="00A70E0E"/>
    <w:rsid w:val="00A715AB"/>
    <w:rsid w:val="00A7275E"/>
    <w:rsid w:val="00A8175B"/>
    <w:rsid w:val="00A83487"/>
    <w:rsid w:val="00A852C4"/>
    <w:rsid w:val="00A86DF9"/>
    <w:rsid w:val="00A9155C"/>
    <w:rsid w:val="00A91E5E"/>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E3D8F"/>
    <w:rsid w:val="00AF0D67"/>
    <w:rsid w:val="00AF1A17"/>
    <w:rsid w:val="00AF4FA3"/>
    <w:rsid w:val="00AF7F16"/>
    <w:rsid w:val="00B01072"/>
    <w:rsid w:val="00B016B6"/>
    <w:rsid w:val="00B10DDB"/>
    <w:rsid w:val="00B10EA2"/>
    <w:rsid w:val="00B23D7D"/>
    <w:rsid w:val="00B26B69"/>
    <w:rsid w:val="00B27DA1"/>
    <w:rsid w:val="00B32F50"/>
    <w:rsid w:val="00B33183"/>
    <w:rsid w:val="00B35BD7"/>
    <w:rsid w:val="00B44E3D"/>
    <w:rsid w:val="00B510CE"/>
    <w:rsid w:val="00B61CE2"/>
    <w:rsid w:val="00B64305"/>
    <w:rsid w:val="00B64EFC"/>
    <w:rsid w:val="00B721B3"/>
    <w:rsid w:val="00B72C9B"/>
    <w:rsid w:val="00B75DFF"/>
    <w:rsid w:val="00B76EA0"/>
    <w:rsid w:val="00B91CF8"/>
    <w:rsid w:val="00B966D4"/>
    <w:rsid w:val="00BA0CBE"/>
    <w:rsid w:val="00BA3676"/>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991"/>
    <w:rsid w:val="00C16CA4"/>
    <w:rsid w:val="00C2072D"/>
    <w:rsid w:val="00C33545"/>
    <w:rsid w:val="00C438C9"/>
    <w:rsid w:val="00C458E7"/>
    <w:rsid w:val="00C45CDF"/>
    <w:rsid w:val="00C51C48"/>
    <w:rsid w:val="00C55CF0"/>
    <w:rsid w:val="00C61078"/>
    <w:rsid w:val="00C67AC6"/>
    <w:rsid w:val="00C72E84"/>
    <w:rsid w:val="00C734C8"/>
    <w:rsid w:val="00C94B70"/>
    <w:rsid w:val="00CA025E"/>
    <w:rsid w:val="00CA550E"/>
    <w:rsid w:val="00CA7C12"/>
    <w:rsid w:val="00CC07E1"/>
    <w:rsid w:val="00CC255F"/>
    <w:rsid w:val="00CC2ECC"/>
    <w:rsid w:val="00CC69B7"/>
    <w:rsid w:val="00CC7AF7"/>
    <w:rsid w:val="00CD0F90"/>
    <w:rsid w:val="00CE70D6"/>
    <w:rsid w:val="00CE74B8"/>
    <w:rsid w:val="00CF5001"/>
    <w:rsid w:val="00D10DEB"/>
    <w:rsid w:val="00D12002"/>
    <w:rsid w:val="00D133E8"/>
    <w:rsid w:val="00D15ADE"/>
    <w:rsid w:val="00D2038B"/>
    <w:rsid w:val="00D20CFA"/>
    <w:rsid w:val="00D26A6A"/>
    <w:rsid w:val="00D31524"/>
    <w:rsid w:val="00D3168D"/>
    <w:rsid w:val="00D3269F"/>
    <w:rsid w:val="00D377B6"/>
    <w:rsid w:val="00D41166"/>
    <w:rsid w:val="00D4264C"/>
    <w:rsid w:val="00D42FF6"/>
    <w:rsid w:val="00D43797"/>
    <w:rsid w:val="00D47536"/>
    <w:rsid w:val="00D503A4"/>
    <w:rsid w:val="00D51778"/>
    <w:rsid w:val="00D51D6B"/>
    <w:rsid w:val="00D53CF9"/>
    <w:rsid w:val="00D712DD"/>
    <w:rsid w:val="00D74A2D"/>
    <w:rsid w:val="00D75EE7"/>
    <w:rsid w:val="00D82A5F"/>
    <w:rsid w:val="00D86A1E"/>
    <w:rsid w:val="00D94AE1"/>
    <w:rsid w:val="00D9548C"/>
    <w:rsid w:val="00DA1B8D"/>
    <w:rsid w:val="00DA1BD0"/>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5FC2"/>
    <w:rsid w:val="00DE05AF"/>
    <w:rsid w:val="00DE24CD"/>
    <w:rsid w:val="00DE69B1"/>
    <w:rsid w:val="00DF0F83"/>
    <w:rsid w:val="00DF1799"/>
    <w:rsid w:val="00DF49DC"/>
    <w:rsid w:val="00DF6074"/>
    <w:rsid w:val="00E0095B"/>
    <w:rsid w:val="00E00E52"/>
    <w:rsid w:val="00E0385B"/>
    <w:rsid w:val="00E123EB"/>
    <w:rsid w:val="00E13322"/>
    <w:rsid w:val="00E16A05"/>
    <w:rsid w:val="00E16F8D"/>
    <w:rsid w:val="00E20671"/>
    <w:rsid w:val="00E23474"/>
    <w:rsid w:val="00E3228E"/>
    <w:rsid w:val="00E36049"/>
    <w:rsid w:val="00E3748A"/>
    <w:rsid w:val="00E413BA"/>
    <w:rsid w:val="00E44ADB"/>
    <w:rsid w:val="00E501BF"/>
    <w:rsid w:val="00E526CF"/>
    <w:rsid w:val="00E540A4"/>
    <w:rsid w:val="00E60310"/>
    <w:rsid w:val="00E60FD3"/>
    <w:rsid w:val="00E619AA"/>
    <w:rsid w:val="00E66692"/>
    <w:rsid w:val="00E74EEE"/>
    <w:rsid w:val="00E779E4"/>
    <w:rsid w:val="00E808B7"/>
    <w:rsid w:val="00E85BBD"/>
    <w:rsid w:val="00E8666B"/>
    <w:rsid w:val="00E96931"/>
    <w:rsid w:val="00EA26C6"/>
    <w:rsid w:val="00EA2BCB"/>
    <w:rsid w:val="00EA4899"/>
    <w:rsid w:val="00EA77E1"/>
    <w:rsid w:val="00EB2C0B"/>
    <w:rsid w:val="00EB520B"/>
    <w:rsid w:val="00EB5B2E"/>
    <w:rsid w:val="00EC057B"/>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359"/>
    <w:rsid w:val="00F318FF"/>
    <w:rsid w:val="00F33787"/>
    <w:rsid w:val="00F3566A"/>
    <w:rsid w:val="00F360E0"/>
    <w:rsid w:val="00F4037A"/>
    <w:rsid w:val="00F40621"/>
    <w:rsid w:val="00F43075"/>
    <w:rsid w:val="00F4452F"/>
    <w:rsid w:val="00F50930"/>
    <w:rsid w:val="00F54C57"/>
    <w:rsid w:val="00F5621E"/>
    <w:rsid w:val="00F57765"/>
    <w:rsid w:val="00F63F16"/>
    <w:rsid w:val="00F662C6"/>
    <w:rsid w:val="00F73AF6"/>
    <w:rsid w:val="00F73C7B"/>
    <w:rsid w:val="00F76576"/>
    <w:rsid w:val="00F8042B"/>
    <w:rsid w:val="00F8053A"/>
    <w:rsid w:val="00F809F4"/>
    <w:rsid w:val="00F831E0"/>
    <w:rsid w:val="00F84401"/>
    <w:rsid w:val="00F84A5B"/>
    <w:rsid w:val="00F91060"/>
    <w:rsid w:val="00F930FA"/>
    <w:rsid w:val="00F93B82"/>
    <w:rsid w:val="00F96EF5"/>
    <w:rsid w:val="00FA039D"/>
    <w:rsid w:val="00FA5EB0"/>
    <w:rsid w:val="00FB2B6B"/>
    <w:rsid w:val="00FB47F9"/>
    <w:rsid w:val="00FB5364"/>
    <w:rsid w:val="00FB668F"/>
    <w:rsid w:val="00FB6CE9"/>
    <w:rsid w:val="00FB6F93"/>
    <w:rsid w:val="00FC0543"/>
    <w:rsid w:val="00FC336B"/>
    <w:rsid w:val="00FC4EE9"/>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3EDF-170D-45B2-8771-439B1E55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2020-03-12T14:23:00Z</cp:lastPrinted>
  <dcterms:created xsi:type="dcterms:W3CDTF">2020-04-16T12:45:00Z</dcterms:created>
  <dcterms:modified xsi:type="dcterms:W3CDTF">2020-04-16T12:45:00Z</dcterms:modified>
</cp:coreProperties>
</file>