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F0D02">
        <w:rPr>
          <w:rFonts w:ascii="Arial" w:hAnsi="Arial" w:cs="Arial"/>
          <w:b/>
          <w:bCs/>
        </w:rPr>
        <w:t>34</w:t>
      </w:r>
      <w:r w:rsidR="00330BB7">
        <w:rPr>
          <w:rFonts w:ascii="Arial" w:hAnsi="Arial" w:cs="Arial"/>
          <w:b/>
          <w:bCs/>
        </w:rPr>
        <w:t>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87EBB">
        <w:rPr>
          <w:rFonts w:ascii="Arial" w:hAnsi="Arial" w:cs="Arial"/>
          <w:b/>
          <w:bCs/>
          <w:u w:val="single"/>
        </w:rPr>
        <w:t>1</w:t>
      </w:r>
      <w:r w:rsidR="009F0D02">
        <w:rPr>
          <w:rFonts w:ascii="Arial" w:hAnsi="Arial" w:cs="Arial"/>
          <w:b/>
          <w:bCs/>
          <w:u w:val="single"/>
        </w:rPr>
        <w:t>9</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561844">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0D02">
        <w:rPr>
          <w:rFonts w:ascii="Arial" w:hAnsi="Arial" w:cs="Arial"/>
          <w:b/>
          <w:bCs/>
          <w:u w:val="single"/>
        </w:rPr>
        <w:t>2</w:t>
      </w:r>
      <w:r w:rsidR="008A5D41">
        <w:rPr>
          <w:rFonts w:ascii="Arial" w:hAnsi="Arial" w:cs="Arial"/>
          <w:b/>
          <w:bCs/>
          <w:u w:val="single"/>
        </w:rPr>
        <w:t xml:space="preserve"> </w:t>
      </w:r>
      <w:r w:rsidR="00F73D24">
        <w:rPr>
          <w:rFonts w:ascii="Arial" w:hAnsi="Arial" w:cs="Arial"/>
          <w:b/>
          <w:bCs/>
          <w:u w:val="single"/>
        </w:rPr>
        <w:t>OF 201</w:t>
      </w:r>
      <w:r w:rsidR="00561844">
        <w:rPr>
          <w:rFonts w:ascii="Arial" w:hAnsi="Arial" w:cs="Arial"/>
          <w:b/>
          <w:bCs/>
          <w:u w:val="single"/>
        </w:rPr>
        <w:t>6</w:t>
      </w:r>
      <w:r w:rsidR="00E02103" w:rsidRPr="003C5A76">
        <w:rPr>
          <w:rFonts w:ascii="Arial" w:hAnsi="Arial" w:cs="Arial"/>
          <w:b/>
          <w:bCs/>
          <w:u w:val="single"/>
        </w:rPr>
        <w:t>)</w:t>
      </w:r>
    </w:p>
    <w:p w:rsidR="00330BB7" w:rsidRPr="00330BB7" w:rsidRDefault="00330BB7" w:rsidP="00330BB7">
      <w:pPr>
        <w:spacing w:before="100" w:beforeAutospacing="1" w:after="100" w:afterAutospacing="1"/>
        <w:ind w:left="709" w:hanging="698"/>
        <w:jc w:val="both"/>
        <w:outlineLvl w:val="0"/>
        <w:rPr>
          <w:rFonts w:ascii="Arial" w:hAnsi="Arial" w:cs="Arial"/>
          <w:b/>
          <w:lang w:val="en-ZA"/>
        </w:rPr>
      </w:pPr>
      <w:r w:rsidRPr="00330BB7">
        <w:rPr>
          <w:rFonts w:ascii="Arial" w:hAnsi="Arial" w:cs="Arial"/>
          <w:b/>
          <w:lang w:val="en-ZA"/>
        </w:rPr>
        <w:t>Mrs Z B N Balindlela (DA) to ask the Minister of Higher Education and Training:</w:t>
      </w:r>
    </w:p>
    <w:p w:rsidR="00330BB7" w:rsidRDefault="00330BB7" w:rsidP="00330BB7">
      <w:pPr>
        <w:spacing w:before="100" w:beforeAutospacing="1" w:after="100" w:afterAutospacing="1" w:line="360" w:lineRule="auto"/>
        <w:jc w:val="both"/>
        <w:rPr>
          <w:rFonts w:ascii="Arial" w:hAnsi="Arial" w:cs="Arial"/>
          <w:lang w:val="en-ZA"/>
        </w:rPr>
      </w:pPr>
      <w:r w:rsidRPr="00330BB7">
        <w:rPr>
          <w:rFonts w:ascii="Arial" w:hAnsi="Arial" w:cs="Arial"/>
          <w:lang w:val="en-ZA"/>
        </w:rPr>
        <w:t>What measures are in place to ensure that each of the several hundred projects funded by the Construction Education and Training Authority is (a) compliant (i) with the correct procedures for approval and (ii) in the way it operates, (b) providing quality assured training of a high standard and (c) able to accoun</w:t>
      </w:r>
      <w:r>
        <w:rPr>
          <w:rFonts w:ascii="Arial" w:hAnsi="Arial" w:cs="Arial"/>
          <w:lang w:val="en-ZA"/>
        </w:rPr>
        <w:t>t for all of the funds it uses?</w:t>
      </w:r>
    </w:p>
    <w:p w:rsidR="00330BB7" w:rsidRPr="00330BB7" w:rsidRDefault="00330BB7" w:rsidP="00330BB7">
      <w:pPr>
        <w:spacing w:before="100" w:beforeAutospacing="1" w:after="100" w:afterAutospacing="1" w:line="360" w:lineRule="auto"/>
        <w:ind w:left="720"/>
        <w:jc w:val="right"/>
        <w:rPr>
          <w:rFonts w:ascii="Arial" w:hAnsi="Arial" w:cs="Arial"/>
          <w:b/>
          <w:lang w:val="en-ZA"/>
        </w:rPr>
      </w:pPr>
      <w:r w:rsidRPr="00330BB7">
        <w:rPr>
          <w:rFonts w:ascii="Arial" w:hAnsi="Arial" w:cs="Arial"/>
          <w:b/>
          <w:lang w:val="en-ZA"/>
        </w:rPr>
        <w:t>NW351E</w:t>
      </w:r>
    </w:p>
    <w:p w:rsidR="00C3677B" w:rsidRPr="00CC0CBD" w:rsidRDefault="00CC0CBD" w:rsidP="0029157E">
      <w:pPr>
        <w:spacing w:before="100" w:beforeAutospacing="1" w:after="100" w:afterAutospacing="1" w:line="360" w:lineRule="auto"/>
        <w:rPr>
          <w:rFonts w:ascii="Arial" w:hAnsi="Arial" w:cs="Arial"/>
          <w:b/>
          <w:lang w:val="en-ZA"/>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ED18A2" w:rsidRPr="00ED18A2" w:rsidRDefault="00ED18A2" w:rsidP="00ED18A2">
      <w:pPr>
        <w:numPr>
          <w:ilvl w:val="0"/>
          <w:numId w:val="2"/>
        </w:numPr>
        <w:spacing w:after="0" w:line="360" w:lineRule="auto"/>
        <w:ind w:left="426" w:hanging="426"/>
        <w:jc w:val="both"/>
        <w:rPr>
          <w:rFonts w:ascii="Arial" w:hAnsi="Arial" w:cs="Arial"/>
          <w:lang w:val="en-ZA" w:bidi="en-US"/>
        </w:rPr>
      </w:pPr>
      <w:r w:rsidRPr="00ED18A2">
        <w:rPr>
          <w:rFonts w:ascii="Arial" w:hAnsi="Arial" w:cs="Arial"/>
          <w:lang w:val="en-ZA" w:bidi="en-US"/>
        </w:rPr>
        <w:t xml:space="preserve">The project allocation process is initiated by the </w:t>
      </w:r>
      <w:r w:rsidR="001943F1" w:rsidRPr="00ED18A2">
        <w:rPr>
          <w:rFonts w:ascii="Arial" w:hAnsi="Arial" w:cs="Arial"/>
          <w:lang w:val="en-ZA" w:bidi="en-US"/>
        </w:rPr>
        <w:t>Project Management Unit</w:t>
      </w:r>
      <w:r w:rsidR="001943F1">
        <w:rPr>
          <w:rFonts w:ascii="Arial" w:hAnsi="Arial" w:cs="Arial"/>
          <w:lang w:val="en-ZA" w:bidi="en-US"/>
        </w:rPr>
        <w:t xml:space="preserve"> of the </w:t>
      </w:r>
      <w:r>
        <w:rPr>
          <w:rFonts w:ascii="Arial" w:hAnsi="Arial" w:cs="Arial"/>
          <w:lang w:val="en-ZA" w:bidi="en-US"/>
        </w:rPr>
        <w:t>Construction Education and</w:t>
      </w:r>
      <w:r w:rsidRPr="00ED18A2">
        <w:rPr>
          <w:rFonts w:ascii="Arial" w:hAnsi="Arial" w:cs="Arial"/>
          <w:lang w:val="en-ZA" w:bidi="en-US"/>
        </w:rPr>
        <w:t xml:space="preserve"> </w:t>
      </w:r>
      <w:r>
        <w:rPr>
          <w:rFonts w:ascii="Arial" w:hAnsi="Arial" w:cs="Arial"/>
          <w:lang w:val="en-ZA" w:bidi="en-US"/>
        </w:rPr>
        <w:t>Training Authority (</w:t>
      </w:r>
      <w:r w:rsidRPr="00ED18A2">
        <w:rPr>
          <w:rFonts w:ascii="Arial" w:hAnsi="Arial" w:cs="Arial"/>
          <w:lang w:val="en-ZA" w:bidi="en-US"/>
        </w:rPr>
        <w:t>CETA</w:t>
      </w:r>
      <w:r>
        <w:rPr>
          <w:rFonts w:ascii="Arial" w:hAnsi="Arial" w:cs="Arial"/>
          <w:lang w:val="en-ZA" w:bidi="en-US"/>
        </w:rPr>
        <w:t>)</w:t>
      </w:r>
      <w:r w:rsidRPr="00ED18A2">
        <w:rPr>
          <w:rFonts w:ascii="Arial" w:hAnsi="Arial" w:cs="Arial"/>
          <w:lang w:val="en-ZA" w:bidi="en-US"/>
        </w:rPr>
        <w:t>, which conducts a needs</w:t>
      </w:r>
      <w:r w:rsidR="00F949DA">
        <w:rPr>
          <w:rFonts w:ascii="Arial" w:hAnsi="Arial" w:cs="Arial"/>
          <w:lang w:val="en-ZA" w:bidi="en-US"/>
        </w:rPr>
        <w:t xml:space="preserve"> analysis, </w:t>
      </w:r>
      <w:r w:rsidRPr="00ED18A2">
        <w:rPr>
          <w:rFonts w:ascii="Arial" w:hAnsi="Arial" w:cs="Arial"/>
          <w:lang w:val="en-ZA" w:bidi="en-US"/>
        </w:rPr>
        <w:t>derived from</w:t>
      </w:r>
      <w:r w:rsidR="00DD6110">
        <w:rPr>
          <w:rFonts w:ascii="Arial" w:hAnsi="Arial" w:cs="Arial"/>
          <w:lang w:val="en-ZA" w:bidi="en-US"/>
        </w:rPr>
        <w:t xml:space="preserve"> the</w:t>
      </w:r>
      <w:r w:rsidRPr="00ED18A2">
        <w:rPr>
          <w:rFonts w:ascii="Arial" w:hAnsi="Arial" w:cs="Arial"/>
          <w:lang w:val="en-ZA" w:bidi="en-US"/>
        </w:rPr>
        <w:t>:</w:t>
      </w:r>
    </w:p>
    <w:p w:rsidR="00ED18A2" w:rsidRPr="00ED18A2" w:rsidRDefault="00ED18A2" w:rsidP="00ED18A2">
      <w:pPr>
        <w:numPr>
          <w:ilvl w:val="0"/>
          <w:numId w:val="6"/>
        </w:numPr>
        <w:spacing w:after="0" w:line="360" w:lineRule="auto"/>
        <w:contextualSpacing/>
        <w:jc w:val="both"/>
        <w:rPr>
          <w:rFonts w:ascii="Arial" w:hAnsi="Arial" w:cs="Arial"/>
          <w:lang w:val="en-ZA" w:bidi="en-US"/>
        </w:rPr>
      </w:pPr>
      <w:r w:rsidRPr="00ED18A2">
        <w:rPr>
          <w:rFonts w:ascii="Arial" w:hAnsi="Arial" w:cs="Arial"/>
          <w:lang w:val="en-ZA" w:bidi="en-US"/>
        </w:rPr>
        <w:t>Natio</w:t>
      </w:r>
      <w:r w:rsidR="00D56175">
        <w:rPr>
          <w:rFonts w:ascii="Arial" w:hAnsi="Arial" w:cs="Arial"/>
          <w:lang w:val="en-ZA" w:bidi="en-US"/>
        </w:rPr>
        <w:t>nal Skills Development Strategy</w:t>
      </w:r>
      <w:r w:rsidRPr="00ED18A2">
        <w:rPr>
          <w:rFonts w:ascii="Arial" w:hAnsi="Arial" w:cs="Arial"/>
          <w:lang w:val="en-ZA" w:bidi="en-US"/>
        </w:rPr>
        <w:t xml:space="preserve">; </w:t>
      </w:r>
    </w:p>
    <w:p w:rsidR="00ED18A2" w:rsidRPr="00ED18A2" w:rsidRDefault="00ED18A2" w:rsidP="00ED18A2">
      <w:pPr>
        <w:numPr>
          <w:ilvl w:val="0"/>
          <w:numId w:val="6"/>
        </w:numPr>
        <w:spacing w:after="0" w:line="360" w:lineRule="auto"/>
        <w:contextualSpacing/>
        <w:jc w:val="both"/>
        <w:rPr>
          <w:rFonts w:ascii="Arial" w:hAnsi="Arial" w:cs="Arial"/>
          <w:lang w:val="en-ZA" w:bidi="en-US"/>
        </w:rPr>
      </w:pPr>
      <w:r w:rsidRPr="00ED18A2">
        <w:rPr>
          <w:rFonts w:ascii="Arial" w:hAnsi="Arial" w:cs="Arial"/>
          <w:lang w:val="en-ZA" w:bidi="en-US"/>
        </w:rPr>
        <w:t>CETA</w:t>
      </w:r>
      <w:r w:rsidR="00D56175">
        <w:rPr>
          <w:rFonts w:ascii="Arial" w:hAnsi="Arial" w:cs="Arial"/>
          <w:lang w:val="en-ZA" w:bidi="en-US"/>
        </w:rPr>
        <w:t xml:space="preserve"> Sector Skills Plan</w:t>
      </w:r>
      <w:r w:rsidRPr="00ED18A2">
        <w:rPr>
          <w:rFonts w:ascii="Arial" w:hAnsi="Arial" w:cs="Arial"/>
          <w:lang w:val="en-ZA" w:bidi="en-US"/>
        </w:rPr>
        <w:t>;</w:t>
      </w:r>
    </w:p>
    <w:p w:rsidR="00ED18A2" w:rsidRPr="00ED18A2" w:rsidRDefault="00ED18A2" w:rsidP="00ED18A2">
      <w:pPr>
        <w:numPr>
          <w:ilvl w:val="0"/>
          <w:numId w:val="6"/>
        </w:numPr>
        <w:spacing w:after="0" w:line="360" w:lineRule="auto"/>
        <w:contextualSpacing/>
        <w:jc w:val="both"/>
        <w:rPr>
          <w:rFonts w:ascii="Arial" w:hAnsi="Arial" w:cs="Arial"/>
          <w:lang w:val="en-ZA" w:bidi="en-US"/>
        </w:rPr>
      </w:pPr>
      <w:r w:rsidRPr="00ED18A2">
        <w:rPr>
          <w:rFonts w:ascii="Arial" w:hAnsi="Arial" w:cs="Arial"/>
          <w:lang w:val="en-ZA" w:bidi="en-US"/>
        </w:rPr>
        <w:t>CETA</w:t>
      </w:r>
      <w:r w:rsidR="00DD6110">
        <w:rPr>
          <w:rFonts w:ascii="Arial" w:hAnsi="Arial" w:cs="Arial"/>
          <w:lang w:val="en-ZA" w:bidi="en-US"/>
        </w:rPr>
        <w:t xml:space="preserve"> five-year Strategic P</w:t>
      </w:r>
      <w:r w:rsidRPr="00ED18A2">
        <w:rPr>
          <w:rFonts w:ascii="Arial" w:hAnsi="Arial" w:cs="Arial"/>
          <w:lang w:val="en-ZA" w:bidi="en-US"/>
        </w:rPr>
        <w:t>lan;</w:t>
      </w:r>
    </w:p>
    <w:p w:rsidR="00ED18A2" w:rsidRPr="00ED18A2" w:rsidRDefault="00D56175" w:rsidP="00ED18A2">
      <w:pPr>
        <w:numPr>
          <w:ilvl w:val="0"/>
          <w:numId w:val="6"/>
        </w:numPr>
        <w:spacing w:after="0" w:line="360" w:lineRule="auto"/>
        <w:contextualSpacing/>
        <w:jc w:val="both"/>
        <w:rPr>
          <w:rFonts w:ascii="Arial" w:hAnsi="Arial" w:cs="Arial"/>
          <w:lang w:val="en-ZA" w:bidi="en-US"/>
        </w:rPr>
      </w:pPr>
      <w:r>
        <w:rPr>
          <w:rFonts w:ascii="Arial" w:hAnsi="Arial" w:cs="Arial"/>
          <w:lang w:val="en-ZA" w:bidi="en-US"/>
        </w:rPr>
        <w:t>CETA Annual Performance Plan</w:t>
      </w:r>
      <w:r w:rsidR="00ED18A2" w:rsidRPr="00ED18A2">
        <w:rPr>
          <w:rFonts w:ascii="Arial" w:hAnsi="Arial" w:cs="Arial"/>
          <w:lang w:val="en-ZA" w:bidi="en-US"/>
        </w:rPr>
        <w:t>;</w:t>
      </w:r>
      <w:r>
        <w:rPr>
          <w:rFonts w:ascii="Arial" w:hAnsi="Arial" w:cs="Arial"/>
          <w:lang w:val="en-ZA" w:bidi="en-US"/>
        </w:rPr>
        <w:t xml:space="preserve"> and</w:t>
      </w:r>
    </w:p>
    <w:p w:rsidR="00ED18A2" w:rsidRPr="00ED18A2" w:rsidRDefault="00ED18A2" w:rsidP="005F3263">
      <w:pPr>
        <w:numPr>
          <w:ilvl w:val="0"/>
          <w:numId w:val="6"/>
        </w:numPr>
        <w:spacing w:line="360" w:lineRule="auto"/>
        <w:ind w:left="1434" w:hanging="357"/>
        <w:jc w:val="both"/>
        <w:rPr>
          <w:rFonts w:ascii="Arial" w:hAnsi="Arial" w:cs="Arial"/>
          <w:lang w:val="en-ZA" w:bidi="en-US"/>
        </w:rPr>
      </w:pPr>
      <w:r w:rsidRPr="00ED18A2">
        <w:rPr>
          <w:rFonts w:ascii="Arial" w:hAnsi="Arial" w:cs="Arial"/>
          <w:lang w:val="en-ZA" w:bidi="en-US"/>
        </w:rPr>
        <w:t>Service Level Agreement</w:t>
      </w:r>
      <w:r w:rsidR="00D56175">
        <w:rPr>
          <w:rFonts w:ascii="Arial" w:hAnsi="Arial" w:cs="Arial"/>
          <w:lang w:val="en-ZA" w:bidi="en-US"/>
        </w:rPr>
        <w:t>s</w:t>
      </w:r>
      <w:r w:rsidRPr="00ED18A2">
        <w:rPr>
          <w:rFonts w:ascii="Arial" w:hAnsi="Arial" w:cs="Arial"/>
          <w:lang w:val="en-ZA" w:bidi="en-US"/>
        </w:rPr>
        <w:t>.</w:t>
      </w:r>
    </w:p>
    <w:p w:rsidR="00ED18A2" w:rsidRPr="00ED18A2" w:rsidRDefault="00ED18A2" w:rsidP="00ED18A2">
      <w:pPr>
        <w:numPr>
          <w:ilvl w:val="0"/>
          <w:numId w:val="3"/>
        </w:numPr>
        <w:spacing w:after="0" w:line="360" w:lineRule="auto"/>
        <w:ind w:hanging="294"/>
        <w:jc w:val="both"/>
        <w:rPr>
          <w:rFonts w:ascii="Arial" w:hAnsi="Arial" w:cs="Arial"/>
          <w:lang w:val="en-ZA" w:bidi="en-US"/>
        </w:rPr>
      </w:pPr>
      <w:r w:rsidRPr="00ED18A2">
        <w:rPr>
          <w:rFonts w:ascii="Arial" w:hAnsi="Arial" w:cs="Arial"/>
          <w:lang w:val="en-ZA" w:bidi="en-US"/>
        </w:rPr>
        <w:t xml:space="preserve">The grant allocation approval process is entirely transparent and meets the relevant supply chain management principles. The process involves the following:   </w:t>
      </w:r>
    </w:p>
    <w:p w:rsidR="00ED18A2" w:rsidRPr="00ED18A2" w:rsidRDefault="005F3263" w:rsidP="00ED18A2">
      <w:pPr>
        <w:numPr>
          <w:ilvl w:val="1"/>
          <w:numId w:val="7"/>
        </w:numPr>
        <w:spacing w:after="0" w:line="360" w:lineRule="auto"/>
        <w:ind w:left="1418" w:hanging="284"/>
        <w:jc w:val="both"/>
        <w:rPr>
          <w:rFonts w:ascii="Arial" w:hAnsi="Arial" w:cs="Arial"/>
          <w:lang w:val="en-ZA" w:bidi="en-US"/>
        </w:rPr>
      </w:pPr>
      <w:r>
        <w:rPr>
          <w:rFonts w:ascii="Arial" w:hAnsi="Arial" w:cs="Arial"/>
          <w:lang w:val="en-ZA" w:bidi="en-US"/>
        </w:rPr>
        <w:t xml:space="preserve">Applications are made </w:t>
      </w:r>
      <w:r w:rsidR="00ED18A2" w:rsidRPr="00ED18A2">
        <w:rPr>
          <w:rFonts w:ascii="Arial" w:hAnsi="Arial" w:cs="Arial"/>
          <w:lang w:val="en-ZA" w:bidi="en-US"/>
        </w:rPr>
        <w:t>through the CETA online application tool;</w:t>
      </w:r>
    </w:p>
    <w:p w:rsidR="00663C20" w:rsidRDefault="0048663E" w:rsidP="00442983">
      <w:pPr>
        <w:numPr>
          <w:ilvl w:val="1"/>
          <w:numId w:val="7"/>
        </w:numPr>
        <w:spacing w:after="0" w:line="360" w:lineRule="auto"/>
        <w:ind w:left="1418" w:hanging="284"/>
        <w:jc w:val="both"/>
        <w:rPr>
          <w:rFonts w:ascii="Arial" w:hAnsi="Arial" w:cs="Arial"/>
          <w:lang w:val="en-ZA" w:bidi="en-US"/>
        </w:rPr>
      </w:pPr>
      <w:r>
        <w:rPr>
          <w:rFonts w:ascii="Arial" w:hAnsi="Arial" w:cs="Arial"/>
          <w:lang w:val="en-ZA" w:bidi="en-US"/>
        </w:rPr>
        <w:t>E</w:t>
      </w:r>
      <w:r w:rsidR="00ED18A2" w:rsidRPr="00663C20">
        <w:rPr>
          <w:rFonts w:ascii="Arial" w:hAnsi="Arial" w:cs="Arial"/>
          <w:lang w:val="en-ZA" w:bidi="en-US"/>
        </w:rPr>
        <w:t xml:space="preserve">valuations </w:t>
      </w:r>
      <w:r>
        <w:rPr>
          <w:rFonts w:ascii="Arial" w:hAnsi="Arial" w:cs="Arial"/>
          <w:lang w:val="en-ZA" w:bidi="en-US"/>
        </w:rPr>
        <w:t>are done independently and</w:t>
      </w:r>
      <w:r w:rsidR="00ED18A2" w:rsidRPr="00663C20">
        <w:rPr>
          <w:rFonts w:ascii="Arial" w:hAnsi="Arial" w:cs="Arial"/>
          <w:lang w:val="en-ZA" w:bidi="en-US"/>
        </w:rPr>
        <w:t xml:space="preserve"> recommendatio</w:t>
      </w:r>
      <w:r w:rsidR="00663C20">
        <w:rPr>
          <w:rFonts w:ascii="Arial" w:hAnsi="Arial" w:cs="Arial"/>
          <w:lang w:val="en-ZA" w:bidi="en-US"/>
        </w:rPr>
        <w:t xml:space="preserve">ns </w:t>
      </w:r>
      <w:r>
        <w:rPr>
          <w:rFonts w:ascii="Arial" w:hAnsi="Arial" w:cs="Arial"/>
          <w:lang w:val="en-ZA" w:bidi="en-US"/>
        </w:rPr>
        <w:t xml:space="preserve">are made </w:t>
      </w:r>
      <w:r w:rsidR="00663C20">
        <w:rPr>
          <w:rFonts w:ascii="Arial" w:hAnsi="Arial" w:cs="Arial"/>
          <w:lang w:val="en-ZA" w:bidi="en-US"/>
        </w:rPr>
        <w:t xml:space="preserve">to the CETA Board; </w:t>
      </w:r>
    </w:p>
    <w:p w:rsidR="00ED18A2" w:rsidRPr="00663C20" w:rsidRDefault="00ED18A2" w:rsidP="00442983">
      <w:pPr>
        <w:numPr>
          <w:ilvl w:val="1"/>
          <w:numId w:val="7"/>
        </w:numPr>
        <w:spacing w:after="0" w:line="360" w:lineRule="auto"/>
        <w:ind w:left="1418" w:hanging="284"/>
        <w:jc w:val="both"/>
        <w:rPr>
          <w:rFonts w:ascii="Arial" w:hAnsi="Arial" w:cs="Arial"/>
          <w:lang w:val="en-ZA" w:bidi="en-US"/>
        </w:rPr>
      </w:pPr>
      <w:r w:rsidRPr="00663C20">
        <w:rPr>
          <w:rFonts w:ascii="Arial" w:hAnsi="Arial" w:cs="Arial"/>
          <w:lang w:val="en-ZA" w:bidi="en-US"/>
        </w:rPr>
        <w:t xml:space="preserve">After approval by the CETA Board, the CETA issues </w:t>
      </w:r>
      <w:r w:rsidR="001943F1" w:rsidRPr="00663C20">
        <w:rPr>
          <w:rFonts w:ascii="Arial" w:hAnsi="Arial" w:cs="Arial"/>
          <w:lang w:val="en-ZA" w:bidi="en-US"/>
        </w:rPr>
        <w:t xml:space="preserve">an </w:t>
      </w:r>
      <w:r w:rsidR="00D56175" w:rsidRPr="00663C20">
        <w:rPr>
          <w:rFonts w:ascii="Arial" w:hAnsi="Arial" w:cs="Arial"/>
          <w:lang w:val="en-ZA" w:bidi="en-US"/>
        </w:rPr>
        <w:t>offer to contract</w:t>
      </w:r>
      <w:r w:rsidR="00663C20" w:rsidRPr="00663C20">
        <w:rPr>
          <w:rFonts w:ascii="Arial" w:hAnsi="Arial" w:cs="Arial"/>
          <w:lang w:val="en-ZA" w:bidi="en-US"/>
        </w:rPr>
        <w:t xml:space="preserve"> </w:t>
      </w:r>
      <w:r w:rsidR="005F3263">
        <w:rPr>
          <w:rFonts w:ascii="Arial" w:hAnsi="Arial" w:cs="Arial"/>
          <w:lang w:val="en-ZA" w:bidi="en-US"/>
        </w:rPr>
        <w:t>with</w:t>
      </w:r>
      <w:r w:rsidR="00663C20" w:rsidRPr="00663C20">
        <w:rPr>
          <w:rFonts w:ascii="Arial" w:hAnsi="Arial" w:cs="Arial"/>
          <w:lang w:val="en-ZA" w:bidi="en-US"/>
        </w:rPr>
        <w:t xml:space="preserve"> the successful applicant</w:t>
      </w:r>
      <w:r w:rsidR="001943F1" w:rsidRPr="00663C20">
        <w:rPr>
          <w:rFonts w:ascii="Arial" w:hAnsi="Arial" w:cs="Arial"/>
          <w:lang w:val="en-ZA" w:bidi="en-US"/>
        </w:rPr>
        <w:t>,</w:t>
      </w:r>
      <w:r w:rsidR="00D56175" w:rsidRPr="00663C20">
        <w:rPr>
          <w:rFonts w:ascii="Arial" w:hAnsi="Arial" w:cs="Arial"/>
          <w:lang w:val="en-ZA" w:bidi="en-US"/>
        </w:rPr>
        <w:t xml:space="preserve"> which is subject to various conditions</w:t>
      </w:r>
      <w:r w:rsidR="00663C20">
        <w:rPr>
          <w:rFonts w:ascii="Arial" w:hAnsi="Arial" w:cs="Arial"/>
          <w:lang w:val="en-ZA" w:bidi="en-US"/>
        </w:rPr>
        <w:t xml:space="preserve">, </w:t>
      </w:r>
      <w:r w:rsidRPr="00663C20">
        <w:rPr>
          <w:rFonts w:ascii="Arial" w:hAnsi="Arial" w:cs="Arial"/>
          <w:lang w:val="en-ZA" w:bidi="en-US"/>
        </w:rPr>
        <w:t>includ</w:t>
      </w:r>
      <w:r w:rsidR="00663C20">
        <w:rPr>
          <w:rFonts w:ascii="Arial" w:hAnsi="Arial" w:cs="Arial"/>
          <w:lang w:val="en-ZA" w:bidi="en-US"/>
        </w:rPr>
        <w:t>ing</w:t>
      </w:r>
      <w:r w:rsidR="005F3263">
        <w:rPr>
          <w:rFonts w:ascii="Arial" w:hAnsi="Arial" w:cs="Arial"/>
          <w:lang w:val="en-ZA" w:bidi="en-US"/>
        </w:rPr>
        <w:t xml:space="preserve"> a due diligence exercise </w:t>
      </w:r>
      <w:r w:rsidRPr="00663C20">
        <w:rPr>
          <w:rFonts w:ascii="Arial" w:hAnsi="Arial" w:cs="Arial"/>
          <w:lang w:val="en-ZA" w:bidi="en-US"/>
        </w:rPr>
        <w:t>to determine the ability of the approved applicants to implement their proposed projects;</w:t>
      </w:r>
      <w:r w:rsidR="005F3263">
        <w:rPr>
          <w:rFonts w:ascii="Arial" w:hAnsi="Arial" w:cs="Arial"/>
          <w:lang w:val="en-ZA" w:bidi="en-US"/>
        </w:rPr>
        <w:t xml:space="preserve"> and</w:t>
      </w:r>
    </w:p>
    <w:p w:rsidR="00ED18A2" w:rsidRPr="00ED18A2" w:rsidRDefault="00421717" w:rsidP="005F3263">
      <w:pPr>
        <w:numPr>
          <w:ilvl w:val="1"/>
          <w:numId w:val="7"/>
        </w:numPr>
        <w:spacing w:line="360" w:lineRule="auto"/>
        <w:ind w:left="1418" w:hanging="284"/>
        <w:jc w:val="both"/>
        <w:rPr>
          <w:rFonts w:ascii="Arial" w:hAnsi="Arial" w:cs="Arial"/>
          <w:lang w:val="en-ZA" w:bidi="en-US"/>
        </w:rPr>
      </w:pPr>
      <w:r w:rsidRPr="00ED18A2">
        <w:rPr>
          <w:rFonts w:ascii="Arial" w:hAnsi="Arial" w:cs="Arial"/>
          <w:lang w:val="en-ZA" w:bidi="en-US"/>
        </w:rPr>
        <w:t>CETA finally approve</w:t>
      </w:r>
      <w:r>
        <w:rPr>
          <w:rFonts w:ascii="Arial" w:hAnsi="Arial" w:cs="Arial"/>
          <w:lang w:val="en-ZA" w:bidi="en-US"/>
        </w:rPr>
        <w:t>s</w:t>
      </w:r>
      <w:r w:rsidRPr="00ED18A2">
        <w:rPr>
          <w:rFonts w:ascii="Arial" w:hAnsi="Arial" w:cs="Arial"/>
          <w:lang w:val="en-ZA" w:bidi="en-US"/>
        </w:rPr>
        <w:t xml:space="preserve"> the relevant grants</w:t>
      </w:r>
      <w:r w:rsidR="00663C20">
        <w:rPr>
          <w:rFonts w:ascii="Arial" w:hAnsi="Arial" w:cs="Arial"/>
          <w:lang w:val="en-ZA" w:bidi="en-US"/>
        </w:rPr>
        <w:t>,</w:t>
      </w:r>
      <w:r w:rsidRPr="00ED18A2">
        <w:rPr>
          <w:rFonts w:ascii="Arial" w:hAnsi="Arial" w:cs="Arial"/>
          <w:lang w:val="en-ZA" w:bidi="en-US"/>
        </w:rPr>
        <w:t xml:space="preserve"> </w:t>
      </w:r>
      <w:r>
        <w:rPr>
          <w:rFonts w:ascii="Arial" w:hAnsi="Arial" w:cs="Arial"/>
          <w:lang w:val="en-ZA" w:bidi="en-US"/>
        </w:rPr>
        <w:t>o</w:t>
      </w:r>
      <w:r w:rsidR="00ED18A2" w:rsidRPr="00ED18A2">
        <w:rPr>
          <w:rFonts w:ascii="Arial" w:hAnsi="Arial" w:cs="Arial"/>
          <w:lang w:val="en-ZA" w:bidi="en-US"/>
        </w:rPr>
        <w:t xml:space="preserve">nly after applicants </w:t>
      </w:r>
      <w:r w:rsidR="00F41316">
        <w:rPr>
          <w:rFonts w:ascii="Arial" w:hAnsi="Arial" w:cs="Arial"/>
          <w:lang w:val="en-ZA" w:bidi="en-US"/>
        </w:rPr>
        <w:t>have</w:t>
      </w:r>
      <w:r w:rsidR="006D2B3B">
        <w:rPr>
          <w:rFonts w:ascii="Arial" w:hAnsi="Arial" w:cs="Arial"/>
          <w:lang w:val="en-ZA" w:bidi="en-US"/>
        </w:rPr>
        <w:t xml:space="preserve"> satisfied CETA </w:t>
      </w:r>
      <w:r w:rsidR="00ED18A2" w:rsidRPr="006D2B3B">
        <w:rPr>
          <w:rFonts w:ascii="Arial" w:hAnsi="Arial" w:cs="Arial"/>
          <w:lang w:val="en-ZA" w:bidi="en-US"/>
        </w:rPr>
        <w:t>of its a</w:t>
      </w:r>
      <w:r w:rsidR="00ED18A2" w:rsidRPr="00ED18A2">
        <w:rPr>
          <w:rFonts w:ascii="Arial" w:hAnsi="Arial" w:cs="Arial"/>
          <w:lang w:val="en-ZA" w:bidi="en-US"/>
        </w:rPr>
        <w:t>bility to impleme</w:t>
      </w:r>
      <w:r>
        <w:rPr>
          <w:rFonts w:ascii="Arial" w:hAnsi="Arial" w:cs="Arial"/>
          <w:lang w:val="en-ZA" w:bidi="en-US"/>
        </w:rPr>
        <w:t>nt their proposed projects</w:t>
      </w:r>
      <w:r w:rsidR="005F3263">
        <w:rPr>
          <w:rFonts w:ascii="Arial" w:hAnsi="Arial" w:cs="Arial"/>
          <w:lang w:val="en-ZA" w:bidi="en-US"/>
        </w:rPr>
        <w:t>.</w:t>
      </w:r>
    </w:p>
    <w:p w:rsidR="00ED18A2" w:rsidRPr="00ED18A2" w:rsidRDefault="00ED18A2" w:rsidP="005F3263">
      <w:pPr>
        <w:spacing w:line="360" w:lineRule="auto"/>
        <w:ind w:left="709"/>
        <w:jc w:val="both"/>
        <w:rPr>
          <w:rFonts w:ascii="Arial" w:hAnsi="Arial" w:cs="Arial"/>
          <w:lang w:val="en-ZA" w:bidi="en-US"/>
        </w:rPr>
      </w:pPr>
      <w:r w:rsidRPr="00ED18A2">
        <w:rPr>
          <w:rFonts w:ascii="Arial" w:hAnsi="Arial" w:cs="Arial"/>
          <w:lang w:val="en-ZA" w:bidi="en-US"/>
        </w:rPr>
        <w:t xml:space="preserve">The </w:t>
      </w:r>
      <w:r w:rsidR="009B335D" w:rsidRPr="00ED18A2">
        <w:rPr>
          <w:rFonts w:ascii="Arial" w:hAnsi="Arial" w:cs="Arial"/>
          <w:lang w:val="en-ZA" w:bidi="en-US"/>
        </w:rPr>
        <w:t>process that is followed in respect thereof ensures the integrity of the CETA’s project allocation</w:t>
      </w:r>
      <w:r w:rsidRPr="00ED18A2">
        <w:rPr>
          <w:rFonts w:ascii="Arial" w:hAnsi="Arial" w:cs="Arial"/>
          <w:lang w:val="en-ZA" w:bidi="en-US"/>
        </w:rPr>
        <w:t xml:space="preserve">. </w:t>
      </w:r>
    </w:p>
    <w:p w:rsidR="00ED18A2" w:rsidRPr="00ED18A2" w:rsidRDefault="00D56175" w:rsidP="00ED18A2">
      <w:pPr>
        <w:numPr>
          <w:ilvl w:val="0"/>
          <w:numId w:val="4"/>
        </w:numPr>
        <w:spacing w:after="0" w:line="360" w:lineRule="auto"/>
        <w:ind w:left="709" w:hanging="425"/>
        <w:jc w:val="both"/>
        <w:rPr>
          <w:rFonts w:ascii="Arial" w:hAnsi="Arial" w:cs="Arial"/>
          <w:lang w:val="en-ZA" w:bidi="en-US"/>
        </w:rPr>
      </w:pPr>
      <w:r>
        <w:rPr>
          <w:rFonts w:ascii="Arial" w:hAnsi="Arial" w:cs="Arial"/>
          <w:lang w:val="en-ZA" w:bidi="en-US"/>
        </w:rPr>
        <w:t>S</w:t>
      </w:r>
      <w:r w:rsidR="00ED18A2" w:rsidRPr="00ED18A2">
        <w:rPr>
          <w:rFonts w:ascii="Arial" w:hAnsi="Arial" w:cs="Arial"/>
          <w:lang w:val="en-ZA" w:bidi="en-US"/>
        </w:rPr>
        <w:t>ince the 2011/12 financial year, all payme</w:t>
      </w:r>
      <w:r w:rsidR="00F41316">
        <w:rPr>
          <w:rFonts w:ascii="Arial" w:hAnsi="Arial" w:cs="Arial"/>
          <w:lang w:val="en-ZA" w:bidi="en-US"/>
        </w:rPr>
        <w:t>nts to successful applicants were</w:t>
      </w:r>
      <w:r w:rsidR="00ED18A2" w:rsidRPr="00ED18A2">
        <w:rPr>
          <w:rFonts w:ascii="Arial" w:hAnsi="Arial" w:cs="Arial"/>
          <w:lang w:val="en-ZA" w:bidi="en-US"/>
        </w:rPr>
        <w:t xml:space="preserve"> made in accordance with the CETA’s performance based payment system, in terms of which:</w:t>
      </w:r>
    </w:p>
    <w:p w:rsidR="00ED18A2" w:rsidRPr="00ED18A2" w:rsidRDefault="00ED18A2" w:rsidP="00ED18A2">
      <w:pPr>
        <w:numPr>
          <w:ilvl w:val="0"/>
          <w:numId w:val="8"/>
        </w:numPr>
        <w:spacing w:after="0" w:line="360" w:lineRule="auto"/>
        <w:ind w:left="1418" w:hanging="284"/>
        <w:contextualSpacing/>
        <w:jc w:val="both"/>
        <w:rPr>
          <w:rFonts w:ascii="Arial" w:hAnsi="Arial" w:cs="Arial"/>
          <w:lang w:val="en-ZA" w:bidi="en-US"/>
        </w:rPr>
      </w:pPr>
      <w:r w:rsidRPr="00ED18A2">
        <w:rPr>
          <w:rFonts w:ascii="Arial" w:hAnsi="Arial" w:cs="Arial"/>
          <w:lang w:val="en-ZA" w:bidi="en-US"/>
        </w:rPr>
        <w:t xml:space="preserve">Payments are made after submission and approval of compliant invoices and supporting documentation;   </w:t>
      </w:r>
    </w:p>
    <w:p w:rsidR="00ED18A2" w:rsidRPr="00ED18A2" w:rsidRDefault="00ED18A2" w:rsidP="00ED18A2">
      <w:pPr>
        <w:numPr>
          <w:ilvl w:val="0"/>
          <w:numId w:val="8"/>
        </w:numPr>
        <w:spacing w:after="0" w:line="360" w:lineRule="auto"/>
        <w:ind w:left="1418" w:hanging="284"/>
        <w:contextualSpacing/>
        <w:jc w:val="both"/>
        <w:rPr>
          <w:rFonts w:ascii="Arial" w:hAnsi="Arial" w:cs="Arial"/>
          <w:lang w:val="en-ZA" w:bidi="en-US"/>
        </w:rPr>
      </w:pPr>
      <w:r w:rsidRPr="00ED18A2">
        <w:rPr>
          <w:rFonts w:ascii="Arial" w:hAnsi="Arial" w:cs="Arial"/>
          <w:lang w:val="en-ZA" w:bidi="en-US"/>
        </w:rPr>
        <w:t>All payments can accordingly be traced back to costs incurred in respect of specific learners, in accordance with the supporting documentation which entities are required to submit prior to receiving payment;</w:t>
      </w:r>
    </w:p>
    <w:p w:rsidR="00ED18A2" w:rsidRPr="00ED18A2" w:rsidRDefault="00ED18A2" w:rsidP="00ED18A2">
      <w:pPr>
        <w:numPr>
          <w:ilvl w:val="0"/>
          <w:numId w:val="8"/>
        </w:numPr>
        <w:spacing w:after="0" w:line="360" w:lineRule="auto"/>
        <w:ind w:left="1418" w:hanging="284"/>
        <w:contextualSpacing/>
        <w:jc w:val="both"/>
        <w:rPr>
          <w:rFonts w:ascii="Arial" w:hAnsi="Arial" w:cs="Arial"/>
          <w:lang w:val="en-ZA" w:bidi="en-US"/>
        </w:rPr>
      </w:pPr>
      <w:r w:rsidRPr="00ED18A2">
        <w:rPr>
          <w:rFonts w:ascii="Arial" w:hAnsi="Arial" w:cs="Arial"/>
          <w:lang w:val="en-ZA" w:bidi="en-US"/>
        </w:rPr>
        <w:lastRenderedPageBreak/>
        <w:t xml:space="preserve">The supporting information required before payments are made include, where applicable, learner attendance registers, proof of payment of stipends to learners and proof of receipt of learning materials received by the learners;  </w:t>
      </w:r>
    </w:p>
    <w:p w:rsidR="00ED18A2" w:rsidRPr="00ED18A2" w:rsidRDefault="001943F1" w:rsidP="00ED18A2">
      <w:pPr>
        <w:numPr>
          <w:ilvl w:val="0"/>
          <w:numId w:val="8"/>
        </w:numPr>
        <w:spacing w:after="0" w:line="360" w:lineRule="auto"/>
        <w:ind w:left="1418" w:hanging="284"/>
        <w:contextualSpacing/>
        <w:jc w:val="both"/>
        <w:rPr>
          <w:rFonts w:ascii="Arial" w:hAnsi="Arial" w:cs="Arial"/>
          <w:lang w:val="en-ZA" w:bidi="en-US"/>
        </w:rPr>
      </w:pPr>
      <w:r>
        <w:rPr>
          <w:rFonts w:ascii="Arial" w:hAnsi="Arial" w:cs="Arial"/>
          <w:lang w:val="en-ZA" w:bidi="en-US"/>
        </w:rPr>
        <w:t>No advance</w:t>
      </w:r>
      <w:r w:rsidR="00ED18A2" w:rsidRPr="00ED18A2">
        <w:rPr>
          <w:rFonts w:ascii="Arial" w:hAnsi="Arial" w:cs="Arial"/>
          <w:lang w:val="en-ZA" w:bidi="en-US"/>
        </w:rPr>
        <w:t xml:space="preserve"> pa</w:t>
      </w:r>
      <w:r>
        <w:rPr>
          <w:rFonts w:ascii="Arial" w:hAnsi="Arial" w:cs="Arial"/>
          <w:lang w:val="en-ZA" w:bidi="en-US"/>
        </w:rPr>
        <w:t>yments are made to any entities;</w:t>
      </w:r>
    </w:p>
    <w:p w:rsidR="00ED18A2" w:rsidRPr="00ED18A2" w:rsidRDefault="00ED18A2" w:rsidP="00ED18A2">
      <w:pPr>
        <w:numPr>
          <w:ilvl w:val="0"/>
          <w:numId w:val="8"/>
        </w:numPr>
        <w:spacing w:after="0" w:line="360" w:lineRule="auto"/>
        <w:ind w:left="1418" w:hanging="284"/>
        <w:contextualSpacing/>
        <w:jc w:val="both"/>
        <w:rPr>
          <w:rFonts w:ascii="Arial" w:hAnsi="Arial" w:cs="Arial"/>
          <w:lang w:val="en-ZA" w:bidi="en-US"/>
        </w:rPr>
      </w:pPr>
      <w:r w:rsidRPr="00ED18A2">
        <w:rPr>
          <w:rFonts w:ascii="Arial" w:hAnsi="Arial" w:cs="Arial"/>
          <w:lang w:val="en-ZA" w:bidi="en-US"/>
        </w:rPr>
        <w:t>As a consequence, entities who do not perform in accordance with their project planning will not recei</w:t>
      </w:r>
      <w:r w:rsidR="001943F1">
        <w:rPr>
          <w:rFonts w:ascii="Arial" w:hAnsi="Arial" w:cs="Arial"/>
          <w:lang w:val="en-ZA" w:bidi="en-US"/>
        </w:rPr>
        <w:t xml:space="preserve">ve </w:t>
      </w:r>
      <w:r w:rsidR="00663C20">
        <w:rPr>
          <w:rFonts w:ascii="Arial" w:hAnsi="Arial" w:cs="Arial"/>
          <w:lang w:val="en-ZA" w:bidi="en-US"/>
        </w:rPr>
        <w:t xml:space="preserve">their full grant allocation; </w:t>
      </w:r>
    </w:p>
    <w:p w:rsidR="00663C20" w:rsidRDefault="00ED18A2" w:rsidP="00663C20">
      <w:pPr>
        <w:numPr>
          <w:ilvl w:val="0"/>
          <w:numId w:val="8"/>
        </w:numPr>
        <w:spacing w:after="0" w:line="360" w:lineRule="auto"/>
        <w:ind w:left="1418" w:hanging="284"/>
        <w:contextualSpacing/>
        <w:jc w:val="both"/>
        <w:rPr>
          <w:rFonts w:ascii="Arial" w:hAnsi="Arial" w:cs="Arial"/>
          <w:lang w:val="en-ZA" w:bidi="en-US"/>
        </w:rPr>
      </w:pPr>
      <w:r w:rsidRPr="00ED18A2">
        <w:rPr>
          <w:rFonts w:ascii="Arial" w:hAnsi="Arial" w:cs="Arial"/>
          <w:lang w:val="en-ZA" w:bidi="en-US"/>
        </w:rPr>
        <w:t xml:space="preserve">Payments are only made in respect of services </w:t>
      </w:r>
      <w:r w:rsidR="00663C20">
        <w:rPr>
          <w:rFonts w:ascii="Arial" w:hAnsi="Arial" w:cs="Arial"/>
          <w:lang w:val="en-ZA" w:bidi="en-US"/>
        </w:rPr>
        <w:t xml:space="preserve">rendered or expenses incurred; and </w:t>
      </w:r>
    </w:p>
    <w:p w:rsidR="00ED18A2" w:rsidRDefault="00ED18A2" w:rsidP="00663C20">
      <w:pPr>
        <w:numPr>
          <w:ilvl w:val="0"/>
          <w:numId w:val="8"/>
        </w:numPr>
        <w:spacing w:after="0" w:line="360" w:lineRule="auto"/>
        <w:ind w:left="1418" w:hanging="284"/>
        <w:contextualSpacing/>
        <w:jc w:val="both"/>
        <w:rPr>
          <w:rFonts w:ascii="Arial" w:hAnsi="Arial" w:cs="Arial"/>
          <w:lang w:val="en-ZA" w:bidi="en-US"/>
        </w:rPr>
      </w:pPr>
      <w:proofErr w:type="gramStart"/>
      <w:r w:rsidRPr="00663C20">
        <w:rPr>
          <w:rFonts w:ascii="Arial" w:hAnsi="Arial" w:cs="Arial"/>
          <w:lang w:val="en-ZA" w:bidi="en-US"/>
        </w:rPr>
        <w:t>the</w:t>
      </w:r>
      <w:proofErr w:type="gramEnd"/>
      <w:r w:rsidRPr="00663C20">
        <w:rPr>
          <w:rFonts w:ascii="Arial" w:hAnsi="Arial" w:cs="Arial"/>
          <w:lang w:val="en-ZA" w:bidi="en-US"/>
        </w:rPr>
        <w:t xml:space="preserve"> CETA has strict invoicing processing compliance requirements in which payments are only made into approved bank accounts, or, in the instance of public entities, separate cost centres, allocated exclusively to the approved CETA project.</w:t>
      </w:r>
    </w:p>
    <w:p w:rsidR="00663C20" w:rsidRPr="00663C20" w:rsidRDefault="00663C20" w:rsidP="00663C20">
      <w:pPr>
        <w:spacing w:after="0" w:line="360" w:lineRule="auto"/>
        <w:ind w:left="1418"/>
        <w:contextualSpacing/>
        <w:jc w:val="both"/>
        <w:rPr>
          <w:rFonts w:ascii="Arial" w:hAnsi="Arial" w:cs="Arial"/>
          <w:lang w:val="en-ZA" w:bidi="en-US"/>
        </w:rPr>
      </w:pPr>
    </w:p>
    <w:p w:rsidR="00ED18A2" w:rsidRPr="00ED18A2" w:rsidRDefault="00421717" w:rsidP="00D56175">
      <w:pPr>
        <w:numPr>
          <w:ilvl w:val="0"/>
          <w:numId w:val="2"/>
        </w:numPr>
        <w:spacing w:after="0" w:line="360" w:lineRule="auto"/>
        <w:ind w:left="426" w:hanging="426"/>
        <w:jc w:val="both"/>
        <w:rPr>
          <w:rFonts w:ascii="Arial" w:hAnsi="Arial" w:cs="Arial"/>
          <w:lang w:val="en-ZA" w:bidi="en-US"/>
        </w:rPr>
      </w:pPr>
      <w:r>
        <w:rPr>
          <w:rFonts w:ascii="Arial" w:hAnsi="Arial" w:cs="Arial"/>
          <w:lang w:val="en-ZA" w:bidi="en-US"/>
        </w:rPr>
        <w:t>Below</w:t>
      </w:r>
      <w:r w:rsidR="00ED18A2" w:rsidRPr="00D56175">
        <w:rPr>
          <w:rFonts w:ascii="Arial" w:hAnsi="Arial" w:cs="Arial"/>
          <w:lang w:val="en-ZA" w:bidi="en-US"/>
        </w:rPr>
        <w:t xml:space="preserve"> are the t</w:t>
      </w:r>
      <w:r w:rsidR="00ED18A2" w:rsidRPr="00ED18A2">
        <w:rPr>
          <w:rFonts w:ascii="Arial" w:hAnsi="Arial" w:cs="Arial"/>
          <w:lang w:val="en-ZA"/>
        </w:rPr>
        <w:t>hree areas in which the CETA ensures quality:</w:t>
      </w:r>
    </w:p>
    <w:p w:rsidR="00ED18A2" w:rsidRPr="00ED18A2" w:rsidRDefault="00ED18A2" w:rsidP="00ED18A2">
      <w:pPr>
        <w:numPr>
          <w:ilvl w:val="0"/>
          <w:numId w:val="9"/>
        </w:numPr>
        <w:spacing w:before="100" w:beforeAutospacing="1" w:after="100" w:afterAutospacing="1" w:line="360" w:lineRule="auto"/>
        <w:contextualSpacing/>
        <w:jc w:val="both"/>
        <w:rPr>
          <w:rFonts w:ascii="Arial" w:hAnsi="Arial" w:cs="Arial"/>
          <w:lang w:val="en-ZA"/>
        </w:rPr>
      </w:pPr>
      <w:r w:rsidRPr="00ED18A2">
        <w:rPr>
          <w:rFonts w:ascii="Arial" w:hAnsi="Arial" w:cs="Arial"/>
          <w:lang w:val="en-ZA"/>
        </w:rPr>
        <w:t>Accountability and conformance to standards</w:t>
      </w:r>
      <w:r w:rsidR="00663C20">
        <w:rPr>
          <w:rFonts w:ascii="Arial" w:hAnsi="Arial" w:cs="Arial"/>
          <w:lang w:val="en-ZA"/>
        </w:rPr>
        <w:t>;</w:t>
      </w:r>
    </w:p>
    <w:p w:rsidR="00ED18A2" w:rsidRPr="00ED18A2" w:rsidRDefault="00ED18A2" w:rsidP="00ED18A2">
      <w:pPr>
        <w:numPr>
          <w:ilvl w:val="0"/>
          <w:numId w:val="9"/>
        </w:numPr>
        <w:spacing w:before="100" w:beforeAutospacing="1" w:after="100" w:afterAutospacing="1" w:line="360" w:lineRule="auto"/>
        <w:contextualSpacing/>
        <w:jc w:val="both"/>
        <w:rPr>
          <w:rFonts w:ascii="Arial" w:hAnsi="Arial" w:cs="Arial"/>
          <w:lang w:val="en-ZA"/>
        </w:rPr>
      </w:pPr>
      <w:r w:rsidRPr="00ED18A2">
        <w:rPr>
          <w:rFonts w:ascii="Arial" w:hAnsi="Arial" w:cs="Arial"/>
          <w:lang w:val="en-ZA"/>
        </w:rPr>
        <w:t>Maintaini</w:t>
      </w:r>
      <w:r w:rsidR="001943F1">
        <w:rPr>
          <w:rFonts w:ascii="Arial" w:hAnsi="Arial" w:cs="Arial"/>
          <w:lang w:val="en-ZA"/>
        </w:rPr>
        <w:t>ng and enhancing the quality of f</w:t>
      </w:r>
      <w:r w:rsidRPr="00ED18A2">
        <w:rPr>
          <w:rFonts w:ascii="Arial" w:hAnsi="Arial" w:cs="Arial"/>
          <w:lang w:val="en-ZA"/>
        </w:rPr>
        <w:t xml:space="preserve">acilitation and learning by </w:t>
      </w:r>
      <w:r w:rsidR="001943F1">
        <w:rPr>
          <w:rFonts w:ascii="Arial" w:hAnsi="Arial" w:cs="Arial"/>
          <w:lang w:val="en-ZA"/>
        </w:rPr>
        <w:t>a</w:t>
      </w:r>
      <w:r w:rsidRPr="00ED18A2">
        <w:rPr>
          <w:rFonts w:ascii="Arial" w:hAnsi="Arial" w:cs="Arial"/>
          <w:lang w:val="en-ZA"/>
        </w:rPr>
        <w:t>ccredited Skills Development Providers</w:t>
      </w:r>
      <w:r w:rsidR="00663C20">
        <w:rPr>
          <w:rFonts w:ascii="Arial" w:hAnsi="Arial" w:cs="Arial"/>
          <w:lang w:val="en-ZA"/>
        </w:rPr>
        <w:t>; and</w:t>
      </w:r>
    </w:p>
    <w:p w:rsidR="00ED18A2" w:rsidRDefault="00ED18A2" w:rsidP="00D56175">
      <w:pPr>
        <w:numPr>
          <w:ilvl w:val="0"/>
          <w:numId w:val="9"/>
        </w:numPr>
        <w:spacing w:before="100" w:beforeAutospacing="1" w:after="100" w:afterAutospacing="1" w:line="360" w:lineRule="auto"/>
        <w:contextualSpacing/>
        <w:jc w:val="both"/>
        <w:rPr>
          <w:rFonts w:ascii="Arial" w:hAnsi="Arial" w:cs="Arial"/>
          <w:lang w:val="en-ZA"/>
        </w:rPr>
      </w:pPr>
      <w:r w:rsidRPr="00ED18A2">
        <w:rPr>
          <w:rFonts w:ascii="Arial" w:hAnsi="Arial" w:cs="Arial"/>
          <w:lang w:val="en-ZA"/>
        </w:rPr>
        <w:t>Quality enhancement and continually improving practitioners, assessors, moderators and staff.</w:t>
      </w:r>
    </w:p>
    <w:p w:rsidR="00663C20" w:rsidRPr="00ED18A2" w:rsidRDefault="00663C20" w:rsidP="00663C20">
      <w:pPr>
        <w:spacing w:before="100" w:beforeAutospacing="1" w:after="100" w:afterAutospacing="1" w:line="360" w:lineRule="auto"/>
        <w:ind w:left="720"/>
        <w:contextualSpacing/>
        <w:jc w:val="both"/>
        <w:rPr>
          <w:rFonts w:ascii="Arial" w:hAnsi="Arial" w:cs="Arial"/>
          <w:lang w:val="en-ZA"/>
        </w:rPr>
      </w:pPr>
    </w:p>
    <w:p w:rsidR="00ED18A2" w:rsidRPr="00ED18A2" w:rsidRDefault="00421717" w:rsidP="00B36089">
      <w:pPr>
        <w:numPr>
          <w:ilvl w:val="0"/>
          <w:numId w:val="2"/>
        </w:numPr>
        <w:spacing w:after="0" w:line="360" w:lineRule="auto"/>
        <w:ind w:left="426" w:hanging="426"/>
        <w:jc w:val="both"/>
        <w:rPr>
          <w:rFonts w:ascii="Arial" w:hAnsi="Arial" w:cs="Arial"/>
          <w:lang w:val="en-ZA" w:bidi="en-US"/>
        </w:rPr>
      </w:pPr>
      <w:r>
        <w:rPr>
          <w:rFonts w:ascii="Arial" w:hAnsi="Arial" w:cs="Arial"/>
          <w:lang w:val="en-ZA" w:bidi="en-US"/>
        </w:rPr>
        <w:t>The following m</w:t>
      </w:r>
      <w:r w:rsidR="00ED18A2" w:rsidRPr="00ED18A2">
        <w:rPr>
          <w:rFonts w:ascii="Arial" w:hAnsi="Arial" w:cs="Arial"/>
          <w:lang w:val="en-ZA" w:bidi="en-US"/>
        </w:rPr>
        <w:t>easure</w:t>
      </w:r>
      <w:r>
        <w:rPr>
          <w:rFonts w:ascii="Arial" w:hAnsi="Arial" w:cs="Arial"/>
          <w:lang w:val="en-ZA" w:bidi="en-US"/>
        </w:rPr>
        <w:t>s are implemented</w:t>
      </w:r>
      <w:r w:rsidR="00ED18A2" w:rsidRPr="00ED18A2">
        <w:rPr>
          <w:rFonts w:ascii="Arial" w:hAnsi="Arial" w:cs="Arial"/>
          <w:lang w:val="en-ZA" w:bidi="en-US"/>
        </w:rPr>
        <w:t xml:space="preserve"> to ensure th</w:t>
      </w:r>
      <w:r>
        <w:rPr>
          <w:rFonts w:ascii="Arial" w:hAnsi="Arial" w:cs="Arial"/>
          <w:lang w:val="en-ZA" w:bidi="en-US"/>
        </w:rPr>
        <w:t>at</w:t>
      </w:r>
      <w:r w:rsidR="00ED18A2" w:rsidRPr="00ED18A2">
        <w:rPr>
          <w:rFonts w:ascii="Arial" w:hAnsi="Arial" w:cs="Arial"/>
          <w:lang w:val="en-ZA" w:bidi="en-US"/>
        </w:rPr>
        <w:t xml:space="preserve"> CETA accounts for all funds </w:t>
      </w:r>
      <w:r w:rsidR="00A23CBA">
        <w:rPr>
          <w:rFonts w:ascii="Arial" w:hAnsi="Arial" w:cs="Arial"/>
          <w:lang w:val="en-ZA" w:bidi="en-US"/>
        </w:rPr>
        <w:t>utilised</w:t>
      </w:r>
      <w:r w:rsidR="00ED18A2" w:rsidRPr="00ED18A2">
        <w:rPr>
          <w:rFonts w:ascii="Arial" w:hAnsi="Arial" w:cs="Arial"/>
          <w:lang w:val="en-ZA" w:bidi="en-US"/>
        </w:rPr>
        <w:t>:</w:t>
      </w:r>
    </w:p>
    <w:p w:rsidR="00ED18A2" w:rsidRPr="00ED18A2" w:rsidRDefault="00663C20" w:rsidP="00ED18A2">
      <w:pPr>
        <w:numPr>
          <w:ilvl w:val="0"/>
          <w:numId w:val="10"/>
        </w:numPr>
        <w:spacing w:after="0" w:line="360" w:lineRule="auto"/>
        <w:contextualSpacing/>
        <w:jc w:val="both"/>
        <w:rPr>
          <w:rFonts w:ascii="Arial" w:hAnsi="Arial" w:cs="Arial"/>
          <w:lang w:val="en-ZA"/>
        </w:rPr>
      </w:pPr>
      <w:r>
        <w:rPr>
          <w:rFonts w:ascii="Arial" w:hAnsi="Arial" w:cs="Arial"/>
          <w:lang w:val="en-ZA"/>
        </w:rPr>
        <w:t>A commitment schedule, w</w:t>
      </w:r>
      <w:r w:rsidR="00ED18A2" w:rsidRPr="00ED18A2">
        <w:rPr>
          <w:rFonts w:ascii="Arial" w:hAnsi="Arial" w:cs="Arial"/>
          <w:lang w:val="en-ZA"/>
        </w:rPr>
        <w:t>hich is reviewed on a regular basis</w:t>
      </w:r>
      <w:r>
        <w:rPr>
          <w:rFonts w:ascii="Arial" w:hAnsi="Arial" w:cs="Arial"/>
          <w:lang w:val="en-ZA"/>
        </w:rPr>
        <w:t>, is maintained;</w:t>
      </w:r>
    </w:p>
    <w:p w:rsidR="00ED18A2" w:rsidRPr="00ED18A2" w:rsidRDefault="00ED18A2" w:rsidP="00ED18A2">
      <w:pPr>
        <w:numPr>
          <w:ilvl w:val="0"/>
          <w:numId w:val="10"/>
        </w:numPr>
        <w:spacing w:after="0" w:line="360" w:lineRule="auto"/>
        <w:contextualSpacing/>
        <w:jc w:val="both"/>
        <w:rPr>
          <w:rFonts w:ascii="Arial" w:hAnsi="Arial" w:cs="Arial"/>
          <w:lang w:val="en-ZA"/>
        </w:rPr>
      </w:pPr>
      <w:r w:rsidRPr="00ED18A2">
        <w:rPr>
          <w:rFonts w:ascii="Arial" w:hAnsi="Arial" w:cs="Arial"/>
          <w:lang w:val="en-ZA"/>
        </w:rPr>
        <w:t xml:space="preserve">Monthly management reports are reviewed by </w:t>
      </w:r>
      <w:r w:rsidR="001943F1">
        <w:rPr>
          <w:rFonts w:ascii="Arial" w:hAnsi="Arial" w:cs="Arial"/>
          <w:lang w:val="en-ZA"/>
        </w:rPr>
        <w:t xml:space="preserve">the </w:t>
      </w:r>
      <w:r w:rsidRPr="00ED18A2">
        <w:rPr>
          <w:rFonts w:ascii="Arial" w:hAnsi="Arial" w:cs="Arial"/>
          <w:lang w:val="en-ZA"/>
        </w:rPr>
        <w:t>Finance Committee</w:t>
      </w:r>
      <w:r w:rsidR="00663C20">
        <w:rPr>
          <w:rFonts w:ascii="Arial" w:hAnsi="Arial" w:cs="Arial"/>
          <w:lang w:val="en-ZA"/>
        </w:rPr>
        <w:t>;</w:t>
      </w:r>
    </w:p>
    <w:p w:rsidR="00ED18A2" w:rsidRPr="00ED18A2" w:rsidRDefault="00ED18A2" w:rsidP="00ED18A2">
      <w:pPr>
        <w:numPr>
          <w:ilvl w:val="0"/>
          <w:numId w:val="10"/>
        </w:numPr>
        <w:spacing w:after="0" w:line="360" w:lineRule="auto"/>
        <w:contextualSpacing/>
        <w:jc w:val="both"/>
        <w:rPr>
          <w:rFonts w:ascii="Arial" w:hAnsi="Arial" w:cs="Arial"/>
          <w:lang w:val="en-ZA"/>
        </w:rPr>
      </w:pPr>
      <w:r w:rsidRPr="00ED18A2">
        <w:rPr>
          <w:rFonts w:ascii="Arial" w:hAnsi="Arial" w:cs="Arial"/>
          <w:lang w:val="en-ZA"/>
        </w:rPr>
        <w:t>Financial statements are prepared on a quarterly basis</w:t>
      </w:r>
      <w:r w:rsidR="00663C20">
        <w:rPr>
          <w:rFonts w:ascii="Arial" w:hAnsi="Arial" w:cs="Arial"/>
          <w:lang w:val="en-ZA"/>
        </w:rPr>
        <w:t>;</w:t>
      </w:r>
      <w:r w:rsidRPr="00ED18A2">
        <w:rPr>
          <w:rFonts w:ascii="Arial" w:hAnsi="Arial" w:cs="Arial"/>
          <w:lang w:val="en-ZA"/>
        </w:rPr>
        <w:t xml:space="preserve"> </w:t>
      </w:r>
    </w:p>
    <w:p w:rsidR="00ED18A2" w:rsidRPr="00ED18A2" w:rsidRDefault="00ED18A2" w:rsidP="00ED18A2">
      <w:pPr>
        <w:numPr>
          <w:ilvl w:val="0"/>
          <w:numId w:val="10"/>
        </w:numPr>
        <w:spacing w:after="0" w:line="360" w:lineRule="auto"/>
        <w:contextualSpacing/>
        <w:jc w:val="both"/>
        <w:rPr>
          <w:rFonts w:ascii="Arial" w:hAnsi="Arial" w:cs="Arial"/>
          <w:lang w:val="en-ZA"/>
        </w:rPr>
      </w:pPr>
      <w:r w:rsidRPr="00ED18A2">
        <w:rPr>
          <w:rFonts w:ascii="Arial" w:hAnsi="Arial" w:cs="Arial"/>
          <w:lang w:val="en-ZA"/>
        </w:rPr>
        <w:t>Annual financial statements are reviewed by the Audit Committee</w:t>
      </w:r>
      <w:r w:rsidR="00663C20">
        <w:rPr>
          <w:rFonts w:ascii="Arial" w:hAnsi="Arial" w:cs="Arial"/>
          <w:lang w:val="en-ZA"/>
        </w:rPr>
        <w:t>; and</w:t>
      </w:r>
    </w:p>
    <w:p w:rsidR="00ED18A2" w:rsidRPr="00ED18A2" w:rsidRDefault="00ED18A2" w:rsidP="00ED18A2">
      <w:pPr>
        <w:numPr>
          <w:ilvl w:val="0"/>
          <w:numId w:val="10"/>
        </w:numPr>
        <w:spacing w:after="0" w:line="360" w:lineRule="auto"/>
        <w:contextualSpacing/>
        <w:jc w:val="both"/>
        <w:rPr>
          <w:rFonts w:ascii="Arial" w:hAnsi="Arial" w:cs="Arial"/>
        </w:rPr>
      </w:pPr>
      <w:r w:rsidRPr="00ED18A2">
        <w:rPr>
          <w:rFonts w:ascii="Arial" w:hAnsi="Arial" w:cs="Arial"/>
          <w:lang w:val="en-ZA"/>
        </w:rPr>
        <w:t>Annual Financial Statements are audited by the Auditor-General who tests the accuracy, validity and completeness of financial information.</w:t>
      </w:r>
    </w:p>
    <w:p w:rsidR="00E103E5" w:rsidRDefault="00E103E5" w:rsidP="00C5785E">
      <w:pPr>
        <w:spacing w:after="0" w:line="360" w:lineRule="auto"/>
        <w:rPr>
          <w:rFonts w:ascii="Arial" w:hAnsi="Arial" w:cs="Arial"/>
          <w:b/>
        </w:rPr>
      </w:pPr>
    </w:p>
    <w:p w:rsidR="00663C20" w:rsidRDefault="00663C20"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C654A2" w:rsidRPr="003C5A76" w:rsidRDefault="009954C4" w:rsidP="00CD33FE">
      <w:pPr>
        <w:spacing w:line="360" w:lineRule="auto"/>
        <w:jc w:val="both"/>
        <w:rPr>
          <w:rFonts w:ascii="Arial" w:hAnsi="Arial" w:cs="Arial"/>
        </w:rPr>
      </w:pPr>
      <w:r>
        <w:rPr>
          <w:rFonts w:ascii="Arial" w:hAnsi="Arial" w:cs="Arial"/>
        </w:rPr>
        <w:lastRenderedPageBreak/>
        <w:t>Compiler/</w:t>
      </w:r>
      <w:r w:rsidR="00C3677B" w:rsidRPr="00B42D63">
        <w:rPr>
          <w:rFonts w:ascii="Arial" w:hAnsi="Arial" w:cs="Arial"/>
        </w:rPr>
        <w:t xml:space="preserve">contact persons: </w:t>
      </w:r>
    </w:p>
    <w:p w:rsidR="00C3677B" w:rsidRPr="003C5A76" w:rsidRDefault="00B42D63" w:rsidP="00CD33FE">
      <w:pPr>
        <w:spacing w:line="360" w:lineRule="auto"/>
        <w:jc w:val="both"/>
        <w:rPr>
          <w:rFonts w:ascii="Arial" w:hAnsi="Arial" w:cs="Arial"/>
        </w:rPr>
      </w:pPr>
      <w:r>
        <w:rPr>
          <w:rFonts w:ascii="Arial" w:hAnsi="Arial" w:cs="Arial"/>
        </w:rPr>
        <w:t xml:space="preserve">Ext: </w:t>
      </w:r>
    </w:p>
    <w:p w:rsidR="00C3677B" w:rsidRDefault="00C3677B"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A0228E" w:rsidRPr="003C5A76" w:rsidRDefault="00A0228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3E455E"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783AE6"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9F0D02">
        <w:rPr>
          <w:rFonts w:ascii="Arial" w:hAnsi="Arial" w:cs="Arial"/>
        </w:rPr>
        <w:t>34</w:t>
      </w:r>
      <w:r w:rsidR="00330BB7">
        <w:rPr>
          <w:rFonts w:ascii="Arial" w:hAnsi="Arial" w:cs="Arial"/>
        </w:rPr>
        <w:t>1</w:t>
      </w:r>
      <w:r w:rsidR="005C6ED1">
        <w:rPr>
          <w:rFonts w:ascii="Arial" w:hAnsi="Arial" w:cs="Arial"/>
        </w:rPr>
        <w:t xml:space="preserve"> </w:t>
      </w:r>
      <w:r w:rsidR="00C3677B" w:rsidRPr="003C5A76">
        <w:rPr>
          <w:rFonts w:ascii="Arial" w:hAnsi="Arial" w:cs="Arial"/>
        </w:rPr>
        <w:t xml:space="preserve">APPROVED/NOT APPROVED/AMENDED </w:t>
      </w:r>
    </w:p>
    <w:p w:rsidR="00C3677B" w:rsidRPr="003C5A76" w:rsidRDefault="00C3677B" w:rsidP="00DC256F">
      <w:pPr>
        <w:spacing w:line="360" w:lineRule="auto"/>
        <w:jc w:val="both"/>
        <w:rPr>
          <w:rFonts w:ascii="Arial" w:hAnsi="Arial" w:cs="Arial"/>
        </w:rPr>
      </w:pPr>
    </w:p>
    <w:p w:rsidR="00245A6B"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9F0D02">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footerReference w:type="default" r:id="rId7"/>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D3D" w:rsidRDefault="00956D3D" w:rsidP="00B36089">
      <w:pPr>
        <w:spacing w:after="0" w:line="240" w:lineRule="auto"/>
      </w:pPr>
      <w:r>
        <w:separator/>
      </w:r>
    </w:p>
  </w:endnote>
  <w:endnote w:type="continuationSeparator" w:id="0">
    <w:p w:rsidR="00956D3D" w:rsidRDefault="00956D3D" w:rsidP="00B36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89" w:rsidRDefault="00B36089">
    <w:pPr>
      <w:pStyle w:val="Footer"/>
      <w:jc w:val="right"/>
    </w:pPr>
    <w:fldSimple w:instr=" PAGE   \* MERGEFORMAT ">
      <w:r w:rsidR="008D4471">
        <w:rPr>
          <w:noProof/>
        </w:rPr>
        <w:t>1</w:t>
      </w:r>
    </w:fldSimple>
  </w:p>
  <w:p w:rsidR="00B36089" w:rsidRDefault="00B36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D3D" w:rsidRDefault="00956D3D" w:rsidP="00B36089">
      <w:pPr>
        <w:spacing w:after="0" w:line="240" w:lineRule="auto"/>
      </w:pPr>
      <w:r>
        <w:separator/>
      </w:r>
    </w:p>
  </w:footnote>
  <w:footnote w:type="continuationSeparator" w:id="0">
    <w:p w:rsidR="00956D3D" w:rsidRDefault="00956D3D" w:rsidP="00B36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167A7585"/>
    <w:multiLevelType w:val="hybridMultilevel"/>
    <w:tmpl w:val="7FBCDD6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203F435D"/>
    <w:multiLevelType w:val="hybridMultilevel"/>
    <w:tmpl w:val="A94AF0E4"/>
    <w:lvl w:ilvl="0" w:tplc="9DBCE2F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FD6727C"/>
    <w:multiLevelType w:val="hybridMultilevel"/>
    <w:tmpl w:val="7BC6C23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32EE191C"/>
    <w:multiLevelType w:val="hybridMultilevel"/>
    <w:tmpl w:val="5D6675CE"/>
    <w:lvl w:ilvl="0" w:tplc="1C090017">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D2604E"/>
    <w:multiLevelType w:val="multilevel"/>
    <w:tmpl w:val="9CCEF278"/>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ED07CEA"/>
    <w:multiLevelType w:val="hybridMultilevel"/>
    <w:tmpl w:val="54E2C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0B06193"/>
    <w:multiLevelType w:val="hybridMultilevel"/>
    <w:tmpl w:val="117C3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B5B2EE1"/>
    <w:multiLevelType w:val="multilevel"/>
    <w:tmpl w:val="654EE028"/>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16E3E7D"/>
    <w:multiLevelType w:val="multilevel"/>
    <w:tmpl w:val="654EE028"/>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CA96D83"/>
    <w:multiLevelType w:val="hybridMultilevel"/>
    <w:tmpl w:val="FE4893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6FAB4F30"/>
    <w:multiLevelType w:val="hybridMultilevel"/>
    <w:tmpl w:val="6B2E308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2">
    <w:nsid w:val="73542137"/>
    <w:multiLevelType w:val="hybridMultilevel"/>
    <w:tmpl w:val="7AD2513E"/>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2"/>
  </w:num>
  <w:num w:numId="5">
    <w:abstractNumId w:val="9"/>
  </w:num>
  <w:num w:numId="6">
    <w:abstractNumId w:val="10"/>
  </w:num>
  <w:num w:numId="7">
    <w:abstractNumId w:val="5"/>
  </w:num>
  <w:num w:numId="8">
    <w:abstractNumId w:val="3"/>
  </w:num>
  <w:num w:numId="9">
    <w:abstractNumId w:val="7"/>
  </w:num>
  <w:num w:numId="10">
    <w:abstractNumId w:val="6"/>
  </w:num>
  <w:num w:numId="11">
    <w:abstractNumId w:val="8"/>
  </w:num>
  <w:num w:numId="12">
    <w:abstractNumId w:val="11"/>
  </w:num>
  <w:num w:numId="1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D7858"/>
    <w:rsid w:val="00004C60"/>
    <w:rsid w:val="0000638E"/>
    <w:rsid w:val="0001216C"/>
    <w:rsid w:val="000260DC"/>
    <w:rsid w:val="000262F1"/>
    <w:rsid w:val="0004639E"/>
    <w:rsid w:val="000579B9"/>
    <w:rsid w:val="00063A3A"/>
    <w:rsid w:val="00075314"/>
    <w:rsid w:val="00087811"/>
    <w:rsid w:val="000A02C9"/>
    <w:rsid w:val="000A0D33"/>
    <w:rsid w:val="00102241"/>
    <w:rsid w:val="0010402E"/>
    <w:rsid w:val="0010795D"/>
    <w:rsid w:val="00125282"/>
    <w:rsid w:val="00135E62"/>
    <w:rsid w:val="00147BA4"/>
    <w:rsid w:val="0015436C"/>
    <w:rsid w:val="00154A43"/>
    <w:rsid w:val="0017030D"/>
    <w:rsid w:val="00191755"/>
    <w:rsid w:val="001943F1"/>
    <w:rsid w:val="001A01DC"/>
    <w:rsid w:val="001A1252"/>
    <w:rsid w:val="001A277A"/>
    <w:rsid w:val="001C33B5"/>
    <w:rsid w:val="001C6A3B"/>
    <w:rsid w:val="001D7C6A"/>
    <w:rsid w:val="001E36DF"/>
    <w:rsid w:val="001F4B7D"/>
    <w:rsid w:val="0020779F"/>
    <w:rsid w:val="00217678"/>
    <w:rsid w:val="002264C4"/>
    <w:rsid w:val="00245A6B"/>
    <w:rsid w:val="00250110"/>
    <w:rsid w:val="00264295"/>
    <w:rsid w:val="00265A26"/>
    <w:rsid w:val="00265A88"/>
    <w:rsid w:val="002670F8"/>
    <w:rsid w:val="00270825"/>
    <w:rsid w:val="00270D17"/>
    <w:rsid w:val="0029157E"/>
    <w:rsid w:val="002937B8"/>
    <w:rsid w:val="0029445D"/>
    <w:rsid w:val="002A7DF4"/>
    <w:rsid w:val="002C16FF"/>
    <w:rsid w:val="002C1EE8"/>
    <w:rsid w:val="002C60A6"/>
    <w:rsid w:val="002D1424"/>
    <w:rsid w:val="002E3161"/>
    <w:rsid w:val="002F4DC9"/>
    <w:rsid w:val="002F6B49"/>
    <w:rsid w:val="00300C93"/>
    <w:rsid w:val="00305BF7"/>
    <w:rsid w:val="00313A4B"/>
    <w:rsid w:val="00315B13"/>
    <w:rsid w:val="003309B5"/>
    <w:rsid w:val="00330BB7"/>
    <w:rsid w:val="00340D3B"/>
    <w:rsid w:val="00344509"/>
    <w:rsid w:val="0034605E"/>
    <w:rsid w:val="003517A1"/>
    <w:rsid w:val="00351E0F"/>
    <w:rsid w:val="0035694A"/>
    <w:rsid w:val="00361776"/>
    <w:rsid w:val="0037732E"/>
    <w:rsid w:val="00383FBC"/>
    <w:rsid w:val="00387EBB"/>
    <w:rsid w:val="003A7BFD"/>
    <w:rsid w:val="003B48F6"/>
    <w:rsid w:val="003C5A76"/>
    <w:rsid w:val="003D5AE8"/>
    <w:rsid w:val="003D7858"/>
    <w:rsid w:val="003D790C"/>
    <w:rsid w:val="003E2F70"/>
    <w:rsid w:val="003E455E"/>
    <w:rsid w:val="00410478"/>
    <w:rsid w:val="004170C3"/>
    <w:rsid w:val="00421717"/>
    <w:rsid w:val="00422B30"/>
    <w:rsid w:val="004312FC"/>
    <w:rsid w:val="0043279D"/>
    <w:rsid w:val="00442983"/>
    <w:rsid w:val="004457FC"/>
    <w:rsid w:val="00457688"/>
    <w:rsid w:val="00463025"/>
    <w:rsid w:val="004672ED"/>
    <w:rsid w:val="004800DC"/>
    <w:rsid w:val="0048663E"/>
    <w:rsid w:val="00492A36"/>
    <w:rsid w:val="004965B4"/>
    <w:rsid w:val="004A19DA"/>
    <w:rsid w:val="004B7E13"/>
    <w:rsid w:val="004C03A4"/>
    <w:rsid w:val="004C4F38"/>
    <w:rsid w:val="004D2BE1"/>
    <w:rsid w:val="004D74FD"/>
    <w:rsid w:val="004E0458"/>
    <w:rsid w:val="00504B93"/>
    <w:rsid w:val="00506E45"/>
    <w:rsid w:val="005127E5"/>
    <w:rsid w:val="005223B8"/>
    <w:rsid w:val="005237E8"/>
    <w:rsid w:val="0054768E"/>
    <w:rsid w:val="00552E00"/>
    <w:rsid w:val="005577D9"/>
    <w:rsid w:val="00561844"/>
    <w:rsid w:val="0056647C"/>
    <w:rsid w:val="00571740"/>
    <w:rsid w:val="00574DBC"/>
    <w:rsid w:val="00585D0E"/>
    <w:rsid w:val="00592C9A"/>
    <w:rsid w:val="005A1C6B"/>
    <w:rsid w:val="005A46E3"/>
    <w:rsid w:val="005B08A0"/>
    <w:rsid w:val="005B4004"/>
    <w:rsid w:val="005B696E"/>
    <w:rsid w:val="005C0BA4"/>
    <w:rsid w:val="005C2051"/>
    <w:rsid w:val="005C4278"/>
    <w:rsid w:val="005C5AE9"/>
    <w:rsid w:val="005C6ED1"/>
    <w:rsid w:val="005D0DA9"/>
    <w:rsid w:val="005F16B5"/>
    <w:rsid w:val="005F3263"/>
    <w:rsid w:val="00602765"/>
    <w:rsid w:val="006034E7"/>
    <w:rsid w:val="00613250"/>
    <w:rsid w:val="006172DA"/>
    <w:rsid w:val="00620EFD"/>
    <w:rsid w:val="00621FE9"/>
    <w:rsid w:val="0063048F"/>
    <w:rsid w:val="00632EDF"/>
    <w:rsid w:val="00646994"/>
    <w:rsid w:val="00653C00"/>
    <w:rsid w:val="006552F7"/>
    <w:rsid w:val="0065728F"/>
    <w:rsid w:val="006639B1"/>
    <w:rsid w:val="00663C20"/>
    <w:rsid w:val="00667ADE"/>
    <w:rsid w:val="0068734A"/>
    <w:rsid w:val="006906B4"/>
    <w:rsid w:val="00691C91"/>
    <w:rsid w:val="006965DC"/>
    <w:rsid w:val="00697B7E"/>
    <w:rsid w:val="006A5D9D"/>
    <w:rsid w:val="006B438D"/>
    <w:rsid w:val="006B5024"/>
    <w:rsid w:val="006D2B3B"/>
    <w:rsid w:val="006E3002"/>
    <w:rsid w:val="006E3244"/>
    <w:rsid w:val="00702601"/>
    <w:rsid w:val="00702F9A"/>
    <w:rsid w:val="00707E92"/>
    <w:rsid w:val="007141FA"/>
    <w:rsid w:val="00714E5D"/>
    <w:rsid w:val="00714E82"/>
    <w:rsid w:val="0071591A"/>
    <w:rsid w:val="00740B88"/>
    <w:rsid w:val="0075414E"/>
    <w:rsid w:val="00763A07"/>
    <w:rsid w:val="00766ABE"/>
    <w:rsid w:val="00766ADD"/>
    <w:rsid w:val="00770DA0"/>
    <w:rsid w:val="007775FD"/>
    <w:rsid w:val="007810CD"/>
    <w:rsid w:val="00783AE6"/>
    <w:rsid w:val="007B4860"/>
    <w:rsid w:val="007C27B6"/>
    <w:rsid w:val="007C7109"/>
    <w:rsid w:val="007D7318"/>
    <w:rsid w:val="007E2295"/>
    <w:rsid w:val="007E26C5"/>
    <w:rsid w:val="007E667A"/>
    <w:rsid w:val="007F068D"/>
    <w:rsid w:val="007F2ADC"/>
    <w:rsid w:val="007F2D57"/>
    <w:rsid w:val="007F7092"/>
    <w:rsid w:val="0080256A"/>
    <w:rsid w:val="00807715"/>
    <w:rsid w:val="00810FD4"/>
    <w:rsid w:val="00814FBE"/>
    <w:rsid w:val="00824D7E"/>
    <w:rsid w:val="00827F8D"/>
    <w:rsid w:val="008455F2"/>
    <w:rsid w:val="00857AAF"/>
    <w:rsid w:val="00874346"/>
    <w:rsid w:val="0088522F"/>
    <w:rsid w:val="00885BE0"/>
    <w:rsid w:val="00893178"/>
    <w:rsid w:val="008950F7"/>
    <w:rsid w:val="008A5D41"/>
    <w:rsid w:val="008A666F"/>
    <w:rsid w:val="008B65EA"/>
    <w:rsid w:val="008B6923"/>
    <w:rsid w:val="008C1D05"/>
    <w:rsid w:val="008C68C5"/>
    <w:rsid w:val="008C7B8D"/>
    <w:rsid w:val="008D1EC2"/>
    <w:rsid w:val="008D4471"/>
    <w:rsid w:val="008D633E"/>
    <w:rsid w:val="008E1777"/>
    <w:rsid w:val="008F17C3"/>
    <w:rsid w:val="009059D6"/>
    <w:rsid w:val="00906DE8"/>
    <w:rsid w:val="00907B99"/>
    <w:rsid w:val="00914499"/>
    <w:rsid w:val="00925943"/>
    <w:rsid w:val="00933AC1"/>
    <w:rsid w:val="00933C19"/>
    <w:rsid w:val="0093534E"/>
    <w:rsid w:val="0095081D"/>
    <w:rsid w:val="00956D3D"/>
    <w:rsid w:val="00963DA4"/>
    <w:rsid w:val="009642B8"/>
    <w:rsid w:val="009754EB"/>
    <w:rsid w:val="00983CE4"/>
    <w:rsid w:val="009849D9"/>
    <w:rsid w:val="009954C4"/>
    <w:rsid w:val="009A0102"/>
    <w:rsid w:val="009A0326"/>
    <w:rsid w:val="009A0F27"/>
    <w:rsid w:val="009A4385"/>
    <w:rsid w:val="009B0E09"/>
    <w:rsid w:val="009B335D"/>
    <w:rsid w:val="009B4543"/>
    <w:rsid w:val="009C1C15"/>
    <w:rsid w:val="009D010F"/>
    <w:rsid w:val="009D3C62"/>
    <w:rsid w:val="009E5B1D"/>
    <w:rsid w:val="009F072D"/>
    <w:rsid w:val="009F0D02"/>
    <w:rsid w:val="009F3FAA"/>
    <w:rsid w:val="009F5D4E"/>
    <w:rsid w:val="009F6FEA"/>
    <w:rsid w:val="00A009CF"/>
    <w:rsid w:val="00A0228E"/>
    <w:rsid w:val="00A03F44"/>
    <w:rsid w:val="00A173E2"/>
    <w:rsid w:val="00A22634"/>
    <w:rsid w:val="00A23CBA"/>
    <w:rsid w:val="00A37101"/>
    <w:rsid w:val="00A4607B"/>
    <w:rsid w:val="00A51526"/>
    <w:rsid w:val="00A8120A"/>
    <w:rsid w:val="00A858CE"/>
    <w:rsid w:val="00A9633F"/>
    <w:rsid w:val="00AA246C"/>
    <w:rsid w:val="00AA3944"/>
    <w:rsid w:val="00AB0621"/>
    <w:rsid w:val="00AB12E2"/>
    <w:rsid w:val="00AE0682"/>
    <w:rsid w:val="00AE3241"/>
    <w:rsid w:val="00B122E9"/>
    <w:rsid w:val="00B12389"/>
    <w:rsid w:val="00B16C29"/>
    <w:rsid w:val="00B32FD8"/>
    <w:rsid w:val="00B36089"/>
    <w:rsid w:val="00B4178D"/>
    <w:rsid w:val="00B42D63"/>
    <w:rsid w:val="00B43DD3"/>
    <w:rsid w:val="00B757E2"/>
    <w:rsid w:val="00B8067B"/>
    <w:rsid w:val="00B8505E"/>
    <w:rsid w:val="00B93D55"/>
    <w:rsid w:val="00B9731E"/>
    <w:rsid w:val="00BB12AA"/>
    <w:rsid w:val="00BC6170"/>
    <w:rsid w:val="00BE1AAF"/>
    <w:rsid w:val="00BE2524"/>
    <w:rsid w:val="00C13FAC"/>
    <w:rsid w:val="00C31C40"/>
    <w:rsid w:val="00C357BA"/>
    <w:rsid w:val="00C3677B"/>
    <w:rsid w:val="00C37956"/>
    <w:rsid w:val="00C42323"/>
    <w:rsid w:val="00C441E6"/>
    <w:rsid w:val="00C50064"/>
    <w:rsid w:val="00C5638F"/>
    <w:rsid w:val="00C5785E"/>
    <w:rsid w:val="00C62B07"/>
    <w:rsid w:val="00C654A2"/>
    <w:rsid w:val="00C72AC2"/>
    <w:rsid w:val="00C73D89"/>
    <w:rsid w:val="00C865AF"/>
    <w:rsid w:val="00C8668A"/>
    <w:rsid w:val="00C9549B"/>
    <w:rsid w:val="00CA1F30"/>
    <w:rsid w:val="00CA541F"/>
    <w:rsid w:val="00CB4850"/>
    <w:rsid w:val="00CB5B44"/>
    <w:rsid w:val="00CB7FE9"/>
    <w:rsid w:val="00CC0CBD"/>
    <w:rsid w:val="00CC53DC"/>
    <w:rsid w:val="00CD33FE"/>
    <w:rsid w:val="00CF0B4E"/>
    <w:rsid w:val="00D00C74"/>
    <w:rsid w:val="00D066CD"/>
    <w:rsid w:val="00D104BB"/>
    <w:rsid w:val="00D114C4"/>
    <w:rsid w:val="00D167B0"/>
    <w:rsid w:val="00D27A1C"/>
    <w:rsid w:val="00D27EF0"/>
    <w:rsid w:val="00D322D6"/>
    <w:rsid w:val="00D356B7"/>
    <w:rsid w:val="00D376A7"/>
    <w:rsid w:val="00D56175"/>
    <w:rsid w:val="00D62110"/>
    <w:rsid w:val="00D63390"/>
    <w:rsid w:val="00D6369F"/>
    <w:rsid w:val="00D65A88"/>
    <w:rsid w:val="00D65D79"/>
    <w:rsid w:val="00D847C6"/>
    <w:rsid w:val="00D8583F"/>
    <w:rsid w:val="00D95878"/>
    <w:rsid w:val="00DB0A5E"/>
    <w:rsid w:val="00DB497C"/>
    <w:rsid w:val="00DB7628"/>
    <w:rsid w:val="00DC256F"/>
    <w:rsid w:val="00DD6110"/>
    <w:rsid w:val="00DD6D16"/>
    <w:rsid w:val="00DE6F6F"/>
    <w:rsid w:val="00DF55B9"/>
    <w:rsid w:val="00E02103"/>
    <w:rsid w:val="00E103E5"/>
    <w:rsid w:val="00E34FBD"/>
    <w:rsid w:val="00E360EA"/>
    <w:rsid w:val="00E50360"/>
    <w:rsid w:val="00E601E4"/>
    <w:rsid w:val="00E67736"/>
    <w:rsid w:val="00E73AA7"/>
    <w:rsid w:val="00E77758"/>
    <w:rsid w:val="00E84848"/>
    <w:rsid w:val="00E91847"/>
    <w:rsid w:val="00EA2661"/>
    <w:rsid w:val="00EA2B3A"/>
    <w:rsid w:val="00EB1F29"/>
    <w:rsid w:val="00EC0BF2"/>
    <w:rsid w:val="00EC6E65"/>
    <w:rsid w:val="00ED18A2"/>
    <w:rsid w:val="00ED5C53"/>
    <w:rsid w:val="00EE020F"/>
    <w:rsid w:val="00EE0B7C"/>
    <w:rsid w:val="00EE3380"/>
    <w:rsid w:val="00EE60BC"/>
    <w:rsid w:val="00EF63E0"/>
    <w:rsid w:val="00EF642C"/>
    <w:rsid w:val="00F04C73"/>
    <w:rsid w:val="00F077DE"/>
    <w:rsid w:val="00F41316"/>
    <w:rsid w:val="00F454CC"/>
    <w:rsid w:val="00F476E9"/>
    <w:rsid w:val="00F61F23"/>
    <w:rsid w:val="00F62865"/>
    <w:rsid w:val="00F73556"/>
    <w:rsid w:val="00F73D24"/>
    <w:rsid w:val="00F74316"/>
    <w:rsid w:val="00F81CC3"/>
    <w:rsid w:val="00F850E2"/>
    <w:rsid w:val="00F85DFA"/>
    <w:rsid w:val="00F901D3"/>
    <w:rsid w:val="00F949DA"/>
    <w:rsid w:val="00F95079"/>
    <w:rsid w:val="00F95BB9"/>
    <w:rsid w:val="00FA1432"/>
    <w:rsid w:val="00FA3CFC"/>
    <w:rsid w:val="00FA63E7"/>
    <w:rsid w:val="00FB0272"/>
    <w:rsid w:val="00FC1A3C"/>
    <w:rsid w:val="00FC5FE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Header">
    <w:name w:val="header"/>
    <w:basedOn w:val="Normal"/>
    <w:link w:val="HeaderChar"/>
    <w:uiPriority w:val="99"/>
    <w:unhideWhenUsed/>
    <w:rsid w:val="00B36089"/>
    <w:pPr>
      <w:tabs>
        <w:tab w:val="center" w:pos="4513"/>
        <w:tab w:val="right" w:pos="9026"/>
      </w:tabs>
    </w:pPr>
    <w:rPr>
      <w:rFonts w:cs="Times New Roman"/>
    </w:rPr>
  </w:style>
  <w:style w:type="character" w:customStyle="1" w:styleId="HeaderChar">
    <w:name w:val="Header Char"/>
    <w:link w:val="Header"/>
    <w:uiPriority w:val="99"/>
    <w:rsid w:val="00B36089"/>
    <w:rPr>
      <w:rFonts w:cs="Calibri"/>
      <w:sz w:val="22"/>
      <w:szCs w:val="22"/>
      <w:lang w:val="en-GB" w:eastAsia="en-US"/>
    </w:rPr>
  </w:style>
  <w:style w:type="paragraph" w:styleId="Footer">
    <w:name w:val="footer"/>
    <w:basedOn w:val="Normal"/>
    <w:link w:val="FooterChar"/>
    <w:uiPriority w:val="99"/>
    <w:unhideWhenUsed/>
    <w:rsid w:val="00B36089"/>
    <w:pPr>
      <w:tabs>
        <w:tab w:val="center" w:pos="4513"/>
        <w:tab w:val="right" w:pos="9026"/>
      </w:tabs>
    </w:pPr>
    <w:rPr>
      <w:rFonts w:cs="Times New Roman"/>
    </w:rPr>
  </w:style>
  <w:style w:type="character" w:customStyle="1" w:styleId="FooterChar">
    <w:name w:val="Footer Char"/>
    <w:link w:val="Footer"/>
    <w:uiPriority w:val="99"/>
    <w:rsid w:val="00B36089"/>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2016-04-05T15:15:00Z</cp:lastPrinted>
  <dcterms:created xsi:type="dcterms:W3CDTF">2016-05-06T10:16:00Z</dcterms:created>
  <dcterms:modified xsi:type="dcterms:W3CDTF">2016-05-06T10:16:00Z</dcterms:modified>
</cp:coreProperties>
</file>