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71955">
        <w:rPr>
          <w:b/>
          <w:bCs/>
          <w:sz w:val="24"/>
          <w:u w:val="single"/>
        </w:rPr>
        <w:t>406</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96F99">
        <w:rPr>
          <w:rFonts w:ascii="Arial" w:hAnsi="Arial" w:cs="Arial"/>
          <w:b/>
          <w:bCs/>
          <w:sz w:val="24"/>
          <w:u w:val="single"/>
        </w:rPr>
        <w:t>7</w:t>
      </w:r>
      <w:r w:rsidRPr="008C527F">
        <w:rPr>
          <w:rFonts w:ascii="Arial" w:hAnsi="Arial" w:cs="Arial"/>
          <w:b/>
          <w:bCs/>
          <w:sz w:val="24"/>
          <w:u w:val="single"/>
        </w:rPr>
        <w:t>)</w:t>
      </w:r>
    </w:p>
    <w:p w:rsidR="00071955" w:rsidRPr="00071955" w:rsidRDefault="00071955" w:rsidP="00071955">
      <w:pPr>
        <w:spacing w:before="240" w:line="240" w:lineRule="auto"/>
        <w:ind w:right="26"/>
        <w:jc w:val="both"/>
        <w:rPr>
          <w:rFonts w:ascii="Arial" w:hAnsi="Arial" w:cs="Arial"/>
          <w:b/>
          <w:sz w:val="24"/>
          <w:szCs w:val="24"/>
          <w:u w:val="single"/>
        </w:rPr>
      </w:pPr>
      <w:r w:rsidRPr="00071955">
        <w:rPr>
          <w:rFonts w:ascii="Arial" w:hAnsi="Arial" w:cs="Arial"/>
          <w:b/>
          <w:sz w:val="24"/>
          <w:szCs w:val="24"/>
          <w:u w:val="single"/>
        </w:rPr>
        <w:t>Mrs M O Clarke (DA) to ask the Minister of Health</w:t>
      </w:r>
      <w:r w:rsidR="00964E1B" w:rsidRPr="00071955">
        <w:rPr>
          <w:rFonts w:ascii="Arial" w:hAnsi="Arial" w:cs="Arial"/>
          <w:b/>
          <w:sz w:val="24"/>
          <w:szCs w:val="24"/>
          <w:u w:val="single"/>
        </w:rPr>
        <w:fldChar w:fldCharType="begin"/>
      </w:r>
      <w:r w:rsidRPr="00071955">
        <w:rPr>
          <w:rFonts w:ascii="Arial" w:hAnsi="Arial" w:cs="Arial"/>
          <w:u w:val="single"/>
        </w:rPr>
        <w:instrText xml:space="preserve"> XE "</w:instrText>
      </w:r>
      <w:r w:rsidRPr="00071955">
        <w:rPr>
          <w:rFonts w:ascii="Arial" w:hAnsi="Arial" w:cs="Arial"/>
          <w:b/>
          <w:sz w:val="24"/>
          <w:szCs w:val="24"/>
          <w:u w:val="single"/>
        </w:rPr>
        <w:instrText>Minister of Health</w:instrText>
      </w:r>
      <w:r w:rsidRPr="00071955">
        <w:rPr>
          <w:rFonts w:ascii="Arial" w:hAnsi="Arial" w:cs="Arial"/>
          <w:u w:val="single"/>
        </w:rPr>
        <w:instrText xml:space="preserve">" </w:instrText>
      </w:r>
      <w:r w:rsidR="00964E1B" w:rsidRPr="00071955">
        <w:rPr>
          <w:rFonts w:ascii="Arial" w:hAnsi="Arial" w:cs="Arial"/>
          <w:b/>
          <w:sz w:val="24"/>
          <w:szCs w:val="24"/>
          <w:u w:val="single"/>
        </w:rPr>
        <w:fldChar w:fldCharType="end"/>
      </w:r>
      <w:r w:rsidRPr="00071955">
        <w:rPr>
          <w:rFonts w:ascii="Arial" w:hAnsi="Arial" w:cs="Arial"/>
          <w:b/>
          <w:sz w:val="24"/>
          <w:szCs w:val="24"/>
          <w:u w:val="single"/>
        </w:rPr>
        <w:t>:</w:t>
      </w:r>
    </w:p>
    <w:p w:rsidR="00071955" w:rsidRPr="00071955" w:rsidRDefault="00071955" w:rsidP="00071955">
      <w:pPr>
        <w:spacing w:before="100" w:beforeAutospacing="1" w:after="100" w:afterAutospacing="1" w:line="240" w:lineRule="auto"/>
        <w:ind w:left="709" w:right="26" w:hanging="720"/>
        <w:jc w:val="both"/>
        <w:outlineLvl w:val="0"/>
        <w:rPr>
          <w:rFonts w:ascii="Arial" w:eastAsia="Times New Roman" w:hAnsi="Arial" w:cs="Arial"/>
          <w:sz w:val="24"/>
          <w:lang w:val="en-US"/>
        </w:rPr>
      </w:pPr>
      <w:r w:rsidRPr="00071955">
        <w:rPr>
          <w:rFonts w:ascii="Arial" w:eastAsia="Times New Roman" w:hAnsi="Arial" w:cs="Arial"/>
          <w:sz w:val="24"/>
          <w:szCs w:val="24"/>
          <w:lang w:val="en-US"/>
        </w:rPr>
        <w:t>(1)</w:t>
      </w:r>
      <w:r w:rsidRPr="00071955">
        <w:rPr>
          <w:rFonts w:ascii="Arial" w:eastAsia="Times New Roman" w:hAnsi="Arial" w:cs="Arial"/>
          <w:sz w:val="24"/>
          <w:szCs w:val="24"/>
          <w:lang w:val="en-US"/>
        </w:rPr>
        <w:tab/>
        <w:t xml:space="preserve">(a) </w:t>
      </w:r>
      <w:r w:rsidRPr="00071955">
        <w:rPr>
          <w:rFonts w:ascii="Arial" w:eastAsia="Times New Roman" w:hAnsi="Arial" w:cs="Arial"/>
          <w:sz w:val="24"/>
          <w:lang w:val="en-US"/>
        </w:rPr>
        <w:t>What indicators are used to determine the (i) best and (ii) worst performing health districts and (b) when last was the specified assessment conducted;</w:t>
      </w:r>
    </w:p>
    <w:p w:rsidR="00DA1577" w:rsidRPr="00071955" w:rsidRDefault="00071955" w:rsidP="00071955">
      <w:pPr>
        <w:spacing w:before="100" w:beforeAutospacing="1" w:after="100" w:afterAutospacing="1" w:line="240" w:lineRule="auto"/>
        <w:ind w:left="709" w:right="-2" w:hanging="720"/>
        <w:jc w:val="both"/>
        <w:outlineLvl w:val="0"/>
        <w:rPr>
          <w:rFonts w:ascii="Calibri" w:eastAsia="Times New Roman" w:hAnsi="Calibri" w:cs="Calibri"/>
          <w:sz w:val="24"/>
          <w:lang w:val="en-US"/>
        </w:rPr>
      </w:pPr>
      <w:r w:rsidRPr="00071955">
        <w:rPr>
          <w:rFonts w:ascii="Arial" w:eastAsia="Times New Roman" w:hAnsi="Arial" w:cs="Arial"/>
          <w:sz w:val="24"/>
          <w:szCs w:val="24"/>
          <w:lang w:val="en-US"/>
        </w:rPr>
        <w:t>(2)</w:t>
      </w:r>
      <w:r w:rsidRPr="00071955">
        <w:rPr>
          <w:rFonts w:ascii="Arial" w:eastAsia="Times New Roman" w:hAnsi="Arial" w:cs="Arial"/>
          <w:sz w:val="24"/>
          <w:lang w:val="en-US"/>
        </w:rPr>
        <w:tab/>
        <w:t xml:space="preserve">what are the relevant details of the complete list of the ranking of health districts, including the (a) name and (b) province in </w:t>
      </w:r>
      <w:r w:rsidRPr="00071955">
        <w:rPr>
          <w:rFonts w:ascii="Arial" w:eastAsia="Times New Roman" w:hAnsi="Arial" w:cs="Arial"/>
          <w:sz w:val="24"/>
          <w:szCs w:val="24"/>
          <w:lang w:val="en-US"/>
        </w:rPr>
        <w:t>which</w:t>
      </w:r>
      <w:r w:rsidRPr="00071955">
        <w:rPr>
          <w:rFonts w:ascii="Arial" w:eastAsia="Times New Roman" w:hAnsi="Arial" w:cs="Arial"/>
          <w:sz w:val="24"/>
          <w:lang w:val="en-US"/>
        </w:rPr>
        <w:t xml:space="preserve"> they are situated</w:t>
      </w:r>
      <w:r w:rsidRPr="00071955">
        <w:rPr>
          <w:rFonts w:ascii="Arial" w:eastAsia="Times New Roman" w:hAnsi="Arial" w:cs="Arial"/>
          <w:sz w:val="24"/>
          <w:szCs w:val="24"/>
          <w:lang w:val="en-US"/>
        </w:rPr>
        <w:t>?</w:t>
      </w:r>
      <w:r w:rsidRPr="00BA251A">
        <w:rPr>
          <w:rFonts w:ascii="Times New Roman" w:eastAsia="Times New Roman" w:hAnsi="Times New Roman" w:cs="Times New Roman"/>
          <w:sz w:val="24"/>
          <w:szCs w:val="24"/>
          <w:lang w:val="en-US"/>
        </w:rPr>
        <w:tab/>
      </w:r>
      <w:r w:rsidRPr="00BA251A">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103</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3D74EB">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3D74EB" w:rsidRDefault="003D74EB" w:rsidP="003D74EB">
      <w:pPr>
        <w:pStyle w:val="ListParagraph"/>
        <w:numPr>
          <w:ilvl w:val="0"/>
          <w:numId w:val="13"/>
        </w:numPr>
        <w:tabs>
          <w:tab w:val="left" w:pos="709"/>
        </w:tabs>
        <w:spacing w:after="0" w:line="240" w:lineRule="auto"/>
        <w:ind w:left="1418" w:hanging="1418"/>
        <w:jc w:val="both"/>
        <w:rPr>
          <w:rFonts w:ascii="Arial" w:hAnsi="Arial" w:cs="Arial"/>
          <w:bCs/>
          <w:sz w:val="24"/>
          <w:szCs w:val="24"/>
        </w:rPr>
      </w:pPr>
      <w:r w:rsidRPr="003D74EB">
        <w:rPr>
          <w:rFonts w:ascii="Arial" w:hAnsi="Arial" w:cs="Arial"/>
          <w:bCs/>
          <w:sz w:val="24"/>
          <w:szCs w:val="24"/>
        </w:rPr>
        <w:t xml:space="preserve">(a)  </w:t>
      </w:r>
      <w:r>
        <w:rPr>
          <w:rFonts w:ascii="Arial" w:hAnsi="Arial" w:cs="Arial"/>
          <w:bCs/>
          <w:sz w:val="24"/>
          <w:szCs w:val="24"/>
        </w:rPr>
        <w:tab/>
      </w:r>
      <w:r w:rsidRPr="003D74EB">
        <w:rPr>
          <w:rFonts w:ascii="Arial" w:hAnsi="Arial" w:cs="Arial"/>
          <w:bCs/>
          <w:sz w:val="24"/>
          <w:szCs w:val="24"/>
        </w:rPr>
        <w:t>District Health Services currently use the Ideal Clinic Framework’s indicators to assess district performance. The reason for using this framework is because it covers aspects of services that districts should provide to persons in the community setting, in PHC facilities to the level of referral to higher level care if needed. The Framework is a comprehensive evaluation measure and it’s elements cover administrative processes, aspects of clinical care, medicines supplies, access to laboratory tests, human resources, finance, security, cleanliness, referral, transport, EMS, infrastructure, health information management, internal communication, external communication, governance and intersectoral collaboration.</w:t>
      </w:r>
    </w:p>
    <w:p w:rsidR="003D74EB" w:rsidRDefault="003D74EB" w:rsidP="003D74EB">
      <w:pPr>
        <w:tabs>
          <w:tab w:val="left" w:pos="709"/>
        </w:tabs>
        <w:spacing w:after="0" w:line="240" w:lineRule="auto"/>
        <w:jc w:val="both"/>
        <w:rPr>
          <w:rFonts w:ascii="Arial" w:hAnsi="Arial" w:cs="Arial"/>
          <w:bCs/>
          <w:sz w:val="24"/>
          <w:szCs w:val="24"/>
        </w:rPr>
      </w:pPr>
    </w:p>
    <w:p w:rsidR="003D74EB" w:rsidRPr="003D74EB" w:rsidRDefault="003D74EB" w:rsidP="003D74EB">
      <w:pPr>
        <w:tabs>
          <w:tab w:val="left" w:pos="709"/>
        </w:tabs>
        <w:spacing w:after="0" w:line="240" w:lineRule="auto"/>
        <w:ind w:left="1418" w:hanging="1418"/>
        <w:jc w:val="both"/>
        <w:rPr>
          <w:rFonts w:ascii="Arial" w:hAnsi="Arial" w:cs="Arial"/>
          <w:bCs/>
          <w:sz w:val="24"/>
          <w:szCs w:val="24"/>
        </w:rPr>
      </w:pPr>
      <w:r>
        <w:rPr>
          <w:rFonts w:ascii="Arial" w:hAnsi="Arial" w:cs="Arial"/>
          <w:bCs/>
          <w:sz w:val="24"/>
          <w:szCs w:val="24"/>
        </w:rPr>
        <w:tab/>
        <w:t>(b)</w:t>
      </w:r>
      <w:r>
        <w:rPr>
          <w:rFonts w:ascii="Arial" w:hAnsi="Arial" w:cs="Arial"/>
          <w:bCs/>
          <w:sz w:val="24"/>
          <w:szCs w:val="24"/>
        </w:rPr>
        <w:tab/>
      </w:r>
      <w:r w:rsidRPr="003D74EB">
        <w:rPr>
          <w:rFonts w:ascii="Arial" w:hAnsi="Arial" w:cs="Arial"/>
          <w:bCs/>
          <w:sz w:val="24"/>
          <w:szCs w:val="24"/>
        </w:rPr>
        <w:t>The specified assessments were conducted in the 4</w:t>
      </w:r>
      <w:r w:rsidRPr="003D74EB">
        <w:rPr>
          <w:rFonts w:ascii="Arial" w:hAnsi="Arial" w:cs="Arial"/>
          <w:bCs/>
          <w:sz w:val="24"/>
          <w:szCs w:val="24"/>
          <w:vertAlign w:val="superscript"/>
        </w:rPr>
        <w:t>th</w:t>
      </w:r>
      <w:r w:rsidRPr="003D74EB">
        <w:rPr>
          <w:rFonts w:ascii="Arial" w:hAnsi="Arial" w:cs="Arial"/>
          <w:bCs/>
          <w:sz w:val="24"/>
          <w:szCs w:val="24"/>
        </w:rPr>
        <w:t xml:space="preserve"> quarter (January – March 2022) of the previous (2021/2022) financial year. Peer reviews and therefor the collation of data is done only once a year in the fourth quarter and the next review will be January to March 2023. </w:t>
      </w:r>
    </w:p>
    <w:p w:rsidR="003D74EB" w:rsidRPr="003D74EB" w:rsidRDefault="003D74EB" w:rsidP="003D74EB">
      <w:pPr>
        <w:pStyle w:val="ListParagraph"/>
        <w:spacing w:line="240" w:lineRule="auto"/>
        <w:ind w:left="780"/>
        <w:rPr>
          <w:rFonts w:ascii="Arial" w:hAnsi="Arial" w:cs="Arial"/>
          <w:bCs/>
          <w:sz w:val="24"/>
          <w:szCs w:val="24"/>
        </w:rPr>
      </w:pPr>
    </w:p>
    <w:p w:rsidR="003D74EB" w:rsidRPr="003D74EB" w:rsidRDefault="003D74EB" w:rsidP="003D74EB">
      <w:pPr>
        <w:pStyle w:val="ListParagraph"/>
        <w:numPr>
          <w:ilvl w:val="0"/>
          <w:numId w:val="13"/>
        </w:numPr>
        <w:tabs>
          <w:tab w:val="left" w:pos="709"/>
        </w:tabs>
        <w:spacing w:after="0" w:line="240" w:lineRule="auto"/>
        <w:ind w:left="1418" w:hanging="1418"/>
        <w:jc w:val="both"/>
        <w:rPr>
          <w:rFonts w:ascii="Arial" w:hAnsi="Arial" w:cs="Arial"/>
          <w:bCs/>
          <w:sz w:val="24"/>
          <w:szCs w:val="24"/>
        </w:rPr>
      </w:pPr>
      <w:r w:rsidRPr="003D74EB">
        <w:rPr>
          <w:rFonts w:ascii="Arial" w:hAnsi="Arial" w:cs="Arial"/>
          <w:bCs/>
          <w:sz w:val="24"/>
          <w:szCs w:val="24"/>
        </w:rPr>
        <w:t xml:space="preserve">  Details of complete list according to the 2022 review is in the table below:</w:t>
      </w:r>
    </w:p>
    <w:p w:rsidR="003D74EB" w:rsidRPr="003D74EB" w:rsidRDefault="003D74EB" w:rsidP="003D74EB">
      <w:pPr>
        <w:pStyle w:val="ListParagraph"/>
        <w:spacing w:line="240" w:lineRule="auto"/>
        <w:ind w:left="780"/>
        <w:rPr>
          <w:rFonts w:ascii="Arial" w:hAnsi="Arial" w:cs="Arial"/>
          <w:bCs/>
          <w:sz w:val="24"/>
          <w:szCs w:val="24"/>
        </w:rPr>
      </w:pPr>
    </w:p>
    <w:p w:rsidR="003D74EB" w:rsidRPr="003D74EB" w:rsidRDefault="003D74EB" w:rsidP="003D74EB">
      <w:pPr>
        <w:pStyle w:val="ListParagraph"/>
        <w:numPr>
          <w:ilvl w:val="1"/>
          <w:numId w:val="13"/>
        </w:numPr>
        <w:spacing w:after="0" w:line="240" w:lineRule="auto"/>
        <w:ind w:left="1418" w:hanging="567"/>
        <w:rPr>
          <w:rFonts w:ascii="Arial" w:hAnsi="Arial" w:cs="Arial"/>
          <w:bCs/>
          <w:sz w:val="24"/>
          <w:szCs w:val="24"/>
        </w:rPr>
      </w:pPr>
      <w:r w:rsidRPr="003D74EB">
        <w:rPr>
          <w:rFonts w:ascii="Arial" w:hAnsi="Arial" w:cs="Arial"/>
          <w:bCs/>
          <w:sz w:val="24"/>
          <w:szCs w:val="24"/>
        </w:rPr>
        <w:t xml:space="preserve">Best performing district are from numbers 1 to 20; and </w:t>
      </w:r>
    </w:p>
    <w:p w:rsidR="003D74EB" w:rsidRPr="003D74EB" w:rsidRDefault="003D74EB" w:rsidP="003D74EB">
      <w:pPr>
        <w:pStyle w:val="ListParagraph"/>
        <w:numPr>
          <w:ilvl w:val="1"/>
          <w:numId w:val="13"/>
        </w:numPr>
        <w:spacing w:after="0" w:line="240" w:lineRule="auto"/>
        <w:ind w:left="1418" w:hanging="567"/>
        <w:rPr>
          <w:rFonts w:ascii="Arial" w:hAnsi="Arial" w:cs="Arial"/>
          <w:bCs/>
          <w:sz w:val="24"/>
          <w:szCs w:val="24"/>
        </w:rPr>
      </w:pPr>
      <w:r w:rsidRPr="003D74EB">
        <w:rPr>
          <w:rFonts w:ascii="Arial" w:hAnsi="Arial" w:cs="Arial"/>
          <w:bCs/>
          <w:sz w:val="24"/>
          <w:szCs w:val="24"/>
        </w:rPr>
        <w:t>Worst performing districts are from numbers 35 to 52</w:t>
      </w:r>
    </w:p>
    <w:tbl>
      <w:tblPr>
        <w:tblW w:w="9456" w:type="dxa"/>
        <w:tblInd w:w="846" w:type="dxa"/>
        <w:tblLook w:val="04A0"/>
      </w:tblPr>
      <w:tblGrid>
        <w:gridCol w:w="1559"/>
        <w:gridCol w:w="1276"/>
        <w:gridCol w:w="4819"/>
        <w:gridCol w:w="1802"/>
      </w:tblGrid>
      <w:tr w:rsidR="003D74EB" w:rsidRPr="003D74EB" w:rsidTr="003D74EB">
        <w:trPr>
          <w:trHeight w:val="765"/>
          <w:tblHeader/>
        </w:trPr>
        <w:tc>
          <w:tcPr>
            <w:tcW w:w="1559" w:type="dxa"/>
            <w:tcBorders>
              <w:top w:val="single" w:sz="4" w:space="0" w:color="auto"/>
              <w:left w:val="single" w:sz="4" w:space="0" w:color="auto"/>
              <w:bottom w:val="single" w:sz="4" w:space="0" w:color="auto"/>
              <w:right w:val="single" w:sz="4" w:space="0" w:color="auto"/>
            </w:tcBorders>
            <w:shd w:val="clear" w:color="FFFFFF" w:fill="F2F2F2" w:themeFill="background1" w:themeFillShade="F2"/>
            <w:vAlign w:val="center"/>
            <w:hideMark/>
          </w:tcPr>
          <w:p w:rsidR="003D74EB" w:rsidRPr="003D74EB" w:rsidRDefault="003D74EB" w:rsidP="003D74EB">
            <w:pPr>
              <w:spacing w:after="0" w:line="240" w:lineRule="auto"/>
              <w:jc w:val="center"/>
              <w:rPr>
                <w:rFonts w:ascii="Arial Narrow" w:eastAsia="Times New Roman" w:hAnsi="Arial Narrow" w:cs="Arial"/>
                <w:b/>
                <w:bCs/>
                <w:lang w:eastAsia="en-ZA"/>
              </w:rPr>
            </w:pPr>
            <w:r w:rsidRPr="003D74EB">
              <w:rPr>
                <w:rFonts w:ascii="Arial Narrow" w:eastAsia="Times New Roman" w:hAnsi="Arial Narrow" w:cs="Arial"/>
                <w:b/>
                <w:bCs/>
                <w:lang w:eastAsia="en-ZA"/>
              </w:rPr>
              <w:t>Ranking No for 2021/22 financial year</w:t>
            </w:r>
          </w:p>
        </w:tc>
        <w:tc>
          <w:tcPr>
            <w:tcW w:w="1276" w:type="dxa"/>
            <w:tcBorders>
              <w:top w:val="single" w:sz="4" w:space="0" w:color="auto"/>
              <w:left w:val="nil"/>
              <w:bottom w:val="single" w:sz="4" w:space="0" w:color="auto"/>
              <w:right w:val="single" w:sz="4" w:space="0" w:color="auto"/>
            </w:tcBorders>
            <w:shd w:val="clear" w:color="FFFFFF" w:fill="F2F2F2" w:themeFill="background1" w:themeFillShade="F2"/>
            <w:vAlign w:val="center"/>
            <w:hideMark/>
          </w:tcPr>
          <w:p w:rsidR="003D74EB" w:rsidRPr="003D74EB" w:rsidRDefault="003D74EB" w:rsidP="003D74EB">
            <w:pPr>
              <w:spacing w:after="0" w:line="240" w:lineRule="auto"/>
              <w:jc w:val="center"/>
              <w:rPr>
                <w:rFonts w:ascii="Arial Narrow" w:eastAsia="Times New Roman" w:hAnsi="Arial Narrow" w:cs="Arial"/>
                <w:b/>
                <w:bCs/>
                <w:lang w:eastAsia="en-ZA"/>
              </w:rPr>
            </w:pPr>
            <w:r w:rsidRPr="003D74EB">
              <w:rPr>
                <w:rFonts w:ascii="Arial Narrow" w:eastAsia="Times New Roman" w:hAnsi="Arial Narrow" w:cs="Arial"/>
                <w:b/>
                <w:bCs/>
                <w:lang w:eastAsia="en-ZA"/>
              </w:rPr>
              <w:t xml:space="preserve">Province </w:t>
            </w:r>
          </w:p>
        </w:tc>
        <w:tc>
          <w:tcPr>
            <w:tcW w:w="4819" w:type="dxa"/>
            <w:tcBorders>
              <w:top w:val="single" w:sz="4" w:space="0" w:color="auto"/>
              <w:left w:val="nil"/>
              <w:bottom w:val="single" w:sz="4" w:space="0" w:color="auto"/>
              <w:right w:val="single" w:sz="4" w:space="0" w:color="auto"/>
            </w:tcBorders>
            <w:shd w:val="clear" w:color="FFFFFF" w:fill="F2F2F2" w:themeFill="background1" w:themeFillShade="F2"/>
            <w:vAlign w:val="center"/>
            <w:hideMark/>
          </w:tcPr>
          <w:p w:rsidR="003D74EB" w:rsidRPr="003D74EB" w:rsidRDefault="003D74EB" w:rsidP="003D74EB">
            <w:pPr>
              <w:spacing w:after="0" w:line="240" w:lineRule="auto"/>
              <w:jc w:val="center"/>
              <w:rPr>
                <w:rFonts w:ascii="Arial Narrow" w:eastAsia="Times New Roman" w:hAnsi="Arial Narrow" w:cs="Arial"/>
                <w:b/>
                <w:bCs/>
                <w:lang w:eastAsia="en-ZA"/>
              </w:rPr>
            </w:pPr>
            <w:r w:rsidRPr="003D74EB">
              <w:rPr>
                <w:rFonts w:ascii="Arial Narrow" w:eastAsia="Times New Roman" w:hAnsi="Arial Narrow" w:cs="Arial"/>
                <w:b/>
                <w:bCs/>
                <w:lang w:eastAsia="en-ZA"/>
              </w:rPr>
              <w:t>District</w:t>
            </w:r>
          </w:p>
        </w:tc>
        <w:tc>
          <w:tcPr>
            <w:tcW w:w="1802" w:type="dxa"/>
            <w:tcBorders>
              <w:top w:val="single" w:sz="4" w:space="0" w:color="auto"/>
              <w:left w:val="nil"/>
              <w:bottom w:val="single" w:sz="4" w:space="0" w:color="auto"/>
              <w:right w:val="single" w:sz="4" w:space="0" w:color="auto"/>
            </w:tcBorders>
            <w:shd w:val="clear" w:color="FFFFFF" w:fill="F2F2F2" w:themeFill="background1" w:themeFillShade="F2"/>
            <w:vAlign w:val="center"/>
            <w:hideMark/>
          </w:tcPr>
          <w:p w:rsidR="003D74EB" w:rsidRPr="003D74EB" w:rsidRDefault="003D74EB" w:rsidP="003D74EB">
            <w:pPr>
              <w:spacing w:after="0" w:line="240" w:lineRule="auto"/>
              <w:jc w:val="center"/>
              <w:rPr>
                <w:rFonts w:ascii="Arial Narrow" w:eastAsia="Times New Roman" w:hAnsi="Arial Narrow" w:cs="Arial"/>
                <w:b/>
                <w:bCs/>
                <w:lang w:eastAsia="en-ZA"/>
              </w:rPr>
            </w:pPr>
            <w:r w:rsidRPr="003D74EB">
              <w:rPr>
                <w:rFonts w:ascii="Arial Narrow" w:eastAsia="Times New Roman" w:hAnsi="Arial Narrow" w:cs="Arial"/>
                <w:b/>
                <w:bCs/>
                <w:lang w:eastAsia="en-ZA"/>
              </w:rPr>
              <w:t>% of Facilities with  IC status 2021/22</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FS</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 xml:space="preserve"> Xhariep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100%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GP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City of Ekurhuleni Metropolitan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100%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3</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Amajuba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100%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Zululand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100%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Umzinyathi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98%</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6</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GP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City of Johannesburg Metropolitan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96%</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7</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LP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Capricorn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95%</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8</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Garden Route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95%</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9</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Uthukela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95%</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lastRenderedPageBreak/>
              <w:t>10</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iLembe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92%</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11</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uMgungundlovu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12</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GP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City of Tshwane Metropolitan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89%</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13</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 xml:space="preserve"> Harry Gwala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85%</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14</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City of Cape Town Metropolitan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85%</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15</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King Cetshwayo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84%</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16</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GP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 xml:space="preserve"> West Rand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84%</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17</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FS</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Thabo Mofutsanyana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83%</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18</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GP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Sedibeng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82%</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19</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MP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Gert Sibande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81%</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20</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NW</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Dr Kenneth Kaunda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80%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21</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Nelson Mandela Bay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77%</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22</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FS</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Mangaung Metropolitan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76%</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23</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eThekwini Metropolitan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74%</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24</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Overberg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74%</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25</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Cape Winelands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70%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26</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Umkhanyakude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69%</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27</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MP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Nkangala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67%</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28</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NW</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Dr Ruth Segomotsi Mompati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63%</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29</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KZN</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Ugu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58%</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30</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Pixley ka Seme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58%</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31</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NW</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Bojanala Platinum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55%</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32</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FS</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Fezile Dabi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51%</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33</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NW</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val="it-IT" w:eastAsia="en-ZA"/>
              </w:rPr>
            </w:pPr>
            <w:r w:rsidRPr="003D74EB">
              <w:rPr>
                <w:rFonts w:ascii="Arial Narrow" w:eastAsia="Times New Roman" w:hAnsi="Arial Narrow" w:cs="Arial"/>
                <w:color w:val="000000"/>
                <w:lang w:val="it-IT" w:eastAsia="en-ZA"/>
              </w:rPr>
              <w:t>Ngaka Modiri Molema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49%</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34</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MP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Ehlanzeni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40%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35</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Sarah Baartman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39%</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36</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Central Karoo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33%</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37</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West Coast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33%</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38</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LP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Waterberg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30%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39</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Amathole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28%</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40</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FS</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Lejweleputswa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26%</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41</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LP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Vhembe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42</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Buffalo City Metropolitan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43</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Chris Hani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44</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Frances Baard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45</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Joe Gqabi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19%</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46</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LP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Mopani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17%</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47</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Namakwa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16%</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48</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LP</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Sekhukhune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49</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Zwelentlanga Fatman Mgcawu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10%</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50</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Alfred Nzo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9%</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51</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EC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Oliver Tambo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7%</w:t>
            </w:r>
          </w:p>
        </w:tc>
      </w:tr>
      <w:tr w:rsidR="003D74EB" w:rsidRPr="003D74EB" w:rsidTr="003D74E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b/>
                <w:bCs/>
                <w:color w:val="000000"/>
                <w:lang w:eastAsia="en-ZA"/>
              </w:rPr>
            </w:pPr>
            <w:r w:rsidRPr="003D74EB">
              <w:rPr>
                <w:rFonts w:ascii="Arial Narrow" w:eastAsia="Times New Roman" w:hAnsi="Arial Narrow" w:cs="Arial"/>
                <w:b/>
                <w:bCs/>
                <w:color w:val="000000"/>
                <w:lang w:eastAsia="en-ZA"/>
              </w:rPr>
              <w:t>52</w:t>
            </w:r>
          </w:p>
        </w:tc>
        <w:tc>
          <w:tcPr>
            <w:tcW w:w="1276"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NC</w:t>
            </w:r>
          </w:p>
        </w:tc>
        <w:tc>
          <w:tcPr>
            <w:tcW w:w="4819"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John Taolo Gaetsewe District Municipality</w:t>
            </w:r>
          </w:p>
        </w:tc>
        <w:tc>
          <w:tcPr>
            <w:tcW w:w="1802" w:type="dxa"/>
            <w:tcBorders>
              <w:top w:val="nil"/>
              <w:left w:val="nil"/>
              <w:bottom w:val="single" w:sz="4" w:space="0" w:color="000000"/>
              <w:right w:val="single" w:sz="4" w:space="0" w:color="000000"/>
            </w:tcBorders>
            <w:shd w:val="clear" w:color="auto" w:fill="auto"/>
            <w:noWrap/>
            <w:vAlign w:val="bottom"/>
            <w:hideMark/>
          </w:tcPr>
          <w:p w:rsidR="003D74EB" w:rsidRPr="003D74EB" w:rsidRDefault="003D74EB" w:rsidP="003D74EB">
            <w:pPr>
              <w:spacing w:after="0" w:line="240" w:lineRule="auto"/>
              <w:jc w:val="center"/>
              <w:rPr>
                <w:rFonts w:ascii="Arial Narrow" w:eastAsia="Times New Roman" w:hAnsi="Arial Narrow" w:cs="Arial"/>
                <w:color w:val="000000"/>
                <w:lang w:eastAsia="en-ZA"/>
              </w:rPr>
            </w:pPr>
            <w:r w:rsidRPr="003D74EB">
              <w:rPr>
                <w:rFonts w:ascii="Arial Narrow" w:eastAsia="Times New Roman" w:hAnsi="Arial Narrow" w:cs="Arial"/>
                <w:color w:val="000000"/>
                <w:lang w:eastAsia="en-ZA"/>
              </w:rPr>
              <w:t>2%</w:t>
            </w:r>
          </w:p>
        </w:tc>
      </w:tr>
    </w:tbl>
    <w:p w:rsidR="003D74EB" w:rsidRDefault="003D74EB" w:rsidP="003D74EB">
      <w:pPr>
        <w:spacing w:line="240" w:lineRule="auto"/>
        <w:jc w:val="center"/>
        <w:rPr>
          <w:rFonts w:ascii="Arial" w:hAnsi="Arial" w:cs="Arial"/>
          <w:sz w:val="24"/>
          <w:szCs w:val="24"/>
          <w:lang w:val="en-US"/>
        </w:rPr>
      </w:pPr>
    </w:p>
    <w:p w:rsidR="00E134D1" w:rsidRPr="003D74EB" w:rsidRDefault="00B92BFD" w:rsidP="003D74EB">
      <w:pPr>
        <w:spacing w:line="240" w:lineRule="auto"/>
        <w:jc w:val="both"/>
        <w:rPr>
          <w:rFonts w:ascii="Arial" w:hAnsi="Arial" w:cs="Arial"/>
          <w:color w:val="000000" w:themeColor="text1"/>
          <w:sz w:val="24"/>
          <w:szCs w:val="24"/>
          <w:lang w:val="en-US"/>
        </w:rPr>
      </w:pPr>
      <w:r w:rsidRPr="003D74EB">
        <w:rPr>
          <w:rFonts w:ascii="Arial" w:hAnsi="Arial" w:cs="Arial"/>
          <w:sz w:val="24"/>
          <w:szCs w:val="24"/>
          <w:lang w:val="en-US"/>
        </w:rPr>
        <w:t>END.</w:t>
      </w:r>
    </w:p>
    <w:sectPr w:rsidR="00E134D1" w:rsidRPr="003D74EB" w:rsidSect="003D74EB">
      <w:footerReference w:type="default" r:id="rId7"/>
      <w:pgSz w:w="11906" w:h="16838"/>
      <w:pgMar w:top="1134" w:right="851" w:bottom="851" w:left="1134"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E2" w:rsidRDefault="002E7BE2" w:rsidP="00BF747C">
      <w:pPr>
        <w:spacing w:after="0" w:line="240" w:lineRule="auto"/>
      </w:pPr>
      <w:r>
        <w:separator/>
      </w:r>
    </w:p>
  </w:endnote>
  <w:endnote w:type="continuationSeparator" w:id="0">
    <w:p w:rsidR="002E7BE2" w:rsidRDefault="002E7BE2"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964E1B">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2E7BE2">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E2" w:rsidRDefault="002E7BE2" w:rsidP="00BF747C">
      <w:pPr>
        <w:spacing w:after="0" w:line="240" w:lineRule="auto"/>
      </w:pPr>
      <w:r>
        <w:separator/>
      </w:r>
    </w:p>
  </w:footnote>
  <w:footnote w:type="continuationSeparator" w:id="0">
    <w:p w:rsidR="002E7BE2" w:rsidRDefault="002E7BE2"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E401A9"/>
    <w:multiLevelType w:val="hybridMultilevel"/>
    <w:tmpl w:val="0DC6D974"/>
    <w:lvl w:ilvl="0" w:tplc="0CA46EEE">
      <w:start w:val="1"/>
      <w:numFmt w:val="decimal"/>
      <w:lvlText w:val="(%1)"/>
      <w:lvlJc w:val="left"/>
      <w:pPr>
        <w:ind w:left="2580" w:hanging="360"/>
      </w:pPr>
      <w:rPr>
        <w:rFonts w:hint="default"/>
      </w:rPr>
    </w:lvl>
    <w:lvl w:ilvl="1" w:tplc="1C090019">
      <w:start w:val="1"/>
      <w:numFmt w:val="lowerLetter"/>
      <w:lvlText w:val="%2."/>
      <w:lvlJc w:val="left"/>
      <w:pPr>
        <w:ind w:left="3300" w:hanging="360"/>
      </w:pPr>
    </w:lvl>
    <w:lvl w:ilvl="2" w:tplc="1C09001B" w:tentative="1">
      <w:start w:val="1"/>
      <w:numFmt w:val="lowerRoman"/>
      <w:lvlText w:val="%3."/>
      <w:lvlJc w:val="right"/>
      <w:pPr>
        <w:ind w:left="4020" w:hanging="180"/>
      </w:pPr>
    </w:lvl>
    <w:lvl w:ilvl="3" w:tplc="1C09000F" w:tentative="1">
      <w:start w:val="1"/>
      <w:numFmt w:val="decimal"/>
      <w:lvlText w:val="%4."/>
      <w:lvlJc w:val="left"/>
      <w:pPr>
        <w:ind w:left="4740" w:hanging="360"/>
      </w:pPr>
    </w:lvl>
    <w:lvl w:ilvl="4" w:tplc="1C090019" w:tentative="1">
      <w:start w:val="1"/>
      <w:numFmt w:val="lowerLetter"/>
      <w:lvlText w:val="%5."/>
      <w:lvlJc w:val="left"/>
      <w:pPr>
        <w:ind w:left="5460" w:hanging="360"/>
      </w:pPr>
    </w:lvl>
    <w:lvl w:ilvl="5" w:tplc="1C09001B" w:tentative="1">
      <w:start w:val="1"/>
      <w:numFmt w:val="lowerRoman"/>
      <w:lvlText w:val="%6."/>
      <w:lvlJc w:val="right"/>
      <w:pPr>
        <w:ind w:left="6180" w:hanging="180"/>
      </w:pPr>
    </w:lvl>
    <w:lvl w:ilvl="6" w:tplc="1C09000F" w:tentative="1">
      <w:start w:val="1"/>
      <w:numFmt w:val="decimal"/>
      <w:lvlText w:val="%7."/>
      <w:lvlJc w:val="left"/>
      <w:pPr>
        <w:ind w:left="6900" w:hanging="360"/>
      </w:pPr>
    </w:lvl>
    <w:lvl w:ilvl="7" w:tplc="1C090019" w:tentative="1">
      <w:start w:val="1"/>
      <w:numFmt w:val="lowerLetter"/>
      <w:lvlText w:val="%8."/>
      <w:lvlJc w:val="left"/>
      <w:pPr>
        <w:ind w:left="7620" w:hanging="360"/>
      </w:pPr>
    </w:lvl>
    <w:lvl w:ilvl="8" w:tplc="1C09001B" w:tentative="1">
      <w:start w:val="1"/>
      <w:numFmt w:val="lowerRoman"/>
      <w:lvlText w:val="%9."/>
      <w:lvlJc w:val="right"/>
      <w:pPr>
        <w:ind w:left="834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2"/>
  </w:num>
  <w:num w:numId="5">
    <w:abstractNumId w:val="3"/>
  </w:num>
  <w:num w:numId="6">
    <w:abstractNumId w:val="11"/>
  </w:num>
  <w:num w:numId="7">
    <w:abstractNumId w:val="9"/>
  </w:num>
  <w:num w:numId="8">
    <w:abstractNumId w:val="1"/>
  </w:num>
  <w:num w:numId="9">
    <w:abstractNumId w:val="7"/>
  </w:num>
  <w:num w:numId="10">
    <w:abstractNumId w:val="6"/>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6A95"/>
    <w:rsid w:val="002E7BE2"/>
    <w:rsid w:val="00396F5D"/>
    <w:rsid w:val="003D74EB"/>
    <w:rsid w:val="00423784"/>
    <w:rsid w:val="00474CEF"/>
    <w:rsid w:val="004862BD"/>
    <w:rsid w:val="00486CC1"/>
    <w:rsid w:val="004A0D6F"/>
    <w:rsid w:val="004A51DF"/>
    <w:rsid w:val="004C5AF0"/>
    <w:rsid w:val="004C7A6A"/>
    <w:rsid w:val="005021BA"/>
    <w:rsid w:val="0054543E"/>
    <w:rsid w:val="00595BE2"/>
    <w:rsid w:val="005C4A4A"/>
    <w:rsid w:val="006228AA"/>
    <w:rsid w:val="006F49AE"/>
    <w:rsid w:val="006F68C1"/>
    <w:rsid w:val="00714683"/>
    <w:rsid w:val="007F0AE0"/>
    <w:rsid w:val="007F3AA9"/>
    <w:rsid w:val="00896F99"/>
    <w:rsid w:val="008B0BC5"/>
    <w:rsid w:val="008C527F"/>
    <w:rsid w:val="009201C9"/>
    <w:rsid w:val="00931575"/>
    <w:rsid w:val="00964E1B"/>
    <w:rsid w:val="009D650C"/>
    <w:rsid w:val="00A14AFD"/>
    <w:rsid w:val="00A30707"/>
    <w:rsid w:val="00A36AD9"/>
    <w:rsid w:val="00A774BF"/>
    <w:rsid w:val="00AC3830"/>
    <w:rsid w:val="00AD7274"/>
    <w:rsid w:val="00AE5C7D"/>
    <w:rsid w:val="00B15624"/>
    <w:rsid w:val="00B3497E"/>
    <w:rsid w:val="00B57B69"/>
    <w:rsid w:val="00B62232"/>
    <w:rsid w:val="00B92BFD"/>
    <w:rsid w:val="00BF2D39"/>
    <w:rsid w:val="00BF747C"/>
    <w:rsid w:val="00C04731"/>
    <w:rsid w:val="00C43731"/>
    <w:rsid w:val="00C7269F"/>
    <w:rsid w:val="00C95FFF"/>
    <w:rsid w:val="00CE2151"/>
    <w:rsid w:val="00D0246C"/>
    <w:rsid w:val="00D26747"/>
    <w:rsid w:val="00D5019F"/>
    <w:rsid w:val="00D566C6"/>
    <w:rsid w:val="00D702F8"/>
    <w:rsid w:val="00D74189"/>
    <w:rsid w:val="00DA1577"/>
    <w:rsid w:val="00DC27AD"/>
    <w:rsid w:val="00DF76A2"/>
    <w:rsid w:val="00E134D1"/>
    <w:rsid w:val="00E207B7"/>
    <w:rsid w:val="00E45F7A"/>
    <w:rsid w:val="00E5287A"/>
    <w:rsid w:val="00E86867"/>
    <w:rsid w:val="00E97960"/>
    <w:rsid w:val="00EA7633"/>
    <w:rsid w:val="00ED6340"/>
    <w:rsid w:val="00F27D65"/>
    <w:rsid w:val="00F33A7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B"/>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2022-10-19T07:45:00Z</dcterms:created>
  <dcterms:modified xsi:type="dcterms:W3CDTF">2022-10-19T07:45:00Z</dcterms:modified>
</cp:coreProperties>
</file>