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68" w:rsidRDefault="009C5AC2" w:rsidP="0020279C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NATIONAL ASSEMBLY</w:t>
      </w:r>
    </w:p>
    <w:p w:rsidR="003E148D" w:rsidRDefault="003E148D" w:rsidP="009C5AC2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41968" w:rsidRPr="009C5AC2" w:rsidRDefault="00441968" w:rsidP="009C5AC2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9C5AC2">
        <w:rPr>
          <w:rFonts w:ascii="Arial" w:hAnsi="Arial" w:cs="Arial"/>
          <w:b/>
          <w:sz w:val="36"/>
          <w:szCs w:val="36"/>
          <w:u w:val="single"/>
        </w:rPr>
        <w:t xml:space="preserve">QUESTION </w:t>
      </w:r>
      <w:proofErr w:type="gramStart"/>
      <w:r w:rsidRPr="009C5AC2">
        <w:rPr>
          <w:rFonts w:ascii="Arial" w:hAnsi="Arial" w:cs="Arial"/>
          <w:b/>
          <w:sz w:val="36"/>
          <w:szCs w:val="36"/>
          <w:u w:val="single"/>
        </w:rPr>
        <w:t>NO:</w:t>
      </w:r>
      <w:proofErr w:type="gramEnd"/>
      <w:r w:rsidRPr="009C5AC2">
        <w:rPr>
          <w:rFonts w:ascii="Arial" w:hAnsi="Arial" w:cs="Arial"/>
          <w:b/>
          <w:sz w:val="36"/>
          <w:szCs w:val="36"/>
          <w:u w:val="single"/>
        </w:rPr>
        <w:t xml:space="preserve"> 3388-2018</w:t>
      </w:r>
    </w:p>
    <w:p w:rsidR="00441968" w:rsidRPr="009C5AC2" w:rsidRDefault="00441968" w:rsidP="009C5AC2">
      <w:pPr>
        <w:keepNext/>
        <w:spacing w:line="276" w:lineRule="auto"/>
        <w:jc w:val="both"/>
        <w:outlineLvl w:val="3"/>
        <w:rPr>
          <w:rFonts w:ascii="Arial" w:hAnsi="Arial" w:cs="Arial"/>
          <w:b/>
          <w:sz w:val="36"/>
          <w:szCs w:val="36"/>
          <w:u w:val="single"/>
        </w:rPr>
      </w:pPr>
      <w:r w:rsidRPr="009C5AC2">
        <w:rPr>
          <w:rFonts w:ascii="Arial" w:hAnsi="Arial" w:cs="Arial"/>
          <w:b/>
          <w:sz w:val="36"/>
          <w:szCs w:val="36"/>
          <w:u w:val="single"/>
        </w:rPr>
        <w:t>FOR WRITTEN REPLY</w:t>
      </w:r>
    </w:p>
    <w:p w:rsidR="00441968" w:rsidRPr="009C5AC2" w:rsidRDefault="00441968" w:rsidP="009C5AC2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DATE OF PUBLICATION IN INTERNAL QUESTION PAPER: 9 NOVEMBER 2018 (INTERNAL QUESTION PAPER NO. 3388-2018)</w:t>
      </w:r>
    </w:p>
    <w:p w:rsidR="00441968" w:rsidRPr="009C5AC2" w:rsidRDefault="00441968" w:rsidP="009C5AC2">
      <w:pPr>
        <w:tabs>
          <w:tab w:val="left" w:pos="180"/>
        </w:tabs>
        <w:spacing w:line="276" w:lineRule="auto"/>
        <w:ind w:left="709" w:hanging="709"/>
        <w:jc w:val="both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“M W RABOTATPI (DA) TO ASK THE MINISTER OF ARTS AND CULTURE”</w:t>
      </w:r>
    </w:p>
    <w:p w:rsidR="00441968" w:rsidRPr="009C5AC2" w:rsidRDefault="00441968" w:rsidP="00595758">
      <w:pPr>
        <w:tabs>
          <w:tab w:val="left" w:pos="180"/>
        </w:tabs>
        <w:jc w:val="both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 xml:space="preserve"> (a) What number of bursaries were awarded by the National Film and Video Foundation in the past three </w:t>
      </w:r>
      <w:proofErr w:type="gramStart"/>
      <w:r w:rsidRPr="009C5AC2">
        <w:rPr>
          <w:rFonts w:ascii="Arial" w:hAnsi="Arial" w:cs="Arial"/>
          <w:sz w:val="36"/>
          <w:szCs w:val="36"/>
        </w:rPr>
        <w:t>Financial</w:t>
      </w:r>
      <w:proofErr w:type="gramEnd"/>
      <w:r w:rsidRPr="009C5AC2">
        <w:rPr>
          <w:rFonts w:ascii="Arial" w:hAnsi="Arial" w:cs="Arial"/>
          <w:sz w:val="36"/>
          <w:szCs w:val="36"/>
        </w:rPr>
        <w:t xml:space="preserve"> years and (b) what is the racial breakdown or racial classification of the beneficiaries in each financial years?</w:t>
      </w:r>
    </w:p>
    <w:p w:rsidR="00441968" w:rsidRPr="009C5AC2" w:rsidRDefault="00441968" w:rsidP="00595758">
      <w:pPr>
        <w:tabs>
          <w:tab w:val="left" w:pos="180"/>
        </w:tabs>
        <w:ind w:left="709" w:hanging="709"/>
        <w:jc w:val="both"/>
        <w:rPr>
          <w:rFonts w:ascii="Arial" w:hAnsi="Arial" w:cs="Arial"/>
          <w:b/>
          <w:sz w:val="36"/>
          <w:szCs w:val="36"/>
        </w:rPr>
      </w:pPr>
    </w:p>
    <w:p w:rsidR="00441968" w:rsidRPr="009C5AC2" w:rsidRDefault="00441968" w:rsidP="00595758">
      <w:pPr>
        <w:tabs>
          <w:tab w:val="left" w:pos="180"/>
        </w:tabs>
        <w:ind w:left="709" w:hanging="709"/>
        <w:jc w:val="both"/>
        <w:rPr>
          <w:rFonts w:ascii="Arial" w:hAnsi="Arial" w:cs="Arial"/>
          <w:b/>
          <w:sz w:val="36"/>
          <w:szCs w:val="36"/>
        </w:rPr>
      </w:pPr>
      <w:r w:rsidRPr="009C5AC2">
        <w:rPr>
          <w:rFonts w:ascii="Arial" w:hAnsi="Arial" w:cs="Arial"/>
          <w:b/>
          <w:sz w:val="36"/>
          <w:szCs w:val="36"/>
        </w:rPr>
        <w:t>REPLY:</w:t>
      </w:r>
    </w:p>
    <w:p w:rsidR="00441968" w:rsidRPr="009C5AC2" w:rsidRDefault="00441968" w:rsidP="00595758">
      <w:pPr>
        <w:tabs>
          <w:tab w:val="left" w:pos="180"/>
        </w:tabs>
        <w:ind w:left="709" w:hanging="709"/>
        <w:jc w:val="both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>a. 363 bursaries were awarded in the past three financial years</w:t>
      </w:r>
    </w:p>
    <w:p w:rsidR="00441968" w:rsidRPr="009C5AC2" w:rsidRDefault="00441968" w:rsidP="00595758">
      <w:pPr>
        <w:tabs>
          <w:tab w:val="left" w:pos="0"/>
        </w:tabs>
        <w:ind w:hanging="142"/>
        <w:jc w:val="both"/>
        <w:rPr>
          <w:rFonts w:ascii="Arial" w:hAnsi="Arial" w:cs="Arial"/>
          <w:sz w:val="36"/>
          <w:szCs w:val="36"/>
        </w:rPr>
      </w:pPr>
      <w:r w:rsidRPr="009C5AC2">
        <w:rPr>
          <w:rFonts w:ascii="Arial" w:hAnsi="Arial" w:cs="Arial"/>
          <w:sz w:val="36"/>
          <w:szCs w:val="36"/>
        </w:rPr>
        <w:tab/>
        <w:t>b. The table below shows both the racial break</w:t>
      </w:r>
      <w:r w:rsidR="00992B5F">
        <w:rPr>
          <w:rFonts w:ascii="Arial" w:hAnsi="Arial" w:cs="Arial"/>
          <w:sz w:val="36"/>
          <w:szCs w:val="36"/>
        </w:rPr>
        <w:t xml:space="preserve">down and classification of the </w:t>
      </w:r>
      <w:r w:rsidRPr="009C5AC2">
        <w:rPr>
          <w:rFonts w:ascii="Arial" w:hAnsi="Arial" w:cs="Arial"/>
          <w:sz w:val="36"/>
          <w:szCs w:val="36"/>
        </w:rPr>
        <w:t xml:space="preserve">beneficiaries of the bursaries in each financial year.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36"/>
        <w:gridCol w:w="951"/>
        <w:gridCol w:w="816"/>
        <w:gridCol w:w="936"/>
        <w:gridCol w:w="951"/>
        <w:gridCol w:w="816"/>
        <w:gridCol w:w="936"/>
        <w:gridCol w:w="951"/>
      </w:tblGrid>
      <w:tr w:rsidR="00441968" w:rsidRPr="009C5AC2" w:rsidTr="007C7FF5">
        <w:tc>
          <w:tcPr>
            <w:tcW w:w="372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2015/16</w:t>
            </w:r>
          </w:p>
        </w:tc>
        <w:tc>
          <w:tcPr>
            <w:tcW w:w="307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2016/17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2017/18</w:t>
            </w:r>
          </w:p>
        </w:tc>
      </w:tr>
      <w:tr w:rsidR="00441968" w:rsidRPr="009C5AC2" w:rsidTr="007C7FF5"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Black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White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Black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White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White </w:t>
            </w:r>
          </w:p>
        </w:tc>
      </w:tr>
      <w:tr w:rsidR="00441968" w:rsidRPr="009C5AC2" w:rsidTr="007C7FF5"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both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 xml:space="preserve">National Bursary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15</w:t>
            </w:r>
          </w:p>
        </w:tc>
      </w:tr>
      <w:tr w:rsidR="00441968" w:rsidRPr="009C5AC2" w:rsidTr="007C7FF5"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both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 xml:space="preserve">International Bursary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0</w:t>
            </w:r>
          </w:p>
        </w:tc>
      </w:tr>
      <w:tr w:rsidR="00441968" w:rsidRPr="009C5AC2" w:rsidTr="007C7FF5">
        <w:trPr>
          <w:trHeight w:val="318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68" w:rsidRPr="009C5AC2" w:rsidRDefault="00441968" w:rsidP="00595758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9C5AC2">
              <w:rPr>
                <w:rFonts w:ascii="Arial" w:hAnsi="Arial" w:cs="Arial"/>
                <w:color w:val="000000"/>
                <w:sz w:val="36"/>
                <w:szCs w:val="36"/>
              </w:rPr>
              <w:t>127</w:t>
            </w:r>
          </w:p>
        </w:tc>
      </w:tr>
    </w:tbl>
    <w:p w:rsidR="00441968" w:rsidRPr="009C5AC2" w:rsidRDefault="00441968" w:rsidP="00595758">
      <w:pPr>
        <w:spacing w:line="276" w:lineRule="auto"/>
        <w:rPr>
          <w:rFonts w:ascii="Arial" w:hAnsi="Arial" w:cs="Arial"/>
          <w:sz w:val="36"/>
          <w:szCs w:val="36"/>
        </w:rPr>
      </w:pPr>
    </w:p>
    <w:sectPr w:rsidR="00441968" w:rsidRPr="009C5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65"/>
    <w:multiLevelType w:val="hybridMultilevel"/>
    <w:tmpl w:val="45C63128"/>
    <w:lvl w:ilvl="0" w:tplc="CE5E6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2A2"/>
    <w:multiLevelType w:val="hybridMultilevel"/>
    <w:tmpl w:val="618210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51E8"/>
    <w:multiLevelType w:val="hybridMultilevel"/>
    <w:tmpl w:val="BD0AB1A2"/>
    <w:lvl w:ilvl="0" w:tplc="33EEA646">
      <w:start w:val="1"/>
      <w:numFmt w:val="lowerRoman"/>
      <w:lvlText w:val="(%1)"/>
      <w:lvlJc w:val="left"/>
      <w:pPr>
        <w:ind w:left="294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0313F49"/>
    <w:multiLevelType w:val="hybridMultilevel"/>
    <w:tmpl w:val="8682A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4"/>
    <w:rsid w:val="00066374"/>
    <w:rsid w:val="00094B8C"/>
    <w:rsid w:val="001A3AB1"/>
    <w:rsid w:val="001C65CF"/>
    <w:rsid w:val="001E22FE"/>
    <w:rsid w:val="0020279C"/>
    <w:rsid w:val="00292D06"/>
    <w:rsid w:val="002A7B64"/>
    <w:rsid w:val="002B1808"/>
    <w:rsid w:val="003E148D"/>
    <w:rsid w:val="003E22BF"/>
    <w:rsid w:val="00441968"/>
    <w:rsid w:val="00595758"/>
    <w:rsid w:val="005E0C7D"/>
    <w:rsid w:val="006369E4"/>
    <w:rsid w:val="00656EC8"/>
    <w:rsid w:val="00715CA9"/>
    <w:rsid w:val="007E05EE"/>
    <w:rsid w:val="0086578B"/>
    <w:rsid w:val="008C653E"/>
    <w:rsid w:val="009423E3"/>
    <w:rsid w:val="00992B5F"/>
    <w:rsid w:val="009B7327"/>
    <w:rsid w:val="009C5AC2"/>
    <w:rsid w:val="009D7842"/>
    <w:rsid w:val="00A856FE"/>
    <w:rsid w:val="00AC7BE2"/>
    <w:rsid w:val="00AE765E"/>
    <w:rsid w:val="00AF3068"/>
    <w:rsid w:val="00BA205F"/>
    <w:rsid w:val="00C91010"/>
    <w:rsid w:val="00D07905"/>
    <w:rsid w:val="00DD7C1C"/>
    <w:rsid w:val="00E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6A9B"/>
  <w15:chartTrackingRefBased/>
  <w15:docId w15:val="{A1E7C6EF-8A04-4143-8245-42E86FE8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369E4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69E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6369E4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369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369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369E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6369E4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369E4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6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CBODYTEXT">
    <w:name w:val="DAC BODY TEXT"/>
    <w:basedOn w:val="Normal"/>
    <w:qFormat/>
    <w:rsid w:val="00094B8C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DD7C1C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DD7C1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36B8-F8B5-41FC-B8AA-8B21621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Simion Nkanunu</cp:lastModifiedBy>
  <cp:revision>3</cp:revision>
  <dcterms:created xsi:type="dcterms:W3CDTF">2018-11-18T14:36:00Z</dcterms:created>
  <dcterms:modified xsi:type="dcterms:W3CDTF">2018-11-18T14:37:00Z</dcterms:modified>
</cp:coreProperties>
</file>