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7230FC">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73459722" r:id="rId9">
            <o:FieldCodes>\s</o:FieldCodes>
          </o:OLEObject>
        </w:object>
      </w:r>
    </w:p>
    <w:p w:rsidR="009305D7" w:rsidRPr="00A76401" w:rsidRDefault="009305D7" w:rsidP="007230FC">
      <w:pPr>
        <w:pBdr>
          <w:bottom w:val="single" w:sz="4" w:space="5" w:color="auto"/>
        </w:pBdr>
        <w:jc w:val="both"/>
        <w:rPr>
          <w:rFonts w:ascii="Arial Narrow" w:hAnsi="Arial Narrow"/>
          <w:b/>
          <w:lang w:val="nl-NL"/>
        </w:rPr>
      </w:pPr>
    </w:p>
    <w:p w:rsidR="009305D7" w:rsidRPr="00A76401" w:rsidRDefault="0000083B" w:rsidP="007230FC">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7230FC">
      <w:pPr>
        <w:jc w:val="both"/>
        <w:rPr>
          <w:rFonts w:ascii="Arial Narrow" w:hAnsi="Arial Narrow"/>
          <w:b/>
          <w:lang w:val="en-GB"/>
        </w:rPr>
      </w:pPr>
    </w:p>
    <w:p w:rsidR="0087358A" w:rsidRPr="00A76401" w:rsidRDefault="0087358A" w:rsidP="007230FC">
      <w:pPr>
        <w:jc w:val="both"/>
        <w:rPr>
          <w:rFonts w:ascii="Arial Narrow" w:hAnsi="Arial Narrow"/>
          <w:b/>
          <w:lang w:val="en-GB"/>
        </w:rPr>
      </w:pPr>
    </w:p>
    <w:p w:rsidR="0087358A" w:rsidRPr="00A76401" w:rsidRDefault="0087358A" w:rsidP="007230FC">
      <w:pPr>
        <w:jc w:val="both"/>
        <w:rPr>
          <w:rFonts w:ascii="Arial Narrow" w:hAnsi="Arial Narrow"/>
          <w:b/>
          <w:lang w:val="en-GB"/>
        </w:rPr>
      </w:pPr>
    </w:p>
    <w:p w:rsidR="0087358A" w:rsidRPr="00A76401" w:rsidRDefault="0087358A" w:rsidP="007230FC">
      <w:pPr>
        <w:jc w:val="both"/>
        <w:rPr>
          <w:rFonts w:ascii="Arial Narrow" w:hAnsi="Arial Narrow"/>
          <w:b/>
          <w:lang w:val="en-GB"/>
        </w:rPr>
      </w:pPr>
    </w:p>
    <w:p w:rsidR="009305D7" w:rsidRPr="00A76401" w:rsidRDefault="009305D7" w:rsidP="007230FC">
      <w:pPr>
        <w:jc w:val="both"/>
        <w:rPr>
          <w:rFonts w:ascii="Arial Narrow" w:hAnsi="Arial Narrow"/>
          <w:b/>
          <w:lang w:val="en-GB"/>
        </w:rPr>
      </w:pPr>
      <w:r w:rsidRPr="00A76401">
        <w:rPr>
          <w:rFonts w:ascii="Arial Narrow" w:hAnsi="Arial Narrow"/>
          <w:b/>
          <w:lang w:val="en-GB"/>
        </w:rPr>
        <w:t>MINISTER</w:t>
      </w:r>
    </w:p>
    <w:p w:rsidR="0087358A" w:rsidRPr="00A76401" w:rsidRDefault="0087358A" w:rsidP="007230FC">
      <w:pPr>
        <w:jc w:val="both"/>
        <w:rPr>
          <w:rFonts w:ascii="Arial Narrow" w:hAnsi="Arial Narrow"/>
          <w:b/>
          <w:lang w:val="en-GB"/>
        </w:rPr>
      </w:pPr>
    </w:p>
    <w:p w:rsidR="0087358A" w:rsidRPr="00A76401" w:rsidRDefault="0087358A" w:rsidP="007230FC">
      <w:pPr>
        <w:jc w:val="both"/>
        <w:rPr>
          <w:rFonts w:ascii="Arial Narrow" w:hAnsi="Arial Narrow"/>
          <w:b/>
          <w:lang w:val="en-GB"/>
        </w:rPr>
      </w:pPr>
    </w:p>
    <w:p w:rsidR="009305D7" w:rsidRPr="00A76401" w:rsidRDefault="00BD5B83" w:rsidP="007230FC">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13473D">
        <w:rPr>
          <w:rFonts w:ascii="Arial Narrow" w:hAnsi="Arial Narrow"/>
          <w:b/>
          <w:lang w:val="en-GB"/>
        </w:rPr>
        <w:t>338</w:t>
      </w:r>
      <w:r w:rsidR="002501C4">
        <w:rPr>
          <w:rFonts w:ascii="Arial Narrow" w:hAnsi="Arial Narrow"/>
          <w:b/>
          <w:lang w:val="en-GB"/>
        </w:rPr>
        <w:t>4</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7230FC">
      <w:pPr>
        <w:jc w:val="both"/>
        <w:rPr>
          <w:rFonts w:ascii="Arial Narrow" w:hAnsi="Arial Narrow"/>
          <w:lang w:val="en-GB"/>
        </w:rPr>
      </w:pPr>
    </w:p>
    <w:p w:rsidR="009305D7" w:rsidRPr="00A76401" w:rsidRDefault="009305D7" w:rsidP="007230FC">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13473D" w:rsidRPr="0013473D">
        <w:rPr>
          <w:rFonts w:ascii="Arial Narrow" w:hAnsi="Arial Narrow"/>
          <w:b/>
          <w:lang w:val="af-ZA"/>
        </w:rPr>
        <w:t xml:space="preserve">Mr R K Purdon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7230FC">
      <w:pPr>
        <w:jc w:val="both"/>
        <w:rPr>
          <w:rFonts w:ascii="Arial Narrow" w:hAnsi="Arial Narrow"/>
          <w:lang w:val="en-GB"/>
        </w:rPr>
      </w:pPr>
    </w:p>
    <w:p w:rsidR="005779CF" w:rsidRPr="00A76401" w:rsidRDefault="005779CF" w:rsidP="007230FC">
      <w:pPr>
        <w:jc w:val="both"/>
        <w:rPr>
          <w:rFonts w:ascii="Arial Narrow" w:hAnsi="Arial Narrow"/>
          <w:lang w:val="en-GB"/>
        </w:rPr>
      </w:pPr>
    </w:p>
    <w:p w:rsidR="005779CF" w:rsidRPr="00A76401" w:rsidRDefault="005779CF" w:rsidP="007230FC">
      <w:pPr>
        <w:jc w:val="both"/>
        <w:rPr>
          <w:rFonts w:ascii="Arial Narrow" w:hAnsi="Arial Narrow"/>
          <w:lang w:val="en-GB"/>
        </w:rPr>
      </w:pPr>
    </w:p>
    <w:p w:rsidR="00912587" w:rsidRPr="00A76401" w:rsidRDefault="00912587" w:rsidP="007230FC">
      <w:pPr>
        <w:jc w:val="both"/>
        <w:rPr>
          <w:rFonts w:ascii="Arial Narrow" w:hAnsi="Arial Narrow"/>
          <w:lang w:val="en-GB"/>
        </w:rPr>
      </w:pPr>
    </w:p>
    <w:p w:rsidR="005779CF" w:rsidRPr="00A76401" w:rsidRDefault="005779CF" w:rsidP="007230FC">
      <w:pPr>
        <w:jc w:val="both"/>
        <w:rPr>
          <w:rFonts w:ascii="Arial Narrow" w:hAnsi="Arial Narrow"/>
          <w:lang w:val="en-GB"/>
        </w:rPr>
      </w:pPr>
    </w:p>
    <w:p w:rsidR="00920B4D" w:rsidRPr="00A76401" w:rsidRDefault="0048390A" w:rsidP="007230FC">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7230FC">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7230FC">
      <w:pPr>
        <w:tabs>
          <w:tab w:val="center" w:pos="4513"/>
        </w:tabs>
        <w:jc w:val="both"/>
        <w:rPr>
          <w:rFonts w:ascii="Arial Narrow" w:hAnsi="Arial Narrow"/>
          <w:b/>
          <w:lang w:val="en-GB"/>
        </w:rPr>
      </w:pPr>
    </w:p>
    <w:p w:rsidR="00920B4D" w:rsidRPr="00A76401" w:rsidRDefault="00920B4D" w:rsidP="007230FC">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7230FC">
      <w:pPr>
        <w:jc w:val="both"/>
        <w:rPr>
          <w:rFonts w:ascii="Arial Narrow" w:hAnsi="Arial Narrow"/>
          <w:b/>
          <w:lang w:val="en-GB"/>
        </w:rPr>
      </w:pPr>
    </w:p>
    <w:p w:rsidR="00920B4D" w:rsidRPr="00A76401" w:rsidRDefault="00920B4D" w:rsidP="007230FC">
      <w:pPr>
        <w:jc w:val="both"/>
        <w:rPr>
          <w:rFonts w:ascii="Arial Narrow" w:hAnsi="Arial Narrow"/>
          <w:b/>
          <w:lang w:val="en-GB"/>
        </w:rPr>
      </w:pPr>
    </w:p>
    <w:p w:rsidR="00920B4D" w:rsidRPr="00A76401" w:rsidRDefault="00C251AA" w:rsidP="007230FC">
      <w:pPr>
        <w:jc w:val="both"/>
        <w:rPr>
          <w:rFonts w:ascii="Arial Narrow" w:hAnsi="Arial Narrow"/>
          <w:b/>
          <w:lang w:val="en-GB"/>
        </w:rPr>
      </w:pPr>
      <w:r>
        <w:rPr>
          <w:rFonts w:ascii="Arial Narrow" w:hAnsi="Arial Narrow"/>
          <w:b/>
          <w:lang w:val="en-GB"/>
        </w:rPr>
        <w:t xml:space="preserve">DRAFT REPLY APPROVED AS </w:t>
      </w:r>
      <w:r w:rsidR="00920B4D" w:rsidRPr="00A76401">
        <w:rPr>
          <w:rFonts w:ascii="Arial Narrow" w:hAnsi="Arial Narrow"/>
          <w:b/>
          <w:lang w:val="en-GB"/>
        </w:rPr>
        <w:t>AMENDED</w:t>
      </w:r>
    </w:p>
    <w:p w:rsidR="00920B4D" w:rsidRPr="00A76401" w:rsidRDefault="00920B4D" w:rsidP="007230FC">
      <w:pPr>
        <w:jc w:val="both"/>
        <w:rPr>
          <w:rFonts w:ascii="Arial Narrow" w:hAnsi="Arial Narrow"/>
          <w:lang w:val="en-GB"/>
        </w:rPr>
      </w:pPr>
    </w:p>
    <w:p w:rsidR="00920B4D" w:rsidRPr="00A76401" w:rsidRDefault="00920B4D" w:rsidP="007230FC">
      <w:pPr>
        <w:jc w:val="both"/>
        <w:rPr>
          <w:rFonts w:ascii="Arial Narrow" w:hAnsi="Arial Narrow"/>
          <w:lang w:val="en-GB"/>
        </w:rPr>
      </w:pPr>
    </w:p>
    <w:p w:rsidR="00920B4D" w:rsidRPr="00A76401" w:rsidRDefault="00920B4D" w:rsidP="007230FC">
      <w:pPr>
        <w:jc w:val="both"/>
        <w:rPr>
          <w:rFonts w:ascii="Arial Narrow" w:hAnsi="Arial Narrow"/>
          <w:lang w:val="en-GB"/>
        </w:rPr>
      </w:pPr>
    </w:p>
    <w:p w:rsidR="00912587" w:rsidRPr="00A76401" w:rsidRDefault="00912587" w:rsidP="007230FC">
      <w:pPr>
        <w:jc w:val="both"/>
        <w:rPr>
          <w:rFonts w:ascii="Arial Narrow" w:hAnsi="Arial Narrow"/>
          <w:lang w:val="en-GB"/>
        </w:rPr>
      </w:pPr>
    </w:p>
    <w:p w:rsidR="00920B4D" w:rsidRPr="00A76401" w:rsidRDefault="00920B4D" w:rsidP="007230FC">
      <w:pPr>
        <w:jc w:val="both"/>
        <w:rPr>
          <w:rFonts w:ascii="Arial Narrow" w:hAnsi="Arial Narrow"/>
          <w:lang w:val="en-GB"/>
        </w:rPr>
      </w:pPr>
    </w:p>
    <w:p w:rsidR="00920B4D" w:rsidRPr="00A76401" w:rsidRDefault="00A76401" w:rsidP="007230FC">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7230FC">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7230FC">
      <w:pPr>
        <w:jc w:val="both"/>
        <w:rPr>
          <w:rFonts w:ascii="Arial Narrow" w:hAnsi="Arial Narrow"/>
          <w:b/>
          <w:lang w:val="en-GB"/>
        </w:rPr>
      </w:pPr>
    </w:p>
    <w:p w:rsidR="00920B4D" w:rsidRPr="00A76401" w:rsidRDefault="00920B4D" w:rsidP="007230FC">
      <w:pPr>
        <w:jc w:val="both"/>
        <w:rPr>
          <w:rFonts w:ascii="Arial Narrow" w:hAnsi="Arial Narrow"/>
          <w:b/>
          <w:lang w:val="en-GB"/>
        </w:rPr>
      </w:pPr>
      <w:r w:rsidRPr="00A76401">
        <w:rPr>
          <w:rFonts w:ascii="Arial Narrow" w:hAnsi="Arial Narrow"/>
          <w:b/>
          <w:lang w:val="en-GB"/>
        </w:rPr>
        <w:t>DATE:</w:t>
      </w:r>
    </w:p>
    <w:p w:rsidR="00511040" w:rsidRPr="003C37F1" w:rsidRDefault="007230FC" w:rsidP="007230FC">
      <w:pPr>
        <w:tabs>
          <w:tab w:val="left" w:pos="8130"/>
        </w:tabs>
        <w:spacing w:line="360" w:lineRule="auto"/>
        <w:jc w:val="both"/>
        <w:rPr>
          <w:rFonts w:ascii="Arial Narrow" w:hAnsi="Arial Narrow"/>
          <w:lang w:val="en-GB"/>
        </w:rPr>
      </w:pPr>
      <w:r>
        <w:rPr>
          <w:rFonts w:ascii="Arial Narrow" w:hAnsi="Arial Narrow"/>
          <w:b/>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7230FC">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7230FC">
      <w:pPr>
        <w:spacing w:line="360" w:lineRule="auto"/>
        <w:jc w:val="both"/>
        <w:rPr>
          <w:rFonts w:ascii="Arial Narrow" w:hAnsi="Arial Narrow"/>
          <w:b/>
          <w:bCs/>
          <w:lang w:val="en-GB"/>
        </w:rPr>
      </w:pPr>
    </w:p>
    <w:p w:rsidR="00242211" w:rsidRDefault="00E91D7C" w:rsidP="007230FC">
      <w:pPr>
        <w:spacing w:line="360" w:lineRule="auto"/>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13473D">
        <w:rPr>
          <w:rFonts w:ascii="Arial Narrow" w:hAnsi="Arial Narrow"/>
          <w:b/>
          <w:bCs/>
          <w:lang w:val="en-GB"/>
        </w:rPr>
        <w:t>338</w:t>
      </w:r>
      <w:r w:rsidR="002501C4">
        <w:rPr>
          <w:rFonts w:ascii="Arial Narrow" w:hAnsi="Arial Narrow"/>
          <w:b/>
          <w:bCs/>
          <w:lang w:val="en-GB"/>
        </w:rPr>
        <w:t>4</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13473D">
        <w:rPr>
          <w:rFonts w:ascii="Arial Narrow" w:hAnsi="Arial Narrow"/>
          <w:b/>
        </w:rPr>
        <w:t>3776</w:t>
      </w:r>
      <w:r w:rsidR="00D472BE" w:rsidRPr="006E42A6">
        <w:rPr>
          <w:rFonts w:ascii="Arial Narrow" w:hAnsi="Arial Narrow"/>
          <w:b/>
        </w:rPr>
        <w:t>E</w:t>
      </w:r>
      <w:r w:rsidR="00C37A66" w:rsidRPr="006E42A6">
        <w:rPr>
          <w:rFonts w:ascii="Arial Narrow" w:hAnsi="Arial Narrow"/>
          <w:b/>
        </w:rPr>
        <w:t>}</w:t>
      </w:r>
    </w:p>
    <w:p w:rsidR="00242211" w:rsidRDefault="00107D87" w:rsidP="007230FC">
      <w:pPr>
        <w:spacing w:line="360" w:lineRule="auto"/>
        <w:jc w:val="both"/>
        <w:rPr>
          <w:rFonts w:ascii="Arial Narrow" w:hAnsi="Arial Narrow"/>
          <w:b/>
          <w:bCs/>
          <w:lang w:val="en-GB"/>
        </w:rPr>
      </w:pPr>
      <w:proofErr w:type="gramStart"/>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proofErr w:type="gramEnd"/>
      <w:r w:rsidR="00372A92">
        <w:rPr>
          <w:rFonts w:ascii="Arial Narrow" w:hAnsi="Arial Narrow"/>
          <w:b/>
          <w:bCs/>
          <w:lang w:val="en-GB"/>
        </w:rPr>
        <w:t xml:space="preserve"> </w:t>
      </w:r>
      <w:r w:rsidR="005F7385">
        <w:rPr>
          <w:rFonts w:ascii="Arial Narrow" w:hAnsi="Arial Narrow"/>
          <w:b/>
          <w:bCs/>
          <w:lang w:val="en-GB"/>
        </w:rPr>
        <w:t>39</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7230FC">
      <w:pPr>
        <w:spacing w:line="360" w:lineRule="auto"/>
        <w:jc w:val="both"/>
        <w:rPr>
          <w:rFonts w:ascii="Arial Narrow" w:hAnsi="Arial Narrow"/>
          <w:b/>
          <w:bCs/>
          <w:lang w:val="en-GB"/>
        </w:rPr>
      </w:pPr>
    </w:p>
    <w:p w:rsidR="00027887" w:rsidRDefault="003D4060" w:rsidP="007230FC">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5F7385">
        <w:rPr>
          <w:rFonts w:ascii="Arial Narrow" w:hAnsi="Arial Narrow"/>
          <w:b/>
        </w:rPr>
        <w:t>27</w:t>
      </w:r>
      <w:r w:rsidR="00EF087A">
        <w:rPr>
          <w:rFonts w:ascii="Arial Narrow" w:hAnsi="Arial Narrow"/>
          <w:b/>
        </w:rPr>
        <w:t xml:space="preserve"> </w:t>
      </w:r>
      <w:r w:rsidR="00D70341">
        <w:rPr>
          <w:rFonts w:ascii="Arial Narrow" w:hAnsi="Arial Narrow"/>
          <w:b/>
        </w:rPr>
        <w:t>October</w:t>
      </w:r>
      <w:r w:rsidR="001223BD">
        <w:rPr>
          <w:rFonts w:ascii="Arial Narrow" w:hAnsi="Arial Narrow"/>
          <w:b/>
        </w:rPr>
        <w:t xml:space="preserve"> 2017</w:t>
      </w:r>
    </w:p>
    <w:p w:rsidR="00810AC2" w:rsidRDefault="00810AC2" w:rsidP="007230FC">
      <w:pPr>
        <w:spacing w:line="360" w:lineRule="auto"/>
        <w:ind w:left="720" w:hanging="720"/>
        <w:jc w:val="both"/>
        <w:rPr>
          <w:rFonts w:ascii="Arial Narrow" w:hAnsi="Arial Narrow"/>
          <w:b/>
          <w:lang w:val="af-ZA"/>
        </w:rPr>
      </w:pPr>
    </w:p>
    <w:p w:rsidR="00810AC2" w:rsidRDefault="00810AC2" w:rsidP="007230FC">
      <w:pPr>
        <w:spacing w:line="360" w:lineRule="auto"/>
        <w:ind w:left="720" w:hanging="720"/>
        <w:jc w:val="both"/>
        <w:rPr>
          <w:rFonts w:ascii="Arial Narrow" w:hAnsi="Arial Narrow"/>
          <w:b/>
          <w:lang w:val="af-ZA"/>
        </w:rPr>
      </w:pPr>
    </w:p>
    <w:p w:rsidR="006A5B08" w:rsidRDefault="0013473D" w:rsidP="007230FC">
      <w:pPr>
        <w:spacing w:line="360" w:lineRule="auto"/>
        <w:ind w:left="720" w:hanging="720"/>
        <w:jc w:val="both"/>
        <w:rPr>
          <w:rFonts w:ascii="Arial Narrow" w:hAnsi="Arial Narrow"/>
          <w:b/>
        </w:rPr>
      </w:pPr>
      <w:r w:rsidRPr="0013473D">
        <w:rPr>
          <w:rFonts w:ascii="Arial Narrow" w:hAnsi="Arial Narrow"/>
          <w:b/>
          <w:lang w:val="af-ZA"/>
        </w:rPr>
        <w:t xml:space="preserve">Mr R K Purdon (DA) </w:t>
      </w:r>
      <w:r w:rsidR="006A5B08" w:rsidRPr="004674A4">
        <w:rPr>
          <w:rFonts w:ascii="Arial Narrow" w:hAnsi="Arial Narrow"/>
          <w:b/>
        </w:rPr>
        <w:t>to ask the Minister of Environmental Affairs:</w:t>
      </w:r>
    </w:p>
    <w:p w:rsidR="00810AC2" w:rsidRDefault="00810AC2" w:rsidP="007230FC">
      <w:pPr>
        <w:spacing w:line="360" w:lineRule="auto"/>
        <w:jc w:val="both"/>
        <w:rPr>
          <w:rFonts w:ascii="Arial Narrow" w:hAnsi="Arial Narrow"/>
          <w:b/>
        </w:rPr>
      </w:pPr>
      <w:r w:rsidRPr="00810AC2">
        <w:rPr>
          <w:rFonts w:ascii="Arial Narrow" w:hAnsi="Arial Narrow"/>
        </w:rPr>
        <w:t>What is the total number of tons of ash that were produced by (a</w:t>
      </w:r>
      <w:r w:rsidRPr="00255BA5">
        <w:rPr>
          <w:rFonts w:ascii="Arial Narrow" w:hAnsi="Arial Narrow"/>
          <w:color w:val="000000"/>
        </w:rPr>
        <w:t xml:space="preserve">) Eskom and (b) Sasol (i) in the (aa) </w:t>
      </w:r>
      <w:r w:rsidR="00372A92">
        <w:rPr>
          <w:rFonts w:ascii="Arial Narrow" w:hAnsi="Arial Narrow"/>
          <w:color w:val="000000"/>
        </w:rPr>
        <w:br/>
      </w:r>
      <w:r w:rsidRPr="00255BA5">
        <w:rPr>
          <w:rFonts w:ascii="Arial Narrow" w:hAnsi="Arial Narrow"/>
          <w:color w:val="000000"/>
        </w:rPr>
        <w:t>2014-15, (bb) 2015-16 and (cc) 2016-17 financial years and (ii) since 1 April 2017</w:t>
      </w:r>
      <w:r w:rsidRPr="00255BA5">
        <w:rPr>
          <w:rFonts w:ascii="Arial Narrow" w:hAnsi="Arial Narrow"/>
          <w:color w:val="000000"/>
          <w:lang w:val="af-ZA"/>
        </w:rPr>
        <w:t>?</w:t>
      </w:r>
      <w:r w:rsidR="007230FC">
        <w:rPr>
          <w:rFonts w:ascii="Arial Narrow" w:hAnsi="Arial Narrow"/>
          <w:b/>
        </w:rPr>
        <w:t xml:space="preserve"> </w:t>
      </w: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61766C" w:rsidRDefault="0061766C" w:rsidP="007230FC">
      <w:pPr>
        <w:spacing w:line="360" w:lineRule="auto"/>
        <w:rPr>
          <w:rFonts w:ascii="Arial Narrow" w:hAnsi="Arial Narrow"/>
          <w:b/>
        </w:rPr>
      </w:pPr>
    </w:p>
    <w:p w:rsidR="00810AC2" w:rsidRDefault="00810AC2" w:rsidP="007230FC">
      <w:pPr>
        <w:spacing w:line="360" w:lineRule="auto"/>
        <w:rPr>
          <w:rFonts w:ascii="Arial Narrow" w:hAnsi="Arial Narrow"/>
          <w:b/>
        </w:rPr>
      </w:pPr>
      <w:r>
        <w:rPr>
          <w:rFonts w:ascii="Arial Narrow" w:hAnsi="Arial Narrow"/>
          <w:b/>
        </w:rPr>
        <w:t>338</w:t>
      </w:r>
      <w:r w:rsidR="002501C4">
        <w:rPr>
          <w:rFonts w:ascii="Arial Narrow" w:hAnsi="Arial Narrow"/>
          <w:b/>
        </w:rPr>
        <w:t>4</w:t>
      </w:r>
      <w:r>
        <w:rPr>
          <w:rFonts w:ascii="Arial Narrow" w:hAnsi="Arial Narrow"/>
          <w:b/>
        </w:rPr>
        <w:t xml:space="preserve">. </w:t>
      </w:r>
      <w:r w:rsidRPr="006E42A6">
        <w:rPr>
          <w:rFonts w:ascii="Arial Narrow" w:hAnsi="Arial Narrow"/>
          <w:b/>
        </w:rPr>
        <w:t xml:space="preserve">THE MINISTER OF </w:t>
      </w:r>
      <w:r>
        <w:rPr>
          <w:rFonts w:ascii="Arial Narrow" w:hAnsi="Arial Narrow"/>
          <w:b/>
        </w:rPr>
        <w:t>ENVIRONMENTAL</w:t>
      </w:r>
      <w:r w:rsidRPr="006E42A6">
        <w:rPr>
          <w:rFonts w:ascii="Arial Narrow" w:hAnsi="Arial Narrow"/>
          <w:b/>
        </w:rPr>
        <w:t xml:space="preserve"> AFFAIRS REPLIES:</w:t>
      </w:r>
    </w:p>
    <w:p w:rsidR="007230FC" w:rsidRDefault="007230FC" w:rsidP="007230FC">
      <w:pPr>
        <w:spacing w:line="360" w:lineRule="auto"/>
        <w:jc w:val="both"/>
        <w:rPr>
          <w:rFonts w:ascii="Arial Narrow" w:hAnsi="Arial Narrow"/>
          <w:b/>
        </w:rPr>
      </w:pPr>
    </w:p>
    <w:p w:rsidR="00372A92" w:rsidRPr="00372A92" w:rsidRDefault="00871205" w:rsidP="007230FC">
      <w:pPr>
        <w:spacing w:line="360" w:lineRule="auto"/>
        <w:jc w:val="both"/>
        <w:rPr>
          <w:rFonts w:ascii="Arial Narrow" w:hAnsi="Arial Narrow"/>
        </w:rPr>
      </w:pPr>
      <w:r>
        <w:rPr>
          <w:rFonts w:ascii="Arial Narrow" w:hAnsi="Arial Narrow"/>
        </w:rPr>
        <w:t>As reported by third parties,</w:t>
      </w:r>
      <w:r w:rsidR="00C251AA">
        <w:rPr>
          <w:rFonts w:ascii="Arial Narrow" w:hAnsi="Arial Narrow"/>
        </w:rPr>
        <w:t xml:space="preserve"> which</w:t>
      </w:r>
      <w:r>
        <w:rPr>
          <w:rFonts w:ascii="Arial Narrow" w:hAnsi="Arial Narrow"/>
        </w:rPr>
        <w:t xml:space="preserve"> we as Environmental Affairs are </w:t>
      </w:r>
      <w:r w:rsidR="00C251AA">
        <w:rPr>
          <w:rFonts w:ascii="Arial Narrow" w:hAnsi="Arial Narrow"/>
        </w:rPr>
        <w:t>no</w:t>
      </w:r>
      <w:r>
        <w:rPr>
          <w:rFonts w:ascii="Arial Narrow" w:hAnsi="Arial Narrow"/>
        </w:rPr>
        <w:t>t required to keep record of</w:t>
      </w:r>
      <w:r w:rsidR="0061766C">
        <w:rPr>
          <w:rFonts w:ascii="Arial Narrow" w:hAnsi="Arial Narrow"/>
        </w:rPr>
        <w:t>,</w:t>
      </w:r>
      <w:r w:rsidR="00C251AA">
        <w:rPr>
          <w:rFonts w:ascii="Arial Narrow" w:hAnsi="Arial Narrow"/>
        </w:rPr>
        <w:t xml:space="preserve"> and theref</w:t>
      </w:r>
      <w:r w:rsidR="0061766C">
        <w:rPr>
          <w:rFonts w:ascii="Arial Narrow" w:hAnsi="Arial Narrow"/>
        </w:rPr>
        <w:t>ore cannot verify these figures:</w:t>
      </w:r>
    </w:p>
    <w:p w:rsidR="000D78FB" w:rsidRPr="007230FC" w:rsidRDefault="00316A41" w:rsidP="007230FC">
      <w:pPr>
        <w:numPr>
          <w:ilvl w:val="0"/>
          <w:numId w:val="49"/>
        </w:numPr>
        <w:spacing w:line="360" w:lineRule="auto"/>
        <w:ind w:hanging="720"/>
        <w:jc w:val="both"/>
        <w:rPr>
          <w:rFonts w:ascii="Arial Narrow" w:hAnsi="Arial Narrow"/>
          <w:u w:val="single"/>
        </w:rPr>
      </w:pPr>
      <w:r w:rsidRPr="007230FC">
        <w:rPr>
          <w:rFonts w:ascii="Arial Narrow" w:hAnsi="Arial Narrow"/>
          <w:u w:val="single"/>
        </w:rPr>
        <w:t>E</w:t>
      </w:r>
      <w:r w:rsidR="00372A92" w:rsidRPr="007230FC">
        <w:rPr>
          <w:rFonts w:ascii="Arial Narrow" w:hAnsi="Arial Narrow"/>
          <w:u w:val="single"/>
        </w:rPr>
        <w:t>skom</w:t>
      </w:r>
    </w:p>
    <w:p w:rsidR="00316A41" w:rsidRPr="007230FC" w:rsidRDefault="007230FC" w:rsidP="007230FC">
      <w:pPr>
        <w:numPr>
          <w:ilvl w:val="0"/>
          <w:numId w:val="47"/>
        </w:numPr>
        <w:spacing w:line="360" w:lineRule="auto"/>
        <w:ind w:left="1440"/>
        <w:jc w:val="both"/>
        <w:rPr>
          <w:rFonts w:ascii="Arial Narrow" w:hAnsi="Arial Narrow"/>
        </w:rPr>
      </w:pPr>
      <w:r w:rsidRPr="007230FC">
        <w:rPr>
          <w:rFonts w:ascii="Arial Narrow" w:hAnsi="Arial Narrow"/>
        </w:rPr>
        <w:t>(</w:t>
      </w:r>
      <w:proofErr w:type="gramStart"/>
      <w:r w:rsidRPr="007230FC">
        <w:rPr>
          <w:rFonts w:ascii="Arial Narrow" w:hAnsi="Arial Narrow"/>
        </w:rPr>
        <w:t>aa</w:t>
      </w:r>
      <w:proofErr w:type="gramEnd"/>
      <w:r w:rsidRPr="007230FC">
        <w:rPr>
          <w:rFonts w:ascii="Arial Narrow" w:hAnsi="Arial Narrow"/>
        </w:rPr>
        <w:t>)</w:t>
      </w:r>
      <w:r w:rsidRPr="007230FC">
        <w:rPr>
          <w:rFonts w:ascii="Arial Narrow" w:hAnsi="Arial Narrow"/>
        </w:rPr>
        <w:tab/>
      </w:r>
      <w:r w:rsidR="00316A41" w:rsidRPr="007230FC">
        <w:rPr>
          <w:rFonts w:ascii="Arial Narrow" w:hAnsi="Arial Narrow"/>
        </w:rPr>
        <w:t>2014-15: 34 410 Kilo Tons</w:t>
      </w:r>
      <w:r w:rsidRPr="007230FC">
        <w:rPr>
          <w:rFonts w:ascii="Arial Narrow" w:hAnsi="Arial Narrow"/>
        </w:rPr>
        <w:t>.</w:t>
      </w:r>
    </w:p>
    <w:p w:rsidR="00316A41" w:rsidRPr="007230FC" w:rsidRDefault="00316A41" w:rsidP="007230FC">
      <w:pPr>
        <w:spacing w:line="360" w:lineRule="auto"/>
        <w:ind w:left="2160" w:hanging="720"/>
        <w:jc w:val="both"/>
        <w:rPr>
          <w:rFonts w:ascii="Arial Narrow" w:hAnsi="Arial Narrow"/>
        </w:rPr>
      </w:pPr>
      <w:r w:rsidRPr="007230FC">
        <w:rPr>
          <w:rFonts w:ascii="Arial Narrow" w:hAnsi="Arial Narrow"/>
        </w:rPr>
        <w:t>(</w:t>
      </w:r>
      <w:proofErr w:type="gramStart"/>
      <w:r w:rsidRPr="007230FC">
        <w:rPr>
          <w:rFonts w:ascii="Arial Narrow" w:hAnsi="Arial Narrow"/>
        </w:rPr>
        <w:t>bb</w:t>
      </w:r>
      <w:proofErr w:type="gramEnd"/>
      <w:r w:rsidRPr="007230FC">
        <w:rPr>
          <w:rFonts w:ascii="Arial Narrow" w:hAnsi="Arial Narrow"/>
        </w:rPr>
        <w:t>)</w:t>
      </w:r>
      <w:r w:rsidR="007230FC" w:rsidRPr="007230FC">
        <w:rPr>
          <w:rFonts w:ascii="Arial Narrow" w:hAnsi="Arial Narrow"/>
        </w:rPr>
        <w:tab/>
      </w:r>
      <w:r w:rsidRPr="007230FC">
        <w:rPr>
          <w:rFonts w:ascii="Arial Narrow" w:hAnsi="Arial Narrow"/>
        </w:rPr>
        <w:t>2015-16: 32 586 Kilo Tons</w:t>
      </w:r>
      <w:r w:rsidR="007230FC" w:rsidRPr="007230FC">
        <w:rPr>
          <w:rFonts w:ascii="Arial Narrow" w:hAnsi="Arial Narrow"/>
        </w:rPr>
        <w:t>.</w:t>
      </w:r>
    </w:p>
    <w:p w:rsidR="00316A41" w:rsidRPr="007230FC" w:rsidRDefault="00316A41" w:rsidP="007230FC">
      <w:pPr>
        <w:spacing w:line="360" w:lineRule="auto"/>
        <w:ind w:left="2160" w:hanging="720"/>
        <w:jc w:val="both"/>
        <w:rPr>
          <w:rFonts w:ascii="Arial Narrow" w:hAnsi="Arial Narrow"/>
        </w:rPr>
      </w:pPr>
      <w:r w:rsidRPr="007230FC">
        <w:rPr>
          <w:rFonts w:ascii="Arial Narrow" w:hAnsi="Arial Narrow"/>
        </w:rPr>
        <w:t>(cc)</w:t>
      </w:r>
      <w:r w:rsidR="007230FC" w:rsidRPr="007230FC">
        <w:rPr>
          <w:rFonts w:ascii="Arial Narrow" w:hAnsi="Arial Narrow"/>
        </w:rPr>
        <w:tab/>
      </w:r>
      <w:r w:rsidRPr="007230FC">
        <w:rPr>
          <w:rFonts w:ascii="Arial Narrow" w:hAnsi="Arial Narrow"/>
        </w:rPr>
        <w:t>2016-17: 32 612 Kilo Tons</w:t>
      </w:r>
      <w:r w:rsidR="007230FC" w:rsidRPr="007230FC">
        <w:rPr>
          <w:rFonts w:ascii="Arial Narrow" w:hAnsi="Arial Narrow"/>
        </w:rPr>
        <w:t>.</w:t>
      </w:r>
    </w:p>
    <w:p w:rsidR="007230FC" w:rsidRPr="007230FC" w:rsidRDefault="007230FC" w:rsidP="007230FC">
      <w:pPr>
        <w:spacing w:line="360" w:lineRule="auto"/>
        <w:ind w:left="1440" w:hanging="720"/>
        <w:jc w:val="both"/>
        <w:rPr>
          <w:rFonts w:ascii="Arial Narrow" w:hAnsi="Arial Narrow"/>
        </w:rPr>
      </w:pPr>
    </w:p>
    <w:p w:rsidR="00316A41" w:rsidRPr="007230FC" w:rsidRDefault="00316A41" w:rsidP="007230FC">
      <w:pPr>
        <w:numPr>
          <w:ilvl w:val="0"/>
          <w:numId w:val="47"/>
        </w:numPr>
        <w:spacing w:line="360" w:lineRule="auto"/>
        <w:ind w:left="1440"/>
        <w:jc w:val="both"/>
        <w:rPr>
          <w:rFonts w:ascii="Arial Narrow" w:hAnsi="Arial Narrow"/>
        </w:rPr>
      </w:pPr>
      <w:r w:rsidRPr="007230FC">
        <w:rPr>
          <w:rFonts w:ascii="Arial Narrow" w:hAnsi="Arial Narrow"/>
        </w:rPr>
        <w:t>01/04/17 – to</w:t>
      </w:r>
      <w:r w:rsidR="00810AC2" w:rsidRPr="007230FC">
        <w:rPr>
          <w:rFonts w:ascii="Arial Narrow" w:hAnsi="Arial Narrow"/>
        </w:rPr>
        <w:t xml:space="preserve"> </w:t>
      </w:r>
      <w:r w:rsidRPr="007230FC">
        <w:rPr>
          <w:rFonts w:ascii="Arial Narrow" w:hAnsi="Arial Narrow"/>
        </w:rPr>
        <w:t>date: 16 999 Kilo Tons</w:t>
      </w:r>
      <w:r w:rsidR="007230FC" w:rsidRPr="007230FC">
        <w:rPr>
          <w:rFonts w:ascii="Arial Narrow" w:hAnsi="Arial Narrow"/>
        </w:rPr>
        <w:t>.</w:t>
      </w:r>
    </w:p>
    <w:p w:rsidR="00316A41" w:rsidRPr="007230FC" w:rsidRDefault="00316A41" w:rsidP="007230FC">
      <w:pPr>
        <w:spacing w:line="360" w:lineRule="auto"/>
        <w:ind w:left="720" w:hanging="720"/>
        <w:jc w:val="both"/>
        <w:rPr>
          <w:rFonts w:ascii="Arial Narrow" w:hAnsi="Arial Narrow"/>
        </w:rPr>
      </w:pPr>
    </w:p>
    <w:p w:rsidR="00316A41" w:rsidRDefault="00316A41" w:rsidP="007230FC">
      <w:pPr>
        <w:numPr>
          <w:ilvl w:val="0"/>
          <w:numId w:val="49"/>
        </w:numPr>
        <w:spacing w:line="360" w:lineRule="auto"/>
        <w:ind w:hanging="720"/>
        <w:jc w:val="both"/>
        <w:rPr>
          <w:rFonts w:ascii="Arial Narrow" w:hAnsi="Arial Narrow"/>
          <w:u w:val="single"/>
        </w:rPr>
      </w:pPr>
      <w:r w:rsidRPr="007230FC">
        <w:rPr>
          <w:rFonts w:ascii="Arial Narrow" w:hAnsi="Arial Narrow"/>
          <w:u w:val="single"/>
        </w:rPr>
        <w:t>S</w:t>
      </w:r>
      <w:r w:rsidR="00372A92" w:rsidRPr="007230FC">
        <w:rPr>
          <w:rFonts w:ascii="Arial Narrow" w:hAnsi="Arial Narrow"/>
          <w:u w:val="single"/>
        </w:rPr>
        <w:t>asol</w:t>
      </w:r>
    </w:p>
    <w:p w:rsidR="007230FC" w:rsidRPr="007230FC" w:rsidRDefault="007230FC" w:rsidP="007230FC">
      <w:pPr>
        <w:spacing w:line="360" w:lineRule="auto"/>
        <w:ind w:left="720"/>
        <w:jc w:val="both"/>
        <w:rPr>
          <w:rFonts w:ascii="Arial Narrow" w:hAnsi="Arial Narrow"/>
        </w:rPr>
      </w:pPr>
      <w:r>
        <w:rPr>
          <w:rFonts w:ascii="Arial Narrow" w:hAnsi="Arial Narrow"/>
        </w:rPr>
        <w:t>(i) (</w:t>
      </w:r>
      <w:proofErr w:type="gramStart"/>
      <w:r>
        <w:rPr>
          <w:rFonts w:ascii="Arial Narrow" w:hAnsi="Arial Narrow"/>
        </w:rPr>
        <w:t>aa</w:t>
      </w:r>
      <w:proofErr w:type="gramEnd"/>
      <w:r>
        <w:rPr>
          <w:rFonts w:ascii="Arial Narrow" w:hAnsi="Arial Narrow"/>
        </w:rPr>
        <w:t>, bb and cc) and (ii)</w:t>
      </w:r>
    </w:p>
    <w:p w:rsidR="00316A41" w:rsidRDefault="00316A41" w:rsidP="007230FC">
      <w:pPr>
        <w:spacing w:line="360" w:lineRule="auto"/>
        <w:ind w:left="720"/>
        <w:jc w:val="both"/>
        <w:rPr>
          <w:rFonts w:ascii="Arial Narrow" w:hAnsi="Arial Narrow"/>
        </w:rPr>
      </w:pPr>
      <w:r w:rsidRPr="007230FC">
        <w:rPr>
          <w:rFonts w:ascii="Arial Narrow" w:hAnsi="Arial Narrow"/>
        </w:rPr>
        <w:t>The Sasolburg Operations (SO) and Secunda Synfuels Operations (SSO) ash figures are kept separate because of the operations being in different locations. We have also separated the coarse ash (predominantly gasification ash) from the fine ash (ash generated at the steam plants). Also, please note that Sasol’s financial year runs from July to June.</w:t>
      </w:r>
    </w:p>
    <w:p w:rsidR="007230FC" w:rsidRPr="007230FC" w:rsidRDefault="007230FC" w:rsidP="007230FC">
      <w:pPr>
        <w:spacing w:line="360" w:lineRule="auto"/>
        <w:ind w:left="720"/>
        <w:jc w:val="both"/>
        <w:rPr>
          <w:rFonts w:ascii="Arial Narrow" w:hAnsi="Arial Narrow"/>
        </w:rPr>
      </w:pPr>
    </w:p>
    <w:tbl>
      <w:tblPr>
        <w:tblW w:w="9262" w:type="dxa"/>
        <w:tblCellMar>
          <w:left w:w="0" w:type="dxa"/>
          <w:right w:w="0" w:type="dxa"/>
        </w:tblCellMar>
        <w:tblLook w:val="04A0"/>
      </w:tblPr>
      <w:tblGrid>
        <w:gridCol w:w="3076"/>
        <w:gridCol w:w="1446"/>
        <w:gridCol w:w="1418"/>
        <w:gridCol w:w="1559"/>
        <w:gridCol w:w="1763"/>
      </w:tblGrid>
      <w:tr w:rsidR="00316A41" w:rsidRPr="00810AC2" w:rsidTr="00316A41">
        <w:tc>
          <w:tcPr>
            <w:tcW w:w="3076" w:type="dxa"/>
            <w:tcBorders>
              <w:top w:val="single" w:sz="18" w:space="0" w:color="auto"/>
              <w:left w:val="single" w:sz="24" w:space="0" w:color="auto"/>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Ash in Tons</w:t>
            </w:r>
          </w:p>
        </w:tc>
        <w:tc>
          <w:tcPr>
            <w:tcW w:w="1446" w:type="dxa"/>
            <w:tcBorders>
              <w:top w:val="single" w:sz="18" w:space="0" w:color="auto"/>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FY15</w:t>
            </w:r>
          </w:p>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 xml:space="preserve">(1 July 2014 to 30 June 2015) </w:t>
            </w:r>
          </w:p>
        </w:tc>
        <w:tc>
          <w:tcPr>
            <w:tcW w:w="1418" w:type="dxa"/>
            <w:tcBorders>
              <w:top w:val="single" w:sz="18" w:space="0" w:color="auto"/>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FY16</w:t>
            </w:r>
          </w:p>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(1 July 2015 to 30 June 2016)</w:t>
            </w:r>
          </w:p>
        </w:tc>
        <w:tc>
          <w:tcPr>
            <w:tcW w:w="1559" w:type="dxa"/>
            <w:tcBorders>
              <w:top w:val="single" w:sz="18" w:space="0" w:color="auto"/>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FY17</w:t>
            </w:r>
          </w:p>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(July 2016 to June 2017)</w:t>
            </w:r>
          </w:p>
        </w:tc>
        <w:tc>
          <w:tcPr>
            <w:tcW w:w="1763" w:type="dxa"/>
            <w:tcBorders>
              <w:top w:val="single" w:sz="18" w:space="0" w:color="auto"/>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1 April 2017 to 30 Sep 2017 (please note that Apr 2017 to June 2017 figures are included in FY17 data)</w:t>
            </w:r>
          </w:p>
        </w:tc>
      </w:tr>
      <w:tr w:rsidR="00316A41" w:rsidRPr="00810AC2" w:rsidTr="00316A41">
        <w:tc>
          <w:tcPr>
            <w:tcW w:w="9262" w:type="dxa"/>
            <w:gridSpan w:val="5"/>
            <w:tcBorders>
              <w:top w:val="nil"/>
              <w:left w:val="single" w:sz="24" w:space="0" w:color="auto"/>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Sasolburg Operations (SO)</w:t>
            </w:r>
          </w:p>
        </w:tc>
      </w:tr>
      <w:tr w:rsidR="00316A41" w:rsidRPr="00810AC2" w:rsidTr="00316A41">
        <w:tc>
          <w:tcPr>
            <w:tcW w:w="307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Fine ash (boiler fine and bottom ash particles)</w:t>
            </w:r>
          </w:p>
        </w:tc>
        <w:tc>
          <w:tcPr>
            <w:tcW w:w="1446"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598 215</w:t>
            </w:r>
          </w:p>
        </w:tc>
        <w:tc>
          <w:tcPr>
            <w:tcW w:w="1418"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573 927</w:t>
            </w:r>
          </w:p>
        </w:tc>
        <w:tc>
          <w:tcPr>
            <w:tcW w:w="1559"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590 731</w:t>
            </w:r>
          </w:p>
        </w:tc>
        <w:tc>
          <w:tcPr>
            <w:tcW w:w="1763"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262 748</w:t>
            </w:r>
          </w:p>
        </w:tc>
      </w:tr>
      <w:tr w:rsidR="00316A41" w:rsidRPr="00810AC2" w:rsidTr="00316A41">
        <w:tc>
          <w:tcPr>
            <w:tcW w:w="9262" w:type="dxa"/>
            <w:gridSpan w:val="5"/>
            <w:tcBorders>
              <w:top w:val="nil"/>
              <w:left w:val="single" w:sz="24" w:space="0" w:color="auto"/>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Secunda Synfuels Operations (SSO)</w:t>
            </w:r>
          </w:p>
        </w:tc>
      </w:tr>
      <w:tr w:rsidR="00316A41" w:rsidRPr="00810AC2" w:rsidTr="00316A41">
        <w:tc>
          <w:tcPr>
            <w:tcW w:w="307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Fine ash (boiler and gasification fine particles)</w:t>
            </w:r>
          </w:p>
        </w:tc>
        <w:tc>
          <w:tcPr>
            <w:tcW w:w="1446"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4 324 772</w:t>
            </w:r>
          </w:p>
        </w:tc>
        <w:tc>
          <w:tcPr>
            <w:tcW w:w="1418"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4 037 215</w:t>
            </w:r>
          </w:p>
        </w:tc>
        <w:tc>
          <w:tcPr>
            <w:tcW w:w="1559"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3 843 959</w:t>
            </w:r>
          </w:p>
        </w:tc>
        <w:tc>
          <w:tcPr>
            <w:tcW w:w="1763"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1 847 788</w:t>
            </w:r>
          </w:p>
        </w:tc>
      </w:tr>
      <w:tr w:rsidR="00316A41" w:rsidRPr="00810AC2" w:rsidTr="00316A41">
        <w:tc>
          <w:tcPr>
            <w:tcW w:w="307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Coarse ash (predominantly gasification ash)</w:t>
            </w:r>
          </w:p>
        </w:tc>
        <w:tc>
          <w:tcPr>
            <w:tcW w:w="1446"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6 229 382</w:t>
            </w:r>
          </w:p>
        </w:tc>
        <w:tc>
          <w:tcPr>
            <w:tcW w:w="1418"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6 654 301</w:t>
            </w:r>
          </w:p>
        </w:tc>
        <w:tc>
          <w:tcPr>
            <w:tcW w:w="1559"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6 400 470</w:t>
            </w:r>
          </w:p>
        </w:tc>
        <w:tc>
          <w:tcPr>
            <w:tcW w:w="1763"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3 058 644</w:t>
            </w:r>
          </w:p>
        </w:tc>
      </w:tr>
      <w:tr w:rsidR="00316A41" w:rsidRPr="00810AC2" w:rsidTr="00316A41">
        <w:tc>
          <w:tcPr>
            <w:tcW w:w="3076" w:type="dxa"/>
            <w:tcBorders>
              <w:top w:val="nil"/>
              <w:left w:val="single" w:sz="24" w:space="0" w:color="auto"/>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Total</w:t>
            </w:r>
          </w:p>
        </w:tc>
        <w:tc>
          <w:tcPr>
            <w:tcW w:w="1446" w:type="dxa"/>
            <w:tcBorders>
              <w:top w:val="nil"/>
              <w:left w:val="nil"/>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 </w:t>
            </w:r>
          </w:p>
        </w:tc>
        <w:tc>
          <w:tcPr>
            <w:tcW w:w="1418" w:type="dxa"/>
            <w:tcBorders>
              <w:top w:val="nil"/>
              <w:left w:val="nil"/>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 </w:t>
            </w:r>
          </w:p>
        </w:tc>
        <w:tc>
          <w:tcPr>
            <w:tcW w:w="1559" w:type="dxa"/>
            <w:tcBorders>
              <w:top w:val="nil"/>
              <w:left w:val="nil"/>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 </w:t>
            </w:r>
          </w:p>
        </w:tc>
        <w:tc>
          <w:tcPr>
            <w:tcW w:w="1763" w:type="dxa"/>
            <w:tcBorders>
              <w:top w:val="nil"/>
              <w:left w:val="nil"/>
              <w:bottom w:val="single" w:sz="24" w:space="0" w:color="auto"/>
              <w:right w:val="single" w:sz="24" w:space="0" w:color="auto"/>
            </w:tcBorders>
            <w:shd w:val="clear" w:color="auto" w:fill="BFBFBF"/>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color w:val="7030A0"/>
                <w:sz w:val="22"/>
                <w:szCs w:val="22"/>
              </w:rPr>
              <w:t> </w:t>
            </w:r>
          </w:p>
        </w:tc>
      </w:tr>
      <w:tr w:rsidR="00316A41" w:rsidRPr="00810AC2" w:rsidTr="00316A41">
        <w:tc>
          <w:tcPr>
            <w:tcW w:w="3076" w:type="dxa"/>
            <w:tcBorders>
              <w:top w:val="nil"/>
              <w:left w:val="single" w:sz="24" w:space="0" w:color="auto"/>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Ash generated (all sources and types)</w:t>
            </w:r>
          </w:p>
        </w:tc>
        <w:tc>
          <w:tcPr>
            <w:tcW w:w="1446"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11 152 369</w:t>
            </w:r>
          </w:p>
        </w:tc>
        <w:tc>
          <w:tcPr>
            <w:tcW w:w="1418"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11 265 443</w:t>
            </w:r>
          </w:p>
        </w:tc>
        <w:tc>
          <w:tcPr>
            <w:tcW w:w="1559"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10 835 160</w:t>
            </w:r>
          </w:p>
        </w:tc>
        <w:tc>
          <w:tcPr>
            <w:tcW w:w="1763" w:type="dxa"/>
            <w:tcBorders>
              <w:top w:val="nil"/>
              <w:left w:val="nil"/>
              <w:bottom w:val="single" w:sz="24" w:space="0" w:color="auto"/>
              <w:right w:val="single" w:sz="24" w:space="0" w:color="auto"/>
            </w:tcBorders>
            <w:tcMar>
              <w:top w:w="0" w:type="dxa"/>
              <w:left w:w="108" w:type="dxa"/>
              <w:bottom w:w="0" w:type="dxa"/>
              <w:right w:w="108" w:type="dxa"/>
            </w:tcMar>
            <w:hideMark/>
          </w:tcPr>
          <w:p w:rsidR="00316A41" w:rsidRPr="007230FC" w:rsidRDefault="00316A41" w:rsidP="00810AC2">
            <w:pPr>
              <w:spacing w:line="276" w:lineRule="auto"/>
              <w:jc w:val="both"/>
              <w:rPr>
                <w:rFonts w:ascii="Arial Narrow" w:hAnsi="Arial Narrow"/>
                <w:color w:val="7030A0"/>
                <w:sz w:val="22"/>
                <w:szCs w:val="22"/>
              </w:rPr>
            </w:pPr>
            <w:r w:rsidRPr="007230FC">
              <w:rPr>
                <w:rFonts w:ascii="Arial Narrow" w:hAnsi="Arial Narrow" w:cs="Arial"/>
                <w:b/>
                <w:bCs/>
                <w:color w:val="7030A0"/>
                <w:sz w:val="22"/>
                <w:szCs w:val="22"/>
              </w:rPr>
              <w:t>5 169 180</w:t>
            </w:r>
          </w:p>
        </w:tc>
      </w:tr>
    </w:tbl>
    <w:p w:rsidR="00D70341" w:rsidRPr="00810AC2" w:rsidRDefault="00D70341" w:rsidP="00810AC2">
      <w:pPr>
        <w:spacing w:before="100" w:beforeAutospacing="1" w:after="100" w:afterAutospacing="1"/>
        <w:rPr>
          <w:rFonts w:ascii="Arial Narrow" w:hAnsi="Arial Narrow"/>
        </w:rPr>
      </w:pPr>
    </w:p>
    <w:p w:rsidR="00D70341" w:rsidRPr="00D70341" w:rsidRDefault="00D70341" w:rsidP="00D70341">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D70341" w:rsidRPr="00D70341"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83" w:rsidRDefault="00782F83" w:rsidP="004F1BDF">
      <w:r>
        <w:separator/>
      </w:r>
    </w:p>
  </w:endnote>
  <w:endnote w:type="continuationSeparator" w:id="0">
    <w:p w:rsidR="00782F83" w:rsidRDefault="00782F8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05" w:rsidRPr="00C37A66" w:rsidRDefault="00871205"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3383</w:t>
    </w:r>
    <w:r>
      <w:rPr>
        <w:rFonts w:ascii="Arial Narrow" w:hAnsi="Arial Narrow"/>
        <w:b w:val="0"/>
        <w:sz w:val="16"/>
        <w:szCs w:val="16"/>
      </w:rPr>
      <w:tab/>
    </w:r>
    <w:r>
      <w:rPr>
        <w:rFonts w:ascii="Arial Narrow" w:eastAsia="Calibri" w:hAnsi="Arial Narrow"/>
        <w:b w:val="0"/>
        <w:bCs w:val="0"/>
        <w:sz w:val="16"/>
        <w:szCs w:val="16"/>
        <w:lang w:val="en-ZA"/>
      </w:rPr>
      <w:t>NW3776</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83" w:rsidRDefault="00782F83" w:rsidP="004F1BDF">
      <w:r>
        <w:separator/>
      </w:r>
    </w:p>
  </w:footnote>
  <w:footnote w:type="continuationSeparator" w:id="0">
    <w:p w:rsidR="00782F83" w:rsidRDefault="00782F8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0E0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0EEE61FA"/>
    <w:multiLevelType w:val="hybridMultilevel"/>
    <w:tmpl w:val="A418C12C"/>
    <w:lvl w:ilvl="0" w:tplc="9C10AA1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153D90"/>
    <w:multiLevelType w:val="hybridMultilevel"/>
    <w:tmpl w:val="2A1C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2">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EF2D84"/>
    <w:multiLevelType w:val="hybridMultilevel"/>
    <w:tmpl w:val="B9A0AFB8"/>
    <w:lvl w:ilvl="0" w:tplc="90F0CC0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20">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6">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48"/>
  </w:num>
  <w:num w:numId="4">
    <w:abstractNumId w:val="1"/>
  </w:num>
  <w:num w:numId="5">
    <w:abstractNumId w:val="41"/>
  </w:num>
  <w:num w:numId="6">
    <w:abstractNumId w:val="8"/>
  </w:num>
  <w:num w:numId="7">
    <w:abstractNumId w:val="11"/>
  </w:num>
  <w:num w:numId="8">
    <w:abstractNumId w:val="46"/>
  </w:num>
  <w:num w:numId="9">
    <w:abstractNumId w:val="22"/>
  </w:num>
  <w:num w:numId="10">
    <w:abstractNumId w:val="42"/>
  </w:num>
  <w:num w:numId="11">
    <w:abstractNumId w:val="15"/>
  </w:num>
  <w:num w:numId="12">
    <w:abstractNumId w:val="43"/>
  </w:num>
  <w:num w:numId="13">
    <w:abstractNumId w:val="25"/>
  </w:num>
  <w:num w:numId="14">
    <w:abstractNumId w:val="27"/>
  </w:num>
  <w:num w:numId="15">
    <w:abstractNumId w:val="21"/>
  </w:num>
  <w:num w:numId="16">
    <w:abstractNumId w:val="33"/>
  </w:num>
  <w:num w:numId="17">
    <w:abstractNumId w:val="3"/>
  </w:num>
  <w:num w:numId="18">
    <w:abstractNumId w:val="44"/>
  </w:num>
  <w:num w:numId="19">
    <w:abstractNumId w:val="45"/>
  </w:num>
  <w:num w:numId="20">
    <w:abstractNumId w:val="14"/>
  </w:num>
  <w:num w:numId="21">
    <w:abstractNumId w:val="18"/>
  </w:num>
  <w:num w:numId="22">
    <w:abstractNumId w:val="30"/>
  </w:num>
  <w:num w:numId="23">
    <w:abstractNumId w:val="13"/>
  </w:num>
  <w:num w:numId="24">
    <w:abstractNumId w:val="0"/>
  </w:num>
  <w:num w:numId="25">
    <w:abstractNumId w:val="4"/>
  </w:num>
  <w:num w:numId="26">
    <w:abstractNumId w:val="17"/>
  </w:num>
  <w:num w:numId="27">
    <w:abstractNumId w:val="24"/>
  </w:num>
  <w:num w:numId="28">
    <w:abstractNumId w:val="5"/>
  </w:num>
  <w:num w:numId="29">
    <w:abstractNumId w:val="39"/>
  </w:num>
  <w:num w:numId="30">
    <w:abstractNumId w:val="28"/>
  </w:num>
  <w:num w:numId="31">
    <w:abstractNumId w:val="34"/>
  </w:num>
  <w:num w:numId="32">
    <w:abstractNumId w:val="31"/>
  </w:num>
  <w:num w:numId="33">
    <w:abstractNumId w:val="23"/>
  </w:num>
  <w:num w:numId="34">
    <w:abstractNumId w:val="6"/>
  </w:num>
  <w:num w:numId="35">
    <w:abstractNumId w:val="26"/>
  </w:num>
  <w:num w:numId="36">
    <w:abstractNumId w:val="19"/>
  </w:num>
  <w:num w:numId="37">
    <w:abstractNumId w:val="32"/>
  </w:num>
  <w:num w:numId="38">
    <w:abstractNumId w:val="20"/>
  </w:num>
  <w:num w:numId="39">
    <w:abstractNumId w:val="2"/>
  </w:num>
  <w:num w:numId="40">
    <w:abstractNumId w:val="29"/>
  </w:num>
  <w:num w:numId="41">
    <w:abstractNumId w:val="10"/>
  </w:num>
  <w:num w:numId="42">
    <w:abstractNumId w:val="35"/>
  </w:num>
  <w:num w:numId="43">
    <w:abstractNumId w:val="38"/>
  </w:num>
  <w:num w:numId="44">
    <w:abstractNumId w:val="12"/>
  </w:num>
  <w:num w:numId="45">
    <w:abstractNumId w:val="47"/>
  </w:num>
  <w:num w:numId="46">
    <w:abstractNumId w:val="36"/>
  </w:num>
  <w:num w:numId="47">
    <w:abstractNumId w:val="16"/>
  </w:num>
  <w:num w:numId="48">
    <w:abstractNumId w:val="7"/>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D78FB"/>
    <w:rsid w:val="000E25DF"/>
    <w:rsid w:val="000E5566"/>
    <w:rsid w:val="000E7226"/>
    <w:rsid w:val="000F0ED7"/>
    <w:rsid w:val="000F1AE4"/>
    <w:rsid w:val="000F5390"/>
    <w:rsid w:val="000F5F38"/>
    <w:rsid w:val="00101039"/>
    <w:rsid w:val="00107CF9"/>
    <w:rsid w:val="00107D87"/>
    <w:rsid w:val="00121FAA"/>
    <w:rsid w:val="001223BD"/>
    <w:rsid w:val="001226D3"/>
    <w:rsid w:val="00132E22"/>
    <w:rsid w:val="0013473D"/>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01C4"/>
    <w:rsid w:val="002525EC"/>
    <w:rsid w:val="00254B64"/>
    <w:rsid w:val="00254C71"/>
    <w:rsid w:val="00255BA5"/>
    <w:rsid w:val="00256BD6"/>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0C33"/>
    <w:rsid w:val="003020D1"/>
    <w:rsid w:val="003072EF"/>
    <w:rsid w:val="00316A41"/>
    <w:rsid w:val="00316C53"/>
    <w:rsid w:val="0032026A"/>
    <w:rsid w:val="00325F44"/>
    <w:rsid w:val="00326909"/>
    <w:rsid w:val="0033203A"/>
    <w:rsid w:val="003451BB"/>
    <w:rsid w:val="00350FD9"/>
    <w:rsid w:val="00352C8A"/>
    <w:rsid w:val="00361C68"/>
    <w:rsid w:val="00372A92"/>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84D"/>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5F7385"/>
    <w:rsid w:val="00600512"/>
    <w:rsid w:val="00606931"/>
    <w:rsid w:val="006112BD"/>
    <w:rsid w:val="0061208C"/>
    <w:rsid w:val="006129DC"/>
    <w:rsid w:val="006130E9"/>
    <w:rsid w:val="00613E44"/>
    <w:rsid w:val="0061766C"/>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0FC"/>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2F83"/>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0AC2"/>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20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2D6"/>
    <w:rsid w:val="00A37940"/>
    <w:rsid w:val="00A4247C"/>
    <w:rsid w:val="00A442B9"/>
    <w:rsid w:val="00A460A7"/>
    <w:rsid w:val="00A46FCA"/>
    <w:rsid w:val="00A60B66"/>
    <w:rsid w:val="00A616F6"/>
    <w:rsid w:val="00A66B49"/>
    <w:rsid w:val="00A76401"/>
    <w:rsid w:val="00A83DE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1AA"/>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6ED3"/>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EF3831"/>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41950797">
      <w:bodyDiv w:val="1"/>
      <w:marLeft w:val="0"/>
      <w:marRight w:val="0"/>
      <w:marTop w:val="0"/>
      <w:marBottom w:val="0"/>
      <w:divBdr>
        <w:top w:val="none" w:sz="0" w:space="0" w:color="auto"/>
        <w:left w:val="none" w:sz="0" w:space="0" w:color="auto"/>
        <w:bottom w:val="none" w:sz="0" w:space="0" w:color="auto"/>
        <w:right w:val="none" w:sz="0" w:space="0" w:color="auto"/>
      </w:divBdr>
    </w:div>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616475272">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1049-10E3-4AE5-A43D-D9D062B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2017-11-06T11:21:00Z</cp:lastPrinted>
  <dcterms:created xsi:type="dcterms:W3CDTF">2017-11-29T09:22:00Z</dcterms:created>
  <dcterms:modified xsi:type="dcterms:W3CDTF">2017-11-29T09:22:00Z</dcterms:modified>
</cp:coreProperties>
</file>