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A" w:rsidRDefault="002032D3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2032D3" w:rsidRDefault="002032D3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337</w:t>
      </w:r>
    </w:p>
    <w:p w:rsidR="001E5EFB" w:rsidRPr="001E5EFB" w:rsidRDefault="001E5EFB" w:rsidP="001E5EF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1E5EFB">
        <w:rPr>
          <w:rFonts w:ascii="Arial" w:hAnsi="Arial" w:cs="Arial"/>
          <w:b/>
          <w:sz w:val="22"/>
          <w:szCs w:val="22"/>
        </w:rPr>
        <w:t xml:space="preserve">Mr C Brink (DA) to </w:t>
      </w:r>
      <w:r w:rsidRPr="001E5EFB">
        <w:rPr>
          <w:rFonts w:ascii="Arial" w:hAnsi="Arial" w:cs="Arial"/>
          <w:b/>
          <w:bCs/>
          <w:sz w:val="22"/>
          <w:szCs w:val="22"/>
          <w:lang w:val="en-US"/>
        </w:rPr>
        <w:t>ask</w:t>
      </w:r>
      <w:r w:rsidRPr="001E5EFB">
        <w:rPr>
          <w:rFonts w:ascii="Arial" w:hAnsi="Arial" w:cs="Arial"/>
          <w:b/>
          <w:sz w:val="22"/>
          <w:szCs w:val="22"/>
        </w:rPr>
        <w:t xml:space="preserve"> the Minister of Transport</w:t>
      </w:r>
      <w:r w:rsidR="00493A2F" w:rsidRPr="001E5EFB">
        <w:rPr>
          <w:rFonts w:ascii="Arial" w:hAnsi="Arial" w:cs="Arial"/>
          <w:b/>
          <w:sz w:val="22"/>
          <w:szCs w:val="22"/>
        </w:rPr>
        <w:fldChar w:fldCharType="begin"/>
      </w:r>
      <w:r w:rsidRPr="001E5EFB">
        <w:rPr>
          <w:rFonts w:ascii="Arial" w:hAnsi="Arial" w:cs="Arial"/>
          <w:sz w:val="22"/>
          <w:szCs w:val="22"/>
        </w:rPr>
        <w:instrText xml:space="preserve"> XE "</w:instrText>
      </w:r>
      <w:r w:rsidRPr="001E5EF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instrText>Transport</w:instrText>
      </w:r>
      <w:r w:rsidRPr="001E5EFB">
        <w:rPr>
          <w:rFonts w:ascii="Arial" w:hAnsi="Arial" w:cs="Arial"/>
          <w:sz w:val="22"/>
          <w:szCs w:val="22"/>
        </w:rPr>
        <w:instrText xml:space="preserve">" </w:instrText>
      </w:r>
      <w:r w:rsidR="00493A2F" w:rsidRPr="001E5EFB">
        <w:rPr>
          <w:rFonts w:ascii="Arial" w:hAnsi="Arial" w:cs="Arial"/>
          <w:b/>
          <w:sz w:val="22"/>
          <w:szCs w:val="22"/>
        </w:rPr>
        <w:fldChar w:fldCharType="end"/>
      </w:r>
      <w:r w:rsidRPr="001E5EFB">
        <w:rPr>
          <w:rFonts w:ascii="Arial" w:hAnsi="Arial" w:cs="Arial"/>
          <w:b/>
          <w:sz w:val="22"/>
          <w:szCs w:val="22"/>
        </w:rPr>
        <w:t xml:space="preserve">: </w:t>
      </w:r>
    </w:p>
    <w:p w:rsidR="001E5EFB" w:rsidRPr="001E5EFB" w:rsidRDefault="001E5EFB" w:rsidP="001E5EFB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1E5EFB">
        <w:rPr>
          <w:rFonts w:ascii="Arial" w:hAnsi="Arial" w:cs="Arial"/>
          <w:sz w:val="22"/>
          <w:szCs w:val="22"/>
        </w:rPr>
        <w:t>(1)</w:t>
      </w:r>
      <w:r w:rsidRPr="001E5EFB">
        <w:rPr>
          <w:rFonts w:ascii="Arial" w:hAnsi="Arial" w:cs="Arial"/>
          <w:sz w:val="22"/>
          <w:szCs w:val="22"/>
        </w:rPr>
        <w:tab/>
        <w:t xml:space="preserve">Whether he and/or his department </w:t>
      </w:r>
      <w:r w:rsidRPr="00007D39">
        <w:rPr>
          <w:rFonts w:ascii="Arial" w:hAnsi="Arial" w:cs="Arial"/>
          <w:color w:val="000000" w:themeColor="text1"/>
          <w:sz w:val="22"/>
          <w:szCs w:val="22"/>
        </w:rPr>
        <w:t xml:space="preserve">shared information with provincial governments about the implementation of the Administrative Adjudication of Road Traffic Offences Act, Act 46 of 1998, (AARTO) since </w:t>
      </w:r>
      <w:r w:rsidRPr="001E5EFB">
        <w:rPr>
          <w:rFonts w:ascii="Arial" w:hAnsi="Arial" w:cs="Arial"/>
          <w:sz w:val="22"/>
          <w:szCs w:val="22"/>
        </w:rPr>
        <w:t>1 January 2021; if not, why not; if so, (a) what was the substance of the specified information and (b) on what date was the information disseminated;</w:t>
      </w:r>
    </w:p>
    <w:p w:rsidR="00232DDC" w:rsidRPr="00CA5C11" w:rsidRDefault="001E5EFB" w:rsidP="00CA5C1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1E5EFB">
        <w:rPr>
          <w:rFonts w:ascii="Arial" w:hAnsi="Arial" w:cs="Arial"/>
          <w:sz w:val="22"/>
          <w:szCs w:val="22"/>
        </w:rPr>
        <w:t>(2)</w:t>
      </w:r>
      <w:r w:rsidRPr="001E5EFB">
        <w:rPr>
          <w:rFonts w:ascii="Arial" w:hAnsi="Arial" w:cs="Arial"/>
          <w:sz w:val="22"/>
          <w:szCs w:val="22"/>
        </w:rPr>
        <w:tab/>
      </w:r>
      <w:r w:rsidR="0096193F" w:rsidRPr="001E5EFB">
        <w:rPr>
          <w:rFonts w:ascii="Arial" w:hAnsi="Arial" w:cs="Arial"/>
          <w:sz w:val="22"/>
          <w:szCs w:val="22"/>
        </w:rPr>
        <w:t>Whether</w:t>
      </w:r>
      <w:r w:rsidRPr="001E5EFB">
        <w:rPr>
          <w:rFonts w:ascii="Arial" w:hAnsi="Arial" w:cs="Arial"/>
          <w:sz w:val="22"/>
          <w:szCs w:val="22"/>
        </w:rPr>
        <w:t xml:space="preserve"> he and/or his department received any substanti</w:t>
      </w:r>
      <w:r w:rsidR="0096193F">
        <w:rPr>
          <w:rFonts w:ascii="Arial" w:hAnsi="Arial" w:cs="Arial"/>
          <w:sz w:val="22"/>
          <w:szCs w:val="22"/>
        </w:rPr>
        <w:t>ve responses from provinces</w:t>
      </w:r>
      <w:r w:rsidRPr="001E5EFB">
        <w:rPr>
          <w:rFonts w:ascii="Arial" w:hAnsi="Arial" w:cs="Arial"/>
          <w:sz w:val="22"/>
          <w:szCs w:val="22"/>
        </w:rPr>
        <w:t xml:space="preserve"> in response to such information; if not, what is the position in this regard; if so, what are the relevant details?</w:t>
      </w:r>
      <w:r w:rsidRPr="001E5EFB">
        <w:rPr>
          <w:rFonts w:ascii="Arial" w:hAnsi="Arial" w:cs="Arial"/>
          <w:sz w:val="22"/>
          <w:szCs w:val="22"/>
        </w:rPr>
        <w:tab/>
      </w:r>
      <w:r w:rsidRPr="001E5EFB">
        <w:rPr>
          <w:rFonts w:ascii="Arial" w:hAnsi="Arial" w:cs="Arial"/>
          <w:sz w:val="22"/>
          <w:szCs w:val="22"/>
        </w:rPr>
        <w:tab/>
      </w:r>
      <w:r w:rsidRPr="001E5EFB">
        <w:rPr>
          <w:rFonts w:ascii="Arial" w:hAnsi="Arial" w:cs="Arial"/>
          <w:sz w:val="22"/>
          <w:szCs w:val="22"/>
        </w:rPr>
        <w:tab/>
        <w:t>NW348E</w:t>
      </w:r>
    </w:p>
    <w:p w:rsidR="00CA5C11" w:rsidRDefault="00CA5C1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E765B1" w:rsidRDefault="00E765B1" w:rsidP="00E765B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</w:p>
    <w:p w:rsidR="00007D39" w:rsidRDefault="00007D39" w:rsidP="00007D39">
      <w:pPr>
        <w:pStyle w:val="ListParagraph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ab/>
        <w:t>Yes, the Minister and the Depar</w:t>
      </w:r>
      <w:r w:rsidR="00864BB1">
        <w:rPr>
          <w:rFonts w:ascii="Arial" w:hAnsi="Arial" w:cs="Arial"/>
          <w:color w:val="000000"/>
          <w:sz w:val="22"/>
          <w:szCs w:val="22"/>
        </w:rPr>
        <w:t>tment of Transport did share</w:t>
      </w:r>
      <w:r>
        <w:rPr>
          <w:rFonts w:ascii="Arial" w:hAnsi="Arial" w:cs="Arial"/>
          <w:color w:val="000000"/>
          <w:sz w:val="22"/>
          <w:szCs w:val="22"/>
        </w:rPr>
        <w:t xml:space="preserve"> information </w:t>
      </w:r>
      <w:r w:rsidRPr="00E765B1">
        <w:rPr>
          <w:rFonts w:ascii="Arial" w:hAnsi="Arial" w:cs="Arial"/>
          <w:color w:val="000000"/>
          <w:sz w:val="22"/>
          <w:szCs w:val="22"/>
        </w:rPr>
        <w:t>with provincial governments about the implementation of the Administrative Adjudication of Road Traffic Offences Act</w:t>
      </w:r>
      <w:r>
        <w:rPr>
          <w:rFonts w:ascii="Arial" w:hAnsi="Arial" w:cs="Arial"/>
          <w:color w:val="000000"/>
          <w:sz w:val="22"/>
          <w:szCs w:val="22"/>
        </w:rPr>
        <w:t>, 1998 (</w:t>
      </w:r>
      <w:r w:rsidRPr="00E765B1">
        <w:rPr>
          <w:rFonts w:ascii="Arial" w:hAnsi="Arial" w:cs="Arial"/>
          <w:color w:val="000000"/>
          <w:sz w:val="22"/>
          <w:szCs w:val="22"/>
        </w:rPr>
        <w:t xml:space="preserve">Act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r w:rsidRPr="00E765B1">
        <w:rPr>
          <w:rFonts w:ascii="Arial" w:hAnsi="Arial" w:cs="Arial"/>
          <w:color w:val="000000"/>
          <w:sz w:val="22"/>
          <w:szCs w:val="22"/>
        </w:rPr>
        <w:t>46 of 1998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07D39" w:rsidRDefault="00007D39" w:rsidP="00007D39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311806" w:rsidRDefault="00007D39" w:rsidP="00311806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311806">
        <w:rPr>
          <w:rFonts w:ascii="Arial" w:hAnsi="Arial" w:cs="Arial"/>
          <w:color w:val="000000"/>
          <w:sz w:val="22"/>
          <w:szCs w:val="22"/>
        </w:rPr>
        <w:t xml:space="preserve">(a) </w:t>
      </w:r>
      <w:r w:rsidRPr="00311806">
        <w:rPr>
          <w:rFonts w:ascii="Arial" w:hAnsi="Arial" w:cs="Arial"/>
          <w:color w:val="000000"/>
          <w:sz w:val="22"/>
          <w:szCs w:val="22"/>
        </w:rPr>
        <w:tab/>
      </w:r>
      <w:r w:rsidR="00311806">
        <w:rPr>
          <w:rFonts w:ascii="Arial" w:hAnsi="Arial" w:cs="Arial"/>
          <w:color w:val="000000"/>
          <w:sz w:val="22"/>
          <w:szCs w:val="22"/>
        </w:rPr>
        <w:t>Minister of Transport through the Entity issued a Letter “</w:t>
      </w:r>
      <w:r w:rsidR="00311806" w:rsidRPr="00985D1D">
        <w:rPr>
          <w:rFonts w:ascii="Arial" w:hAnsi="Arial" w:cs="Arial"/>
          <w:color w:val="000000"/>
          <w:sz w:val="22"/>
          <w:szCs w:val="22"/>
        </w:rPr>
        <w:t>LINKING OF SAPS OFFICERS TO ISSUING AUTHORITIES</w:t>
      </w:r>
      <w:r w:rsidR="00311806">
        <w:rPr>
          <w:rFonts w:ascii="Arial" w:hAnsi="Arial" w:cs="Arial"/>
          <w:color w:val="000000"/>
          <w:sz w:val="22"/>
          <w:szCs w:val="22"/>
        </w:rPr>
        <w:t>” dated 14 January 2021. The substance of the correspondence clarified the linking of the SAPS to the local traffic authorities.</w:t>
      </w:r>
    </w:p>
    <w:p w:rsidR="00311806" w:rsidRDefault="00311806" w:rsidP="00311806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07D39" w:rsidRDefault="00007D39" w:rsidP="00311806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311806">
        <w:rPr>
          <w:rFonts w:ascii="Arial" w:hAnsi="Arial" w:cs="Arial"/>
          <w:color w:val="000000"/>
          <w:sz w:val="22"/>
          <w:szCs w:val="22"/>
        </w:rPr>
        <w:t>The Minister of Transport issued a circular on “</w:t>
      </w:r>
      <w:r w:rsidR="00311806" w:rsidRPr="00311806">
        <w:rPr>
          <w:rFonts w:ascii="Arial" w:hAnsi="Arial" w:cs="Arial"/>
          <w:color w:val="000000"/>
          <w:sz w:val="22"/>
          <w:szCs w:val="22"/>
        </w:rPr>
        <w:t xml:space="preserve">AARTO </w:t>
      </w:r>
      <w:r w:rsidRPr="00311806">
        <w:rPr>
          <w:rFonts w:ascii="Arial" w:hAnsi="Arial" w:cs="Arial"/>
          <w:color w:val="000000"/>
          <w:sz w:val="22"/>
          <w:szCs w:val="22"/>
        </w:rPr>
        <w:t xml:space="preserve">ROLL-OUT FROM 01 JULY </w:t>
      </w:r>
      <w:r w:rsidR="00311806">
        <w:rPr>
          <w:rFonts w:ascii="Arial" w:hAnsi="Arial" w:cs="Arial"/>
          <w:color w:val="000000"/>
          <w:sz w:val="22"/>
          <w:szCs w:val="22"/>
        </w:rPr>
        <w:t xml:space="preserve">2021” as pronounced. The aforesaid circular is </w:t>
      </w:r>
      <w:r w:rsidRPr="00311806">
        <w:rPr>
          <w:rFonts w:ascii="Arial" w:hAnsi="Arial" w:cs="Arial"/>
          <w:color w:val="000000"/>
          <w:sz w:val="22"/>
          <w:szCs w:val="22"/>
        </w:rPr>
        <w:t xml:space="preserve">dated 9 July 2021.  </w:t>
      </w:r>
      <w:r w:rsidR="00311806">
        <w:rPr>
          <w:rFonts w:ascii="Arial" w:hAnsi="Arial" w:cs="Arial"/>
          <w:color w:val="000000"/>
          <w:sz w:val="22"/>
          <w:szCs w:val="22"/>
        </w:rPr>
        <w:t>Was forwarded to all provinces</w:t>
      </w:r>
      <w:r w:rsidRPr="00311806">
        <w:rPr>
          <w:rFonts w:ascii="Arial" w:hAnsi="Arial" w:cs="Arial"/>
          <w:color w:val="000000"/>
          <w:sz w:val="22"/>
          <w:szCs w:val="22"/>
        </w:rPr>
        <w:t>.</w:t>
      </w:r>
    </w:p>
    <w:p w:rsidR="00AC2917" w:rsidRDefault="00AC2917" w:rsidP="00311806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024E20" w:rsidRDefault="00AC2917" w:rsidP="00311806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Minister further through the Entity facilitated virtual meetings with the all provinces regarding the AARTO Rollout. The engagements further presented the</w:t>
      </w:r>
      <w:r w:rsidR="00024E20">
        <w:rPr>
          <w:rFonts w:ascii="Arial" w:hAnsi="Arial" w:cs="Arial"/>
          <w:color w:val="000000"/>
          <w:sz w:val="22"/>
          <w:szCs w:val="22"/>
        </w:rPr>
        <w:t xml:space="preserve"> following:</w:t>
      </w:r>
    </w:p>
    <w:p w:rsidR="00024E20" w:rsidRDefault="00024E20" w:rsidP="00311806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AC2917" w:rsidRDefault="00AC2917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24E20">
        <w:rPr>
          <w:rFonts w:ascii="Arial" w:hAnsi="Arial" w:cs="Arial"/>
          <w:color w:val="000000"/>
          <w:sz w:val="22"/>
          <w:szCs w:val="22"/>
        </w:rPr>
        <w:t>AARTO Master</w:t>
      </w:r>
      <w:r w:rsidR="00024E20">
        <w:rPr>
          <w:rFonts w:ascii="Arial" w:hAnsi="Arial" w:cs="Arial"/>
          <w:color w:val="000000"/>
          <w:sz w:val="22"/>
          <w:szCs w:val="22"/>
        </w:rPr>
        <w:t xml:space="preserve"> Implementation Plan;</w:t>
      </w:r>
    </w:p>
    <w:p w:rsidR="00024E20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AARTO Readiness assessments;</w:t>
      </w:r>
    </w:p>
    <w:p w:rsidR="00024E20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System Deployments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Connectivity;</w:t>
      </w:r>
    </w:p>
    <w:p w:rsidR="00024E20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AARTO Training for Law Enforcement &amp; Back-Office Staff;</w:t>
      </w:r>
    </w:p>
    <w:p w:rsidR="00024E20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AARTO Service outlets to be deployed per province;</w:t>
      </w:r>
    </w:p>
    <w:p w:rsidR="00256064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Signing of MoU’s between stakeholders to give effect to the rollout;</w:t>
      </w:r>
    </w:p>
    <w:p w:rsidR="00024E20" w:rsidRDefault="00256064" w:rsidP="00256064">
      <w:pPr>
        <w:pStyle w:val="ListParagraph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(SAPO &amp; GPW issues)</w:t>
      </w:r>
    </w:p>
    <w:p w:rsidR="00024E20" w:rsidRDefault="00024E20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AARTO Education and Awareness Campaigns</w:t>
      </w:r>
      <w:r w:rsidR="00256064">
        <w:rPr>
          <w:rFonts w:ascii="Arial" w:hAnsi="Arial" w:cs="Arial"/>
          <w:color w:val="000000"/>
          <w:sz w:val="22"/>
          <w:szCs w:val="22"/>
        </w:rPr>
        <w:t>;</w:t>
      </w:r>
    </w:p>
    <w:p w:rsidR="00256064" w:rsidRDefault="00256064" w:rsidP="00024E2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Monitoring &amp; Evaluation of the AARTO Implementation.</w:t>
      </w:r>
    </w:p>
    <w:p w:rsidR="00024E20" w:rsidRDefault="00024E20" w:rsidP="00864BB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virtual consultation dates with provinces were as followed:</w:t>
      </w:r>
    </w:p>
    <w:p w:rsidR="00AC5889" w:rsidRDefault="00AC5889" w:rsidP="00864B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5889" w:rsidRPr="00CA5C11" w:rsidRDefault="00AC5889" w:rsidP="00AC588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Schedule of AARTO Meetings with </w:t>
      </w:r>
      <w:proofErr w:type="spellStart"/>
      <w:r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>HoDs</w:t>
      </w:r>
      <w:proofErr w:type="spellEnd"/>
      <w:r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in Provinces</w:t>
      </w:r>
    </w:p>
    <w:p w:rsidR="00AC5889" w:rsidRPr="00AC5889" w:rsidRDefault="00AC5889" w:rsidP="00AC588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57"/>
        <w:gridCol w:w="2228"/>
      </w:tblGrid>
      <w:tr w:rsidR="00AC5889" w:rsidRPr="00AC5889" w:rsidTr="00AC5889">
        <w:tc>
          <w:tcPr>
            <w:tcW w:w="2357" w:type="dxa"/>
            <w:shd w:val="clear" w:color="auto" w:fill="5B9BD5" w:themeFill="accent1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Province</w:t>
            </w:r>
          </w:p>
        </w:tc>
        <w:tc>
          <w:tcPr>
            <w:tcW w:w="2228" w:type="dxa"/>
            <w:shd w:val="clear" w:color="auto" w:fill="5B9BD5" w:themeFill="accent1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 xml:space="preserve">Meeting Date 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09 March 2021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16 March 2021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16 March 2021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17 March 2021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30 March 2021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lastRenderedPageBreak/>
              <w:t>KZN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19 April 2021</w:t>
            </w:r>
          </w:p>
        </w:tc>
      </w:tr>
      <w:tr w:rsidR="00AC5889" w:rsidRPr="00AC5889" w:rsidTr="00AC5889">
        <w:trPr>
          <w:trHeight w:val="275"/>
        </w:trPr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NC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AC5889">
              <w:rPr>
                <w:rFonts w:ascii="Arial" w:hAnsi="Arial" w:cs="Arial"/>
                <w:color w:val="000000"/>
              </w:rPr>
              <w:t>WC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confirmation of availability was received as requested</w:t>
            </w:r>
          </w:p>
        </w:tc>
      </w:tr>
      <w:tr w:rsidR="00AC5889" w:rsidRPr="00AC5889" w:rsidTr="00AC5889">
        <w:tc>
          <w:tcPr>
            <w:tcW w:w="2357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 w:rsidRPr="00AC5889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2228" w:type="dxa"/>
          </w:tcPr>
          <w:p w:rsidR="00AC5889" w:rsidRPr="00AC5889" w:rsidRDefault="00AC5889" w:rsidP="00AC588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Currently implementing AARTO</w:t>
            </w:r>
          </w:p>
        </w:tc>
      </w:tr>
    </w:tbl>
    <w:p w:rsidR="00AC5889" w:rsidRDefault="00AC5889" w:rsidP="00864B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5889" w:rsidRDefault="00AC5889" w:rsidP="00864B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7DEB" w:rsidRDefault="003C7DEB" w:rsidP="00864B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7DEB" w:rsidRDefault="003C7DEB" w:rsidP="00864BB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>August 2021 schedule</w:t>
      </w:r>
      <w:r w:rsidR="00AC5889"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F477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of meetings held </w:t>
      </w:r>
      <w:r w:rsidR="00AC5889" w:rsidRPr="00AC5889">
        <w:rPr>
          <w:rFonts w:ascii="Arial" w:hAnsi="Arial" w:cs="Arial"/>
          <w:b/>
          <w:color w:val="000000"/>
          <w:sz w:val="22"/>
          <w:szCs w:val="22"/>
          <w:u w:val="single"/>
        </w:rPr>
        <w:t>with Provincial Management</w:t>
      </w:r>
    </w:p>
    <w:p w:rsidR="00CA5C11" w:rsidRPr="00CA5C11" w:rsidRDefault="00CA5C11" w:rsidP="00864BB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/>
      </w:tblPr>
      <w:tblGrid>
        <w:gridCol w:w="3110"/>
        <w:gridCol w:w="3110"/>
      </w:tblGrid>
      <w:tr w:rsidR="003C7DEB" w:rsidRPr="003C7DEB" w:rsidTr="003C7DEB">
        <w:tc>
          <w:tcPr>
            <w:tcW w:w="3110" w:type="dxa"/>
            <w:shd w:val="clear" w:color="auto" w:fill="5B9BD5" w:themeFill="accent1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Province </w:t>
            </w:r>
          </w:p>
        </w:tc>
        <w:tc>
          <w:tcPr>
            <w:tcW w:w="3110" w:type="dxa"/>
            <w:shd w:val="clear" w:color="auto" w:fill="5B9BD5" w:themeFill="accent1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Date 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MP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LP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WC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>EC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KZN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GP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NC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FS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7DEB" w:rsidRPr="003C7DEB" w:rsidTr="003C7DEB">
        <w:tc>
          <w:tcPr>
            <w:tcW w:w="3110" w:type="dxa"/>
          </w:tcPr>
          <w:p w:rsidR="003C7DEB" w:rsidRPr="003C7DEB" w:rsidRDefault="003C7DEB" w:rsidP="003C7DEB">
            <w:pPr>
              <w:jc w:val="both"/>
              <w:rPr>
                <w:rFonts w:ascii="Arial" w:hAnsi="Arial" w:cs="Arial"/>
                <w:color w:val="000000"/>
              </w:rPr>
            </w:pPr>
            <w:r w:rsidRPr="003C7DEB">
              <w:rPr>
                <w:rFonts w:ascii="Arial" w:hAnsi="Arial" w:cs="Arial"/>
                <w:color w:val="000000"/>
              </w:rPr>
              <w:t xml:space="preserve">NW </w:t>
            </w:r>
          </w:p>
        </w:tc>
        <w:tc>
          <w:tcPr>
            <w:tcW w:w="3110" w:type="dxa"/>
          </w:tcPr>
          <w:p w:rsidR="003C7DEB" w:rsidRPr="003C7DEB" w:rsidRDefault="00AC5889" w:rsidP="003C7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August </w:t>
            </w:r>
            <w:r w:rsidR="003C7DEB" w:rsidRPr="003C7DEB">
              <w:rPr>
                <w:rFonts w:ascii="Arial" w:hAnsi="Arial" w:cs="Arial"/>
                <w:color w:val="000000"/>
              </w:rPr>
              <w:t>2021</w:t>
            </w:r>
          </w:p>
        </w:tc>
      </w:tr>
    </w:tbl>
    <w:p w:rsidR="00AC5889" w:rsidRDefault="003C7DEB" w:rsidP="00CA5C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3C7DEB" w:rsidRDefault="00AC5889" w:rsidP="00AC588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77F2">
        <w:rPr>
          <w:rFonts w:ascii="Arial" w:hAnsi="Arial" w:cs="Arial"/>
          <w:b/>
          <w:color w:val="000000"/>
          <w:sz w:val="22"/>
          <w:szCs w:val="22"/>
          <w:u w:val="single"/>
        </w:rPr>
        <w:t>September</w:t>
      </w:r>
      <w:r w:rsidR="00F477F2" w:rsidRPr="00F477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2021 schedule of meetings held with Provincial Managemen</w:t>
      </w:r>
      <w:r w:rsidR="00F477F2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2917" w:rsidRDefault="00AC2917" w:rsidP="00AC2917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3"/>
        <w:gridCol w:w="3250"/>
      </w:tblGrid>
      <w:tr w:rsidR="003C7DEB" w:rsidRPr="00864BB1" w:rsidTr="00AC5889"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02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GP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08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MP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13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13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14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EC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14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KZN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14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16 September 2021</w:t>
            </w:r>
          </w:p>
        </w:tc>
      </w:tr>
      <w:tr w:rsidR="003C7DEB" w:rsidRPr="00864BB1" w:rsidTr="00256064"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864BB1" w:rsidRDefault="003C7DEB">
            <w:pPr>
              <w:rPr>
                <w:rFonts w:ascii="Arial" w:hAnsi="Arial" w:cs="Arial"/>
                <w:sz w:val="22"/>
                <w:szCs w:val="22"/>
              </w:rPr>
            </w:pPr>
            <w:r w:rsidRPr="00864BB1">
              <w:rPr>
                <w:rFonts w:ascii="Arial" w:hAnsi="Arial" w:cs="Arial"/>
                <w:sz w:val="22"/>
                <w:szCs w:val="22"/>
              </w:rPr>
              <w:t>NW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EB" w:rsidRPr="00F477F2" w:rsidRDefault="00F477F2">
            <w:pPr>
              <w:rPr>
                <w:rFonts w:ascii="Arial" w:hAnsi="Arial" w:cs="Arial"/>
                <w:sz w:val="22"/>
                <w:szCs w:val="22"/>
              </w:rPr>
            </w:pPr>
            <w:r w:rsidRPr="00F477F2">
              <w:rPr>
                <w:rFonts w:ascii="Arial" w:hAnsi="Arial" w:cs="Arial"/>
                <w:sz w:val="22"/>
                <w:szCs w:val="22"/>
              </w:rPr>
              <w:t>16 September 2021</w:t>
            </w:r>
          </w:p>
        </w:tc>
      </w:tr>
    </w:tbl>
    <w:p w:rsidR="00AC2917" w:rsidRPr="00311806" w:rsidRDefault="00AC2917" w:rsidP="00311806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CA5C11" w:rsidRDefault="00CA5C11" w:rsidP="00864BB1">
      <w:pPr>
        <w:jc w:val="both"/>
        <w:rPr>
          <w:rFonts w:ascii="Arial" w:hAnsi="Arial" w:cs="Arial"/>
          <w:color w:val="000000"/>
        </w:rPr>
      </w:pPr>
    </w:p>
    <w:p w:rsidR="00CA5C11" w:rsidRDefault="00CA5C11" w:rsidP="00864BB1">
      <w:pPr>
        <w:jc w:val="both"/>
        <w:rPr>
          <w:rFonts w:ascii="Arial" w:hAnsi="Arial" w:cs="Arial"/>
          <w:color w:val="000000"/>
        </w:rPr>
      </w:pPr>
    </w:p>
    <w:p w:rsidR="00256064" w:rsidRPr="00864BB1" w:rsidRDefault="00864BB1" w:rsidP="00864B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</w:t>
      </w:r>
      <w:r w:rsidR="00256064" w:rsidRPr="00864BB1">
        <w:rPr>
          <w:rFonts w:ascii="Arial" w:hAnsi="Arial" w:cs="Arial"/>
          <w:color w:val="000000"/>
          <w:sz w:val="22"/>
          <w:szCs w:val="22"/>
        </w:rPr>
        <w:t xml:space="preserve">The Minister &amp; the Department of Transport have established an AARTO National Steering Committee </w:t>
      </w:r>
      <w:r w:rsidR="0096193F" w:rsidRPr="00864BB1">
        <w:rPr>
          <w:rFonts w:ascii="Arial" w:hAnsi="Arial" w:cs="Arial"/>
          <w:color w:val="000000"/>
          <w:sz w:val="22"/>
          <w:szCs w:val="22"/>
        </w:rPr>
        <w:t xml:space="preserve">(ANSC) </w:t>
      </w:r>
      <w:r w:rsidR="00256064" w:rsidRPr="00864BB1">
        <w:rPr>
          <w:rFonts w:ascii="Arial" w:hAnsi="Arial" w:cs="Arial"/>
          <w:color w:val="000000"/>
          <w:sz w:val="22"/>
          <w:szCs w:val="22"/>
        </w:rPr>
        <w:t>that convenes quarterly for AARTO Stakeholders to engage on</w:t>
      </w:r>
      <w:r w:rsidR="0096193F" w:rsidRPr="00864BB1">
        <w:rPr>
          <w:rFonts w:ascii="Arial" w:hAnsi="Arial" w:cs="Arial"/>
          <w:color w:val="000000"/>
          <w:sz w:val="22"/>
          <w:szCs w:val="22"/>
        </w:rPr>
        <w:t xml:space="preserve"> matters of mutual interest in the implementation of AARTO. The ANSC is preceded by technical support committees before the main committee could convene. The following are </w:t>
      </w:r>
      <w:r w:rsidR="00146887" w:rsidRPr="00864BB1">
        <w:rPr>
          <w:rFonts w:ascii="Arial" w:hAnsi="Arial" w:cs="Arial"/>
          <w:color w:val="000000"/>
          <w:sz w:val="22"/>
          <w:szCs w:val="22"/>
        </w:rPr>
        <w:t xml:space="preserve">dates and </w:t>
      </w:r>
      <w:r w:rsidR="0096193F" w:rsidRPr="00864BB1">
        <w:rPr>
          <w:rFonts w:ascii="Arial" w:hAnsi="Arial" w:cs="Arial"/>
          <w:color w:val="000000"/>
          <w:sz w:val="22"/>
          <w:szCs w:val="22"/>
        </w:rPr>
        <w:t>issues deliberated upon in the ANSC:</w:t>
      </w:r>
    </w:p>
    <w:p w:rsidR="00146887" w:rsidRPr="00146887" w:rsidRDefault="00146887" w:rsidP="0014688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Style w:val="TableGrid"/>
        <w:tblW w:w="6374" w:type="dxa"/>
        <w:tblLook w:val="04A0"/>
      </w:tblPr>
      <w:tblGrid>
        <w:gridCol w:w="3317"/>
        <w:gridCol w:w="3057"/>
      </w:tblGrid>
      <w:tr w:rsidR="00146887" w:rsidRPr="00864BB1" w:rsidTr="00AC5889">
        <w:trPr>
          <w:trHeight w:val="197"/>
        </w:trPr>
        <w:tc>
          <w:tcPr>
            <w:tcW w:w="3317" w:type="dxa"/>
            <w:shd w:val="clear" w:color="auto" w:fill="5B9BD5" w:themeFill="accent1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ITEM</w:t>
            </w:r>
          </w:p>
        </w:tc>
        <w:tc>
          <w:tcPr>
            <w:tcW w:w="3057" w:type="dxa"/>
            <w:shd w:val="clear" w:color="auto" w:fill="5B9BD5" w:themeFill="accent1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DATE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 xml:space="preserve">ANSC 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28 January 2021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 xml:space="preserve">ANSC 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29 March 2021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ANSC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11 June 2021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 xml:space="preserve">Special ANSC 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 xml:space="preserve">14 July 2021 </w:t>
            </w:r>
          </w:p>
        </w:tc>
      </w:tr>
      <w:tr w:rsidR="00146887" w:rsidRPr="00864BB1" w:rsidTr="00AC5889">
        <w:trPr>
          <w:trHeight w:val="399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ANSC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24 August 2021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ANSC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28 September 2021</w:t>
            </w:r>
          </w:p>
        </w:tc>
      </w:tr>
      <w:tr w:rsidR="00146887" w:rsidRPr="00864BB1" w:rsidTr="00AC5889">
        <w:trPr>
          <w:trHeight w:val="383"/>
        </w:trPr>
        <w:tc>
          <w:tcPr>
            <w:tcW w:w="331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ANSC</w:t>
            </w:r>
          </w:p>
        </w:tc>
        <w:tc>
          <w:tcPr>
            <w:tcW w:w="3057" w:type="dxa"/>
          </w:tcPr>
          <w:p w:rsidR="00146887" w:rsidRPr="00864BB1" w:rsidRDefault="00146887" w:rsidP="00AC5889">
            <w:pPr>
              <w:rPr>
                <w:rFonts w:ascii="Arial" w:hAnsi="Arial" w:cs="Arial"/>
              </w:rPr>
            </w:pPr>
            <w:r w:rsidRPr="00864BB1">
              <w:rPr>
                <w:rFonts w:ascii="Arial" w:hAnsi="Arial" w:cs="Arial"/>
              </w:rPr>
              <w:t>17 February 2022</w:t>
            </w:r>
          </w:p>
        </w:tc>
      </w:tr>
    </w:tbl>
    <w:p w:rsidR="00146887" w:rsidRDefault="00146887" w:rsidP="00146887">
      <w:pPr>
        <w:rPr>
          <w:rFonts w:cs="Arial"/>
          <w:b/>
          <w:sz w:val="22"/>
          <w:szCs w:val="22"/>
        </w:rPr>
      </w:pPr>
    </w:p>
    <w:p w:rsidR="0096193F" w:rsidRPr="00864BB1" w:rsidRDefault="00146887" w:rsidP="00146887">
      <w:pPr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ANSC Issues:</w:t>
      </w:r>
    </w:p>
    <w:p w:rsidR="00146887" w:rsidRPr="00864BB1" w:rsidRDefault="00146887" w:rsidP="00146887">
      <w:pPr>
        <w:jc w:val="both"/>
        <w:rPr>
          <w:rFonts w:ascii="Arial" w:hAnsi="Arial" w:cs="Arial"/>
          <w:sz w:val="22"/>
          <w:szCs w:val="22"/>
        </w:rPr>
      </w:pPr>
    </w:p>
    <w:p w:rsidR="00146887" w:rsidRPr="00864BB1" w:rsidRDefault="00146887" w:rsidP="00146887">
      <w:pPr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The following are standard agenda items discussed at the ANSC:</w:t>
      </w:r>
    </w:p>
    <w:p w:rsidR="00146887" w:rsidRPr="00864BB1" w:rsidRDefault="00146887" w:rsidP="00146887">
      <w:pPr>
        <w:jc w:val="both"/>
        <w:rPr>
          <w:rFonts w:ascii="Arial" w:hAnsi="Arial" w:cs="Arial"/>
          <w:sz w:val="22"/>
          <w:szCs w:val="22"/>
        </w:rPr>
      </w:pP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Feedback on Executive Directives &amp; Shareholder Engagements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AMIP/ Draft AARTO roll out plan and related updates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AARTO IT equipment deployment report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>System enhancement update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Technical support committee reports 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Municipal Monitoring and Oversight Sub-Committee/ SALGA Engagements </w:t>
      </w:r>
    </w:p>
    <w:p w:rsidR="00146887" w:rsidRPr="00864BB1" w:rsidRDefault="00146887" w:rsidP="008E5540">
      <w:pPr>
        <w:pStyle w:val="ListParagraph"/>
        <w:numPr>
          <w:ilvl w:val="0"/>
          <w:numId w:val="32"/>
        </w:numPr>
        <w:suppressAutoHyphens w:val="0"/>
        <w:spacing w:after="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BB1">
        <w:rPr>
          <w:rFonts w:ascii="Arial" w:hAnsi="Arial" w:cs="Arial"/>
          <w:sz w:val="22"/>
          <w:szCs w:val="22"/>
        </w:rPr>
        <w:t xml:space="preserve">Provincial AARTO Coordinating Committee meeting feedbacks   </w:t>
      </w:r>
    </w:p>
    <w:p w:rsidR="00146887" w:rsidRDefault="00146887" w:rsidP="001468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65B1" w:rsidRPr="00146887" w:rsidRDefault="00E765B1" w:rsidP="001468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65B1" w:rsidRPr="00E262DD" w:rsidRDefault="00E262DD" w:rsidP="00B4192A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B480F" w:rsidRPr="00E262D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>Minister &amp; the Department through its Entity</w:t>
      </w:r>
      <w:r w:rsidR="00CB480F" w:rsidRPr="00E262DD">
        <w:rPr>
          <w:rFonts w:ascii="Arial" w:hAnsi="Arial" w:cs="Arial"/>
          <w:color w:val="000000"/>
          <w:sz w:val="22"/>
          <w:szCs w:val="22"/>
        </w:rPr>
        <w:t xml:space="preserve"> received the following substantive responses 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>from</w:t>
      </w:r>
      <w:r w:rsidR="00CB480F" w:rsidRPr="00E262DD">
        <w:rPr>
          <w:rFonts w:ascii="Arial" w:hAnsi="Arial" w:cs="Arial"/>
          <w:color w:val="000000"/>
          <w:sz w:val="22"/>
          <w:szCs w:val="22"/>
        </w:rPr>
        <w:t xml:space="preserve"> the Western Cape 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>in response to</w:t>
      </w:r>
      <w:r w:rsidR="00CB480F" w:rsidRPr="00E262DD">
        <w:rPr>
          <w:rFonts w:ascii="Arial" w:hAnsi="Arial" w:cs="Arial"/>
          <w:color w:val="000000"/>
          <w:sz w:val="22"/>
          <w:szCs w:val="22"/>
        </w:rPr>
        <w:t xml:space="preserve"> information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 xml:space="preserve"> shared, all stating that the province will not</w:t>
      </w:r>
      <w:r w:rsidR="00CB480F" w:rsidRPr="00E262DD">
        <w:rPr>
          <w:rFonts w:ascii="Arial" w:hAnsi="Arial" w:cs="Arial"/>
          <w:color w:val="000000"/>
          <w:sz w:val="22"/>
          <w:szCs w:val="22"/>
        </w:rPr>
        <w:t xml:space="preserve"> be ready </w:t>
      </w:r>
      <w:r w:rsidR="009B2C30" w:rsidRPr="00E262DD">
        <w:rPr>
          <w:rFonts w:ascii="Arial" w:hAnsi="Arial" w:cs="Arial"/>
          <w:color w:val="000000"/>
          <w:sz w:val="22"/>
          <w:szCs w:val="22"/>
        </w:rPr>
        <w:t xml:space="preserve">to implement 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 xml:space="preserve">of </w:t>
      </w:r>
      <w:r w:rsidR="009B2C30" w:rsidRPr="00E262DD">
        <w:rPr>
          <w:rFonts w:ascii="Arial" w:hAnsi="Arial" w:cs="Arial"/>
          <w:color w:val="000000"/>
          <w:sz w:val="22"/>
          <w:szCs w:val="22"/>
        </w:rPr>
        <w:t>AARTO</w:t>
      </w:r>
      <w:r w:rsidR="0096193F" w:rsidRPr="00E262DD">
        <w:rPr>
          <w:rFonts w:ascii="Arial" w:hAnsi="Arial" w:cs="Arial"/>
          <w:color w:val="000000"/>
          <w:sz w:val="22"/>
          <w:szCs w:val="22"/>
        </w:rPr>
        <w:t xml:space="preserve"> by</w:t>
      </w:r>
      <w:r w:rsidR="002C0542" w:rsidRPr="00E262DD">
        <w:rPr>
          <w:rFonts w:ascii="Arial" w:hAnsi="Arial" w:cs="Arial"/>
          <w:color w:val="000000"/>
          <w:sz w:val="22"/>
          <w:szCs w:val="22"/>
        </w:rPr>
        <w:t xml:space="preserve"> 01 October 2021</w:t>
      </w:r>
      <w:r w:rsidR="00287713">
        <w:rPr>
          <w:rFonts w:ascii="Arial" w:hAnsi="Arial" w:cs="Arial"/>
          <w:color w:val="000000"/>
          <w:sz w:val="22"/>
          <w:szCs w:val="22"/>
        </w:rPr>
        <w:t>and further raised the following concerns</w:t>
      </w:r>
      <w:r w:rsidR="00CB480F" w:rsidRPr="00E262DD">
        <w:rPr>
          <w:rFonts w:ascii="Arial" w:hAnsi="Arial" w:cs="Arial"/>
          <w:color w:val="000000"/>
          <w:sz w:val="22"/>
          <w:szCs w:val="22"/>
        </w:rPr>
        <w:t>:</w:t>
      </w:r>
    </w:p>
    <w:p w:rsidR="00E262DD" w:rsidRDefault="00E262DD" w:rsidP="00E262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7713" w:rsidRDefault="00E262DD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87713">
        <w:rPr>
          <w:rFonts w:ascii="Arial" w:hAnsi="Arial" w:cs="Arial"/>
          <w:color w:val="000000"/>
          <w:sz w:val="22"/>
          <w:szCs w:val="22"/>
        </w:rPr>
        <w:t>The RTIA Capacity to implement AARTO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2.2.</w:t>
      </w:r>
      <w:r>
        <w:rPr>
          <w:rFonts w:ascii="Arial" w:hAnsi="Arial" w:cs="Arial"/>
          <w:color w:val="000000"/>
          <w:sz w:val="22"/>
          <w:szCs w:val="22"/>
        </w:rPr>
        <w:tab/>
        <w:t>Lack of meaningful consultation;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2.3</w:t>
      </w:r>
      <w:r>
        <w:rPr>
          <w:rFonts w:ascii="Arial" w:hAnsi="Arial" w:cs="Arial"/>
          <w:color w:val="000000"/>
          <w:sz w:val="22"/>
          <w:szCs w:val="22"/>
        </w:rPr>
        <w:tab/>
        <w:t>The issues around the AARTO Regulations and the need to review AARTO legislation;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2.4.</w:t>
      </w:r>
      <w:r>
        <w:rPr>
          <w:rFonts w:ascii="Arial" w:hAnsi="Arial" w:cs="Arial"/>
          <w:color w:val="000000"/>
          <w:sz w:val="22"/>
          <w:szCs w:val="22"/>
        </w:rPr>
        <w:tab/>
        <w:t>Delays in Training;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2.5.</w:t>
      </w:r>
      <w:r>
        <w:rPr>
          <w:rFonts w:ascii="Arial" w:hAnsi="Arial" w:cs="Arial"/>
          <w:color w:val="000000"/>
          <w:sz w:val="22"/>
          <w:szCs w:val="22"/>
        </w:rPr>
        <w:tab/>
        <w:t>The challenges around the successful rates of representations;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2.6.</w:t>
      </w:r>
      <w:r>
        <w:rPr>
          <w:rFonts w:ascii="Arial" w:hAnsi="Arial" w:cs="Arial"/>
          <w:color w:val="000000"/>
          <w:sz w:val="22"/>
          <w:szCs w:val="22"/>
        </w:rPr>
        <w:tab/>
        <w:t>Transparency in reporting; and</w:t>
      </w:r>
    </w:p>
    <w:p w:rsidR="00287713" w:rsidRDefault="00287713" w:rsidP="00287713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2.7.</w:t>
      </w:r>
      <w:r>
        <w:rPr>
          <w:rFonts w:ascii="Arial" w:hAnsi="Arial" w:cs="Arial"/>
          <w:color w:val="000000"/>
          <w:sz w:val="22"/>
          <w:szCs w:val="22"/>
        </w:rPr>
        <w:tab/>
        <w:t>Absence of an implementation report in the two jurisdictions where AARTO was piloted.</w:t>
      </w:r>
    </w:p>
    <w:p w:rsidR="00E765B1" w:rsidRPr="00CA5C11" w:rsidRDefault="00287713" w:rsidP="00CA5C11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2.8</w:t>
      </w:r>
      <w:r>
        <w:rPr>
          <w:rFonts w:ascii="Arial" w:hAnsi="Arial" w:cs="Arial"/>
          <w:color w:val="000000"/>
          <w:sz w:val="22"/>
          <w:szCs w:val="22"/>
        </w:rPr>
        <w:tab/>
        <w:t>The province further</w:t>
      </w:r>
      <w:r w:rsidR="00E262DD">
        <w:rPr>
          <w:rFonts w:ascii="Arial" w:hAnsi="Arial" w:cs="Arial"/>
          <w:color w:val="000000"/>
          <w:sz w:val="22"/>
          <w:szCs w:val="22"/>
        </w:rPr>
        <w:t xml:space="preserve"> requested the Entity, the RTMC and the Department to accommodate the e-force interface for the province since the province was already using smart law enforcement, which request is still under discussions;</w:t>
      </w:r>
    </w:p>
    <w:p w:rsidR="001D7FF3" w:rsidRPr="00082ADE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</w:p>
    <w:p w:rsidR="008D0DEB" w:rsidRPr="0038097C" w:rsidRDefault="008D0DEB" w:rsidP="00673B9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bookmarkStart w:id="1" w:name="_GoBack"/>
      <w:bookmarkEnd w:id="0"/>
      <w:bookmarkEnd w:id="1"/>
    </w:p>
    <w:sectPr w:rsidR="008D0DEB" w:rsidRPr="0038097C" w:rsidSect="00CA5C11"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ED" w:rsidRDefault="00677CED">
      <w:r>
        <w:separator/>
      </w:r>
    </w:p>
  </w:endnote>
  <w:endnote w:type="continuationSeparator" w:id="0">
    <w:p w:rsidR="00677CED" w:rsidRDefault="0067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ED" w:rsidRDefault="00677CED">
      <w:r>
        <w:separator/>
      </w:r>
    </w:p>
  </w:footnote>
  <w:footnote w:type="continuationSeparator" w:id="0">
    <w:p w:rsidR="00677CED" w:rsidRDefault="0067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6E2BC1"/>
    <w:multiLevelType w:val="hybridMultilevel"/>
    <w:tmpl w:val="954030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575B0B"/>
    <w:multiLevelType w:val="hybridMultilevel"/>
    <w:tmpl w:val="CA8CFEB4"/>
    <w:lvl w:ilvl="0" w:tplc="85B84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53163"/>
    <w:multiLevelType w:val="hybridMultilevel"/>
    <w:tmpl w:val="D1A64F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36FE8"/>
    <w:multiLevelType w:val="hybridMultilevel"/>
    <w:tmpl w:val="AC1C24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CA95BAA"/>
    <w:multiLevelType w:val="hybridMultilevel"/>
    <w:tmpl w:val="B35C8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4">
    <w:nsid w:val="52530A6E"/>
    <w:multiLevelType w:val="hybridMultilevel"/>
    <w:tmpl w:val="BE488B5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30"/>
  </w:num>
  <w:num w:numId="5">
    <w:abstractNumId w:val="25"/>
  </w:num>
  <w:num w:numId="6">
    <w:abstractNumId w:val="21"/>
  </w:num>
  <w:num w:numId="7">
    <w:abstractNumId w:val="16"/>
  </w:num>
  <w:num w:numId="8">
    <w:abstractNumId w:val="6"/>
  </w:num>
  <w:num w:numId="9">
    <w:abstractNumId w:val="26"/>
  </w:num>
  <w:num w:numId="10">
    <w:abstractNumId w:val="12"/>
  </w:num>
  <w:num w:numId="11">
    <w:abstractNumId w:val="8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7"/>
  </w:num>
  <w:num w:numId="17">
    <w:abstractNumId w:val="0"/>
  </w:num>
  <w:num w:numId="18">
    <w:abstractNumId w:val="22"/>
  </w:num>
  <w:num w:numId="19">
    <w:abstractNumId w:val="20"/>
  </w:num>
  <w:num w:numId="20">
    <w:abstractNumId w:val="13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31"/>
  </w:num>
  <w:num w:numId="26">
    <w:abstractNumId w:val="5"/>
  </w:num>
  <w:num w:numId="27">
    <w:abstractNumId w:val="10"/>
  </w:num>
  <w:num w:numId="28">
    <w:abstractNumId w:val="9"/>
  </w:num>
  <w:num w:numId="29">
    <w:abstractNumId w:val="15"/>
  </w:num>
  <w:num w:numId="30">
    <w:abstractNumId w:val="24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0E2E"/>
    <w:rsid w:val="00001702"/>
    <w:rsid w:val="0000307F"/>
    <w:rsid w:val="00007D39"/>
    <w:rsid w:val="00014DCA"/>
    <w:rsid w:val="00016BA0"/>
    <w:rsid w:val="00020051"/>
    <w:rsid w:val="0002309F"/>
    <w:rsid w:val="00024C9D"/>
    <w:rsid w:val="00024E20"/>
    <w:rsid w:val="000337B8"/>
    <w:rsid w:val="00034087"/>
    <w:rsid w:val="0003638E"/>
    <w:rsid w:val="0004110B"/>
    <w:rsid w:val="00041CC1"/>
    <w:rsid w:val="000424EB"/>
    <w:rsid w:val="00043B34"/>
    <w:rsid w:val="00050CB9"/>
    <w:rsid w:val="00052E60"/>
    <w:rsid w:val="00064000"/>
    <w:rsid w:val="0006605E"/>
    <w:rsid w:val="00072159"/>
    <w:rsid w:val="00082ADE"/>
    <w:rsid w:val="00094742"/>
    <w:rsid w:val="000A6AB5"/>
    <w:rsid w:val="000D2654"/>
    <w:rsid w:val="000D2FCC"/>
    <w:rsid w:val="000E46E0"/>
    <w:rsid w:val="00107B84"/>
    <w:rsid w:val="00111ECC"/>
    <w:rsid w:val="00121EA3"/>
    <w:rsid w:val="00124B06"/>
    <w:rsid w:val="00127625"/>
    <w:rsid w:val="00130913"/>
    <w:rsid w:val="00136739"/>
    <w:rsid w:val="001465BA"/>
    <w:rsid w:val="00146887"/>
    <w:rsid w:val="00152742"/>
    <w:rsid w:val="0015309A"/>
    <w:rsid w:val="001915BF"/>
    <w:rsid w:val="001A6EB5"/>
    <w:rsid w:val="001B30FC"/>
    <w:rsid w:val="001B3A9C"/>
    <w:rsid w:val="001B5F04"/>
    <w:rsid w:val="001C0016"/>
    <w:rsid w:val="001D7FF3"/>
    <w:rsid w:val="001E56FC"/>
    <w:rsid w:val="001E5EFB"/>
    <w:rsid w:val="001F04AB"/>
    <w:rsid w:val="001F7BC1"/>
    <w:rsid w:val="002032D3"/>
    <w:rsid w:val="00224BA5"/>
    <w:rsid w:val="00225A2A"/>
    <w:rsid w:val="00226862"/>
    <w:rsid w:val="00232DDC"/>
    <w:rsid w:val="00235D7B"/>
    <w:rsid w:val="00237995"/>
    <w:rsid w:val="00237C59"/>
    <w:rsid w:val="00240BF3"/>
    <w:rsid w:val="002425A4"/>
    <w:rsid w:val="00242966"/>
    <w:rsid w:val="002456E4"/>
    <w:rsid w:val="00252FE4"/>
    <w:rsid w:val="00256064"/>
    <w:rsid w:val="0026496F"/>
    <w:rsid w:val="00267A55"/>
    <w:rsid w:val="002765E6"/>
    <w:rsid w:val="00287706"/>
    <w:rsid w:val="00287713"/>
    <w:rsid w:val="00295FF7"/>
    <w:rsid w:val="002A5A36"/>
    <w:rsid w:val="002A6B98"/>
    <w:rsid w:val="002B0B97"/>
    <w:rsid w:val="002B33E9"/>
    <w:rsid w:val="002B3521"/>
    <w:rsid w:val="002B4CC3"/>
    <w:rsid w:val="002C0542"/>
    <w:rsid w:val="002D4ABF"/>
    <w:rsid w:val="002F3330"/>
    <w:rsid w:val="00311806"/>
    <w:rsid w:val="003148C1"/>
    <w:rsid w:val="00326688"/>
    <w:rsid w:val="00337C35"/>
    <w:rsid w:val="00341768"/>
    <w:rsid w:val="00345018"/>
    <w:rsid w:val="0036514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C2BBA"/>
    <w:rsid w:val="003C7DEB"/>
    <w:rsid w:val="003D2356"/>
    <w:rsid w:val="003E6EEB"/>
    <w:rsid w:val="003E7A1C"/>
    <w:rsid w:val="0040324C"/>
    <w:rsid w:val="00411BD1"/>
    <w:rsid w:val="00411F12"/>
    <w:rsid w:val="00415E1B"/>
    <w:rsid w:val="00417D93"/>
    <w:rsid w:val="00431FFB"/>
    <w:rsid w:val="0043348C"/>
    <w:rsid w:val="00437E91"/>
    <w:rsid w:val="004413E4"/>
    <w:rsid w:val="00441BD7"/>
    <w:rsid w:val="004510FF"/>
    <w:rsid w:val="00457030"/>
    <w:rsid w:val="00471AD3"/>
    <w:rsid w:val="00480A14"/>
    <w:rsid w:val="00485272"/>
    <w:rsid w:val="00493A2F"/>
    <w:rsid w:val="004B04EA"/>
    <w:rsid w:val="004C1959"/>
    <w:rsid w:val="004C1EEB"/>
    <w:rsid w:val="004C6F58"/>
    <w:rsid w:val="004D4A9B"/>
    <w:rsid w:val="004E7C50"/>
    <w:rsid w:val="004F1197"/>
    <w:rsid w:val="00510ACC"/>
    <w:rsid w:val="00510B97"/>
    <w:rsid w:val="0051301F"/>
    <w:rsid w:val="00517714"/>
    <w:rsid w:val="00521396"/>
    <w:rsid w:val="0053543F"/>
    <w:rsid w:val="00555FE0"/>
    <w:rsid w:val="00581627"/>
    <w:rsid w:val="005A7D3A"/>
    <w:rsid w:val="005B41E4"/>
    <w:rsid w:val="005B5BA3"/>
    <w:rsid w:val="005C31F0"/>
    <w:rsid w:val="005C59C6"/>
    <w:rsid w:val="005D35B8"/>
    <w:rsid w:val="005D38A5"/>
    <w:rsid w:val="006053FE"/>
    <w:rsid w:val="00607381"/>
    <w:rsid w:val="00611598"/>
    <w:rsid w:val="00612A92"/>
    <w:rsid w:val="00620521"/>
    <w:rsid w:val="00632A5D"/>
    <w:rsid w:val="006348E3"/>
    <w:rsid w:val="00636266"/>
    <w:rsid w:val="00644375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77CED"/>
    <w:rsid w:val="00694EAC"/>
    <w:rsid w:val="006A7311"/>
    <w:rsid w:val="006B2B5E"/>
    <w:rsid w:val="006C0D88"/>
    <w:rsid w:val="006C5320"/>
    <w:rsid w:val="006D5CFF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8208D"/>
    <w:rsid w:val="00785051"/>
    <w:rsid w:val="007867BE"/>
    <w:rsid w:val="007934F5"/>
    <w:rsid w:val="00793DB2"/>
    <w:rsid w:val="007A1E4C"/>
    <w:rsid w:val="007B5587"/>
    <w:rsid w:val="007C3628"/>
    <w:rsid w:val="007C49D3"/>
    <w:rsid w:val="007D1DB5"/>
    <w:rsid w:val="007E5609"/>
    <w:rsid w:val="007F4FB6"/>
    <w:rsid w:val="00806B90"/>
    <w:rsid w:val="008073F1"/>
    <w:rsid w:val="0082465F"/>
    <w:rsid w:val="00840946"/>
    <w:rsid w:val="008415E3"/>
    <w:rsid w:val="00854EEA"/>
    <w:rsid w:val="00857E66"/>
    <w:rsid w:val="00864BB1"/>
    <w:rsid w:val="0088592E"/>
    <w:rsid w:val="00890C38"/>
    <w:rsid w:val="00891BA4"/>
    <w:rsid w:val="008C423C"/>
    <w:rsid w:val="008D0DEB"/>
    <w:rsid w:val="008D1184"/>
    <w:rsid w:val="008D2789"/>
    <w:rsid w:val="008D3169"/>
    <w:rsid w:val="008E5540"/>
    <w:rsid w:val="009007BA"/>
    <w:rsid w:val="00920373"/>
    <w:rsid w:val="00925679"/>
    <w:rsid w:val="00932BE1"/>
    <w:rsid w:val="0096193F"/>
    <w:rsid w:val="00970C1F"/>
    <w:rsid w:val="0097109E"/>
    <w:rsid w:val="00974C3B"/>
    <w:rsid w:val="00977C0A"/>
    <w:rsid w:val="00980549"/>
    <w:rsid w:val="009837A4"/>
    <w:rsid w:val="009843AF"/>
    <w:rsid w:val="00985D1D"/>
    <w:rsid w:val="009A00BC"/>
    <w:rsid w:val="009A75BD"/>
    <w:rsid w:val="009B23A9"/>
    <w:rsid w:val="009B2C30"/>
    <w:rsid w:val="009B47B9"/>
    <w:rsid w:val="009B59CD"/>
    <w:rsid w:val="009C2DDB"/>
    <w:rsid w:val="009F40C5"/>
    <w:rsid w:val="00A00800"/>
    <w:rsid w:val="00A0518F"/>
    <w:rsid w:val="00A054A7"/>
    <w:rsid w:val="00A0566C"/>
    <w:rsid w:val="00A14605"/>
    <w:rsid w:val="00A24093"/>
    <w:rsid w:val="00A52B6B"/>
    <w:rsid w:val="00A54A49"/>
    <w:rsid w:val="00A55D17"/>
    <w:rsid w:val="00A568DE"/>
    <w:rsid w:val="00A7149E"/>
    <w:rsid w:val="00A72D34"/>
    <w:rsid w:val="00A74B01"/>
    <w:rsid w:val="00A80870"/>
    <w:rsid w:val="00A9011E"/>
    <w:rsid w:val="00A92055"/>
    <w:rsid w:val="00AA619D"/>
    <w:rsid w:val="00AB0485"/>
    <w:rsid w:val="00AB6D56"/>
    <w:rsid w:val="00AC2917"/>
    <w:rsid w:val="00AC5889"/>
    <w:rsid w:val="00AD7A5B"/>
    <w:rsid w:val="00AF572C"/>
    <w:rsid w:val="00B06E1D"/>
    <w:rsid w:val="00B17801"/>
    <w:rsid w:val="00B4192A"/>
    <w:rsid w:val="00B70328"/>
    <w:rsid w:val="00B83217"/>
    <w:rsid w:val="00B860FF"/>
    <w:rsid w:val="00B8678D"/>
    <w:rsid w:val="00B95A2E"/>
    <w:rsid w:val="00BA0A9C"/>
    <w:rsid w:val="00BA1837"/>
    <w:rsid w:val="00BA1D2E"/>
    <w:rsid w:val="00BC1B10"/>
    <w:rsid w:val="00BC22EA"/>
    <w:rsid w:val="00BC3BED"/>
    <w:rsid w:val="00BC73D2"/>
    <w:rsid w:val="00BD2885"/>
    <w:rsid w:val="00C006D6"/>
    <w:rsid w:val="00C250FE"/>
    <w:rsid w:val="00C26DCC"/>
    <w:rsid w:val="00C466AE"/>
    <w:rsid w:val="00C55E3C"/>
    <w:rsid w:val="00C56433"/>
    <w:rsid w:val="00C63A38"/>
    <w:rsid w:val="00C66BD5"/>
    <w:rsid w:val="00C7054F"/>
    <w:rsid w:val="00C716FE"/>
    <w:rsid w:val="00C71CB0"/>
    <w:rsid w:val="00C73282"/>
    <w:rsid w:val="00C815E6"/>
    <w:rsid w:val="00C85650"/>
    <w:rsid w:val="00C9190C"/>
    <w:rsid w:val="00C9435C"/>
    <w:rsid w:val="00CA30B4"/>
    <w:rsid w:val="00CA5C11"/>
    <w:rsid w:val="00CB0BF4"/>
    <w:rsid w:val="00CB2AB7"/>
    <w:rsid w:val="00CB2B14"/>
    <w:rsid w:val="00CB2DF3"/>
    <w:rsid w:val="00CB480F"/>
    <w:rsid w:val="00CB6795"/>
    <w:rsid w:val="00CC12C9"/>
    <w:rsid w:val="00CD211B"/>
    <w:rsid w:val="00CD56BE"/>
    <w:rsid w:val="00CE11EF"/>
    <w:rsid w:val="00CE4231"/>
    <w:rsid w:val="00CF46F2"/>
    <w:rsid w:val="00CF5370"/>
    <w:rsid w:val="00D01FF8"/>
    <w:rsid w:val="00D11D88"/>
    <w:rsid w:val="00D15269"/>
    <w:rsid w:val="00D15831"/>
    <w:rsid w:val="00D253F8"/>
    <w:rsid w:val="00D34CBF"/>
    <w:rsid w:val="00D5334D"/>
    <w:rsid w:val="00D535DD"/>
    <w:rsid w:val="00D5678F"/>
    <w:rsid w:val="00D76D32"/>
    <w:rsid w:val="00D91DFB"/>
    <w:rsid w:val="00D956F8"/>
    <w:rsid w:val="00DA3181"/>
    <w:rsid w:val="00DA3F5F"/>
    <w:rsid w:val="00DB5ED9"/>
    <w:rsid w:val="00DB7340"/>
    <w:rsid w:val="00DD1C18"/>
    <w:rsid w:val="00DE22D8"/>
    <w:rsid w:val="00DF3929"/>
    <w:rsid w:val="00E22B78"/>
    <w:rsid w:val="00E262DD"/>
    <w:rsid w:val="00E30026"/>
    <w:rsid w:val="00E31A36"/>
    <w:rsid w:val="00E3479A"/>
    <w:rsid w:val="00E42C01"/>
    <w:rsid w:val="00E51CF2"/>
    <w:rsid w:val="00E5486F"/>
    <w:rsid w:val="00E70DB4"/>
    <w:rsid w:val="00E765B1"/>
    <w:rsid w:val="00E821C7"/>
    <w:rsid w:val="00E9309F"/>
    <w:rsid w:val="00E977F7"/>
    <w:rsid w:val="00EA469D"/>
    <w:rsid w:val="00EB4F6D"/>
    <w:rsid w:val="00EC3A80"/>
    <w:rsid w:val="00EE2B5D"/>
    <w:rsid w:val="00EE651B"/>
    <w:rsid w:val="00EF12B5"/>
    <w:rsid w:val="00EF1631"/>
    <w:rsid w:val="00EF4F84"/>
    <w:rsid w:val="00EF64CA"/>
    <w:rsid w:val="00EF7AD2"/>
    <w:rsid w:val="00F10440"/>
    <w:rsid w:val="00F11155"/>
    <w:rsid w:val="00F13895"/>
    <w:rsid w:val="00F2002D"/>
    <w:rsid w:val="00F208C8"/>
    <w:rsid w:val="00F274D2"/>
    <w:rsid w:val="00F3022E"/>
    <w:rsid w:val="00F34081"/>
    <w:rsid w:val="00F477F2"/>
    <w:rsid w:val="00F47916"/>
    <w:rsid w:val="00F673E4"/>
    <w:rsid w:val="00F71816"/>
    <w:rsid w:val="00F72FDD"/>
    <w:rsid w:val="00F76E39"/>
    <w:rsid w:val="00F81A73"/>
    <w:rsid w:val="00F924CF"/>
    <w:rsid w:val="00F95566"/>
    <w:rsid w:val="00FA54F7"/>
    <w:rsid w:val="00FA58AE"/>
    <w:rsid w:val="00FB28FC"/>
    <w:rsid w:val="00FC49AD"/>
    <w:rsid w:val="00FC63AA"/>
    <w:rsid w:val="00FD4470"/>
    <w:rsid w:val="00FD7763"/>
    <w:rsid w:val="00FD7DC2"/>
    <w:rsid w:val="00FD7E25"/>
    <w:rsid w:val="00FE1191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Header">
    <w:name w:val="header"/>
    <w:basedOn w:val="Normal"/>
    <w:link w:val="HeaderChar"/>
    <w:rsid w:val="00E82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1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2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C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Header">
    <w:name w:val="header"/>
    <w:basedOn w:val="Normal"/>
    <w:link w:val="HeaderChar"/>
    <w:rsid w:val="00E82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1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2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C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A6EE8-6E1D-4441-994C-A50D2BE7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BCCBB-6D90-44C6-AE66-B6050145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2022-02-17T08:58:00Z</cp:lastPrinted>
  <dcterms:created xsi:type="dcterms:W3CDTF">2022-03-16T07:31:00Z</dcterms:created>
  <dcterms:modified xsi:type="dcterms:W3CDTF">2022-03-16T07:31:00Z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