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FC2BE3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NUMBER</w:t>
      </w:r>
      <w:r w:rsidR="001B0917" w:rsidRPr="001B0917">
        <w:rPr>
          <w:rFonts w:ascii="Arial" w:hAnsi="Arial" w:cs="Arial"/>
          <w:b/>
          <w:sz w:val="22"/>
          <w:szCs w:val="22"/>
        </w:rPr>
        <w:t>:</w:t>
      </w:r>
      <w:r w:rsidRPr="001B0917">
        <w:rPr>
          <w:rFonts w:ascii="Arial" w:hAnsi="Arial" w:cs="Arial"/>
          <w:b/>
          <w:sz w:val="22"/>
          <w:szCs w:val="22"/>
        </w:rPr>
        <w:t xml:space="preserve"> </w:t>
      </w:r>
      <w:r w:rsidR="00FC2BE3" w:rsidRPr="00FC2BE3">
        <w:rPr>
          <w:rFonts w:ascii="Arial" w:hAnsi="Arial" w:cs="Arial"/>
          <w:b/>
          <w:sz w:val="22"/>
          <w:szCs w:val="22"/>
        </w:rPr>
        <w:t>3347</w:t>
      </w:r>
      <w:r w:rsidR="00AD00CE" w:rsidRPr="00FC2BE3">
        <w:rPr>
          <w:rFonts w:ascii="Arial" w:hAnsi="Arial" w:cs="Arial"/>
          <w:b/>
          <w:sz w:val="22"/>
          <w:szCs w:val="22"/>
        </w:rPr>
        <w:t xml:space="preserve"> [NW</w:t>
      </w:r>
      <w:r w:rsidR="00FC2BE3" w:rsidRPr="00FC2BE3">
        <w:rPr>
          <w:rFonts w:ascii="Arial" w:hAnsi="Arial" w:cs="Arial"/>
          <w:b/>
          <w:sz w:val="22"/>
          <w:szCs w:val="22"/>
        </w:rPr>
        <w:t>4004</w:t>
      </w:r>
      <w:r w:rsidR="00AD00CE" w:rsidRPr="00FC2BE3">
        <w:rPr>
          <w:rFonts w:ascii="Arial" w:hAnsi="Arial" w:cs="Arial"/>
          <w:b/>
          <w:sz w:val="22"/>
          <w:szCs w:val="22"/>
        </w:rPr>
        <w:t>E]</w:t>
      </w:r>
    </w:p>
    <w:p w:rsidR="00C312EA" w:rsidRPr="00FC2BE3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C2BE3">
        <w:rPr>
          <w:rFonts w:ascii="Arial" w:hAnsi="Arial" w:cs="Arial"/>
          <w:b/>
          <w:sz w:val="22"/>
          <w:szCs w:val="22"/>
        </w:rPr>
        <w:t xml:space="preserve">DATE OF PUBLICATION: </w:t>
      </w:r>
      <w:r w:rsidR="00FC2BE3" w:rsidRPr="00FC2BE3">
        <w:rPr>
          <w:rFonts w:ascii="Arial" w:hAnsi="Arial" w:cs="Arial"/>
          <w:b/>
          <w:sz w:val="22"/>
          <w:szCs w:val="22"/>
        </w:rPr>
        <w:t>4 SEPTEMBER 2015</w:t>
      </w:r>
    </w:p>
    <w:p w:rsidR="00FC2BE3" w:rsidRDefault="00FC2BE3" w:rsidP="00FC2BE3">
      <w:pPr>
        <w:ind w:left="709" w:hanging="709"/>
        <w:jc w:val="both"/>
        <w:rPr>
          <w:b/>
          <w:lang w:val="en-GB"/>
        </w:rPr>
      </w:pPr>
    </w:p>
    <w:p w:rsidR="00FC2BE3" w:rsidRPr="00FC2BE3" w:rsidRDefault="00FC2BE3" w:rsidP="00FC2BE3">
      <w:pPr>
        <w:spacing w:line="276" w:lineRule="auto"/>
        <w:ind w:left="709" w:hanging="709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FC2BE3">
        <w:rPr>
          <w:rFonts w:ascii="Arial" w:hAnsi="Arial" w:cs="Arial"/>
          <w:b/>
          <w:sz w:val="22"/>
          <w:szCs w:val="22"/>
          <w:lang w:val="en-GB"/>
        </w:rPr>
        <w:t>3347.</w:t>
      </w:r>
      <w:r w:rsidRPr="00FC2BE3">
        <w:rPr>
          <w:rFonts w:ascii="Arial" w:hAnsi="Arial" w:cs="Arial"/>
          <w:b/>
          <w:sz w:val="22"/>
          <w:szCs w:val="22"/>
          <w:lang w:val="en-GB"/>
        </w:rPr>
        <w:tab/>
        <w:t xml:space="preserve">Mr </w:t>
      </w:r>
      <w:r w:rsidRPr="00FC2BE3">
        <w:rPr>
          <w:rFonts w:ascii="Arial" w:hAnsi="Arial" w:cs="Arial"/>
          <w:b/>
          <w:sz w:val="22"/>
          <w:szCs w:val="22"/>
          <w:lang w:val="en-ZA"/>
        </w:rPr>
        <w:t xml:space="preserve">D J </w:t>
      </w:r>
      <w:r w:rsidRPr="00FC2BE3">
        <w:rPr>
          <w:rFonts w:ascii="Arial" w:hAnsi="Arial" w:cs="Arial"/>
          <w:b/>
          <w:sz w:val="22"/>
          <w:szCs w:val="22"/>
          <w:lang w:val="en-GB"/>
        </w:rPr>
        <w:t>Maynier</w:t>
      </w:r>
      <w:r w:rsidRPr="00FC2BE3">
        <w:rPr>
          <w:rFonts w:ascii="Arial" w:hAnsi="Arial" w:cs="Arial"/>
          <w:b/>
          <w:sz w:val="22"/>
          <w:szCs w:val="22"/>
          <w:lang w:val="en-ZA"/>
        </w:rPr>
        <w:t xml:space="preserve"> (DA) to ask the Minister of Finance:</w:t>
      </w:r>
    </w:p>
    <w:p w:rsidR="00FC2BE3" w:rsidRPr="00FC2BE3" w:rsidRDefault="00FC2BE3" w:rsidP="00FC2BE3">
      <w:pPr>
        <w:spacing w:before="100" w:beforeAutospacing="1" w:after="100" w:afterAutospacing="1" w:line="276" w:lineRule="auto"/>
        <w:ind w:left="709" w:hanging="709"/>
        <w:jc w:val="both"/>
        <w:rPr>
          <w:rFonts w:ascii="Arial" w:hAnsi="Arial" w:cs="Arial"/>
          <w:sz w:val="22"/>
          <w:szCs w:val="22"/>
          <w:lang w:val="en-GB"/>
        </w:rPr>
      </w:pPr>
      <w:r w:rsidRPr="00FC2BE3">
        <w:rPr>
          <w:rFonts w:ascii="Arial" w:hAnsi="Arial" w:cs="Arial"/>
          <w:sz w:val="22"/>
          <w:szCs w:val="22"/>
          <w:lang w:val="en-GB"/>
        </w:rPr>
        <w:t>(1)</w:t>
      </w:r>
      <w:r w:rsidRPr="00FC2BE3">
        <w:rPr>
          <w:rFonts w:ascii="Arial" w:hAnsi="Arial" w:cs="Arial"/>
          <w:sz w:val="22"/>
          <w:szCs w:val="22"/>
          <w:lang w:val="en-GB"/>
        </w:rPr>
        <w:tab/>
        <w:t>In respect of the mandatory cost containment measures specified in the National Treasury Instruction 01 of 2013-14, by what (a) amount and (b) percentage did expenditure on (i) consultants, (ii) travel and subsistence and (iii) catering and events (aa) increase and/or (bb) decrease in each specified (aaa) department, (bbb) constitutional institution and (ccc) public entity listed in Schedule 2 and 3 of the Public Finance Management Act, Act 1 of 1999, (aaaa) in the (aaaaa) 2013-14 and (bbbbb) 2014-15 financial years and (ccccc) in the period 1 April 2015 up to the latest specified date for which information is available;</w:t>
      </w:r>
    </w:p>
    <w:p w:rsidR="00FC2BE3" w:rsidRPr="00FC2BE3" w:rsidRDefault="00FC2BE3" w:rsidP="00FC2BE3">
      <w:pPr>
        <w:spacing w:before="100" w:beforeAutospacing="1" w:after="100" w:afterAutospacing="1" w:line="276" w:lineRule="auto"/>
        <w:ind w:left="709" w:hanging="709"/>
        <w:jc w:val="both"/>
        <w:rPr>
          <w:rFonts w:ascii="Arial" w:hAnsi="Arial" w:cs="Arial"/>
          <w:sz w:val="22"/>
          <w:szCs w:val="22"/>
          <w:lang w:val="en-GB"/>
        </w:rPr>
      </w:pPr>
      <w:r w:rsidRPr="00FC2BE3">
        <w:rPr>
          <w:rFonts w:ascii="Arial" w:hAnsi="Arial" w:cs="Arial"/>
          <w:sz w:val="22"/>
          <w:szCs w:val="22"/>
          <w:lang w:val="en-GB"/>
        </w:rPr>
        <w:t>(2)</w:t>
      </w:r>
      <w:r w:rsidRPr="00FC2BE3">
        <w:rPr>
          <w:rFonts w:ascii="Arial" w:hAnsi="Arial" w:cs="Arial"/>
          <w:sz w:val="22"/>
          <w:szCs w:val="22"/>
          <w:lang w:val="en-GB"/>
        </w:rPr>
        <w:tab/>
      </w:r>
      <w:r w:rsidR="00EC580F">
        <w:rPr>
          <w:rFonts w:ascii="Arial" w:hAnsi="Arial" w:cs="Arial"/>
          <w:sz w:val="22"/>
          <w:szCs w:val="22"/>
          <w:lang w:val="en-GB"/>
        </w:rPr>
        <w:t>W</w:t>
      </w:r>
      <w:r w:rsidRPr="00FC2BE3">
        <w:rPr>
          <w:rFonts w:ascii="Arial" w:hAnsi="Arial" w:cs="Arial"/>
          <w:sz w:val="22"/>
          <w:szCs w:val="22"/>
          <w:lang w:val="en-GB"/>
        </w:rPr>
        <w:t>hat is the total amount of the specified expenditure (a) in the 2013-14 financial year</w:t>
      </w:r>
      <w:r w:rsidR="001848B2">
        <w:rPr>
          <w:rFonts w:ascii="Arial" w:hAnsi="Arial" w:cs="Arial"/>
          <w:sz w:val="22"/>
          <w:szCs w:val="22"/>
          <w:lang w:val="en-GB"/>
        </w:rPr>
        <w:t xml:space="preserve"> </w:t>
      </w:r>
      <w:r w:rsidRPr="00FC2BE3">
        <w:rPr>
          <w:rFonts w:ascii="Arial" w:hAnsi="Arial" w:cs="Arial"/>
          <w:sz w:val="22"/>
          <w:szCs w:val="22"/>
          <w:lang w:val="en-GB"/>
        </w:rPr>
        <w:t>and (b) during the period 1 April 2015 up to the latest specified date for which information is available?</w:t>
      </w:r>
      <w:r w:rsidRPr="00FC2BE3">
        <w:rPr>
          <w:rFonts w:ascii="Arial" w:hAnsi="Arial" w:cs="Arial"/>
          <w:sz w:val="22"/>
          <w:szCs w:val="22"/>
          <w:lang w:val="en-GB"/>
        </w:rPr>
        <w:tab/>
      </w:r>
    </w:p>
    <w:p w:rsidR="00FC2BE3" w:rsidRPr="00FC2BE3" w:rsidRDefault="00FC2BE3" w:rsidP="00FC2BE3">
      <w:pPr>
        <w:spacing w:before="100" w:beforeAutospacing="1" w:after="100" w:afterAutospacing="1" w:line="276" w:lineRule="auto"/>
        <w:ind w:left="709" w:hanging="709"/>
        <w:jc w:val="both"/>
        <w:rPr>
          <w:rFonts w:ascii="Arial" w:hAnsi="Arial" w:cs="Arial"/>
          <w:sz w:val="22"/>
          <w:szCs w:val="22"/>
          <w:lang w:val="en-GB"/>
        </w:rPr>
      </w:pPr>
      <w:r w:rsidRPr="00FC2BE3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FC2BE3">
        <w:rPr>
          <w:rFonts w:ascii="Arial" w:hAnsi="Arial" w:cs="Arial"/>
          <w:sz w:val="22"/>
          <w:szCs w:val="22"/>
          <w:lang w:val="en-GB"/>
        </w:rPr>
        <w:t>NW4004E</w:t>
      </w:r>
    </w:p>
    <w:p w:rsidR="001433AE" w:rsidRPr="001B0917" w:rsidRDefault="001433A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73AFD" w:rsidRDefault="00436B68" w:rsidP="006B7749">
      <w:pPr>
        <w:pStyle w:val="ListParagraph"/>
        <w:numPr>
          <w:ilvl w:val="0"/>
          <w:numId w:val="3"/>
        </w:numPr>
        <w:spacing w:after="120"/>
        <w:ind w:left="1077" w:hanging="1077"/>
        <w:contextualSpacing w:val="0"/>
        <w:jc w:val="both"/>
        <w:rPr>
          <w:rFonts w:ascii="Arial" w:hAnsi="Arial" w:cs="Arial"/>
          <w:lang w:val="en-GB"/>
        </w:rPr>
      </w:pPr>
      <w:r w:rsidRPr="006672DE">
        <w:rPr>
          <w:rFonts w:ascii="Arial" w:hAnsi="Arial" w:cs="Arial"/>
          <w:b/>
          <w:lang w:val="en-GB"/>
        </w:rPr>
        <w:t>Table 1</w:t>
      </w:r>
      <w:r w:rsidRPr="007667A3">
        <w:rPr>
          <w:rFonts w:ascii="Arial" w:hAnsi="Arial" w:cs="Arial"/>
          <w:lang w:val="en-GB"/>
        </w:rPr>
        <w:t xml:space="preserve"> provide</w:t>
      </w:r>
      <w:r w:rsidR="007B14A8">
        <w:rPr>
          <w:rFonts w:ascii="Arial" w:hAnsi="Arial" w:cs="Arial"/>
          <w:lang w:val="en-GB"/>
        </w:rPr>
        <w:t>s</w:t>
      </w:r>
      <w:r w:rsidRPr="007667A3">
        <w:rPr>
          <w:rFonts w:ascii="Arial" w:hAnsi="Arial" w:cs="Arial"/>
          <w:lang w:val="en-GB"/>
        </w:rPr>
        <w:t xml:space="preserve"> </w:t>
      </w:r>
      <w:r w:rsidR="001B424C">
        <w:rPr>
          <w:rFonts w:ascii="Arial" w:hAnsi="Arial" w:cs="Arial"/>
          <w:lang w:val="en-GB"/>
        </w:rPr>
        <w:t xml:space="preserve">a summary of expenditure in relation to the </w:t>
      </w:r>
      <w:r w:rsidRPr="007667A3">
        <w:rPr>
          <w:rFonts w:ascii="Arial" w:hAnsi="Arial" w:cs="Arial"/>
          <w:lang w:val="en-GB"/>
        </w:rPr>
        <w:t>amount</w:t>
      </w:r>
      <w:r w:rsidR="007B14A8">
        <w:rPr>
          <w:rFonts w:ascii="Arial" w:hAnsi="Arial" w:cs="Arial"/>
          <w:lang w:val="en-GB"/>
        </w:rPr>
        <w:t>s</w:t>
      </w:r>
      <w:r w:rsidR="006672DE">
        <w:rPr>
          <w:rFonts w:ascii="Arial" w:hAnsi="Arial" w:cs="Arial"/>
          <w:lang w:val="en-GB"/>
        </w:rPr>
        <w:t xml:space="preserve"> spent</w:t>
      </w:r>
      <w:r w:rsidRPr="007667A3">
        <w:rPr>
          <w:rFonts w:ascii="Arial" w:hAnsi="Arial" w:cs="Arial"/>
          <w:lang w:val="en-GB"/>
        </w:rPr>
        <w:t xml:space="preserve"> </w:t>
      </w:r>
      <w:r w:rsidR="007C7DBD" w:rsidRPr="007667A3">
        <w:rPr>
          <w:rFonts w:ascii="Arial" w:hAnsi="Arial" w:cs="Arial"/>
          <w:lang w:val="en-GB"/>
        </w:rPr>
        <w:t xml:space="preserve">and </w:t>
      </w:r>
      <w:r w:rsidR="006672DE">
        <w:rPr>
          <w:rFonts w:ascii="Arial" w:hAnsi="Arial" w:cs="Arial"/>
          <w:lang w:val="en-GB"/>
        </w:rPr>
        <w:t xml:space="preserve">the </w:t>
      </w:r>
      <w:r w:rsidRPr="007667A3">
        <w:rPr>
          <w:rFonts w:ascii="Arial" w:hAnsi="Arial" w:cs="Arial"/>
          <w:lang w:val="en-GB"/>
        </w:rPr>
        <w:t xml:space="preserve">percentage </w:t>
      </w:r>
      <w:r w:rsidR="007B14A8">
        <w:rPr>
          <w:rFonts w:ascii="Arial" w:hAnsi="Arial" w:cs="Arial"/>
          <w:lang w:val="en-GB"/>
        </w:rPr>
        <w:t>increases</w:t>
      </w:r>
      <w:r w:rsidR="000B650A">
        <w:rPr>
          <w:rFonts w:ascii="Arial" w:hAnsi="Arial" w:cs="Arial"/>
          <w:lang w:val="en-GB"/>
        </w:rPr>
        <w:t xml:space="preserve"> or </w:t>
      </w:r>
      <w:r w:rsidR="007B14A8">
        <w:rPr>
          <w:rFonts w:ascii="Arial" w:hAnsi="Arial" w:cs="Arial"/>
          <w:lang w:val="en-GB"/>
        </w:rPr>
        <w:t>decreases</w:t>
      </w:r>
      <w:r w:rsidR="007C7DBD" w:rsidRPr="007667A3">
        <w:rPr>
          <w:rFonts w:ascii="Arial" w:hAnsi="Arial" w:cs="Arial"/>
          <w:lang w:val="en-GB"/>
        </w:rPr>
        <w:t xml:space="preserve"> </w:t>
      </w:r>
      <w:r w:rsidRPr="007667A3">
        <w:rPr>
          <w:rFonts w:ascii="Arial" w:hAnsi="Arial" w:cs="Arial"/>
          <w:lang w:val="en-GB"/>
        </w:rPr>
        <w:t xml:space="preserve">related to (i) consultants, (ii) travel and subsistence and (iii) catering and events in departments. The </w:t>
      </w:r>
      <w:r w:rsidR="007C7DBD" w:rsidRPr="007667A3">
        <w:rPr>
          <w:rFonts w:ascii="Arial" w:hAnsi="Arial" w:cs="Arial"/>
          <w:lang w:val="en-GB"/>
        </w:rPr>
        <w:t>table</w:t>
      </w:r>
      <w:r w:rsidRPr="007667A3">
        <w:rPr>
          <w:rFonts w:ascii="Arial" w:hAnsi="Arial" w:cs="Arial"/>
          <w:lang w:val="en-GB"/>
        </w:rPr>
        <w:t xml:space="preserve"> provide</w:t>
      </w:r>
      <w:r w:rsidR="00014BE4">
        <w:rPr>
          <w:rFonts w:ascii="Arial" w:hAnsi="Arial" w:cs="Arial"/>
          <w:lang w:val="en-GB"/>
        </w:rPr>
        <w:t>s</w:t>
      </w:r>
      <w:r w:rsidRPr="007667A3">
        <w:rPr>
          <w:rFonts w:ascii="Arial" w:hAnsi="Arial" w:cs="Arial"/>
          <w:lang w:val="en-GB"/>
        </w:rPr>
        <w:t xml:space="preserve"> </w:t>
      </w:r>
      <w:r w:rsidR="00F0664B">
        <w:rPr>
          <w:rFonts w:ascii="Arial" w:hAnsi="Arial" w:cs="Arial"/>
          <w:lang w:val="en-GB"/>
        </w:rPr>
        <w:t xml:space="preserve">expenditure </w:t>
      </w:r>
      <w:r w:rsidRPr="007667A3">
        <w:rPr>
          <w:rFonts w:ascii="Arial" w:hAnsi="Arial" w:cs="Arial"/>
          <w:lang w:val="en-GB"/>
        </w:rPr>
        <w:t xml:space="preserve">information for the 2012/2013, 2013/2014 and 2014/2015 financial years. </w:t>
      </w:r>
    </w:p>
    <w:p w:rsidR="00DF2485" w:rsidRPr="006B7749" w:rsidRDefault="00D73AFD" w:rsidP="00D73AFD">
      <w:pPr>
        <w:pStyle w:val="ListParagraph"/>
        <w:spacing w:after="120"/>
        <w:ind w:left="1077"/>
        <w:contextualSpacing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Table 2 </w:t>
      </w:r>
      <w:r w:rsidRPr="00D73AFD">
        <w:rPr>
          <w:rFonts w:ascii="Arial" w:hAnsi="Arial" w:cs="Arial"/>
          <w:lang w:val="en-GB"/>
        </w:rPr>
        <w:t xml:space="preserve">provides </w:t>
      </w:r>
      <w:r w:rsidR="002F4075">
        <w:rPr>
          <w:rFonts w:ascii="Arial" w:hAnsi="Arial" w:cs="Arial"/>
          <w:lang w:val="en-GB"/>
        </w:rPr>
        <w:t xml:space="preserve">a summary of expenditure in relation to the amounts spent on (i) consultants, (ii) travel and subsistence and (iii) catering and events in departments </w:t>
      </w:r>
      <w:r w:rsidRPr="00D73AFD">
        <w:rPr>
          <w:rFonts w:ascii="Arial" w:hAnsi="Arial" w:cs="Arial"/>
          <w:lang w:val="en-GB"/>
        </w:rPr>
        <w:t>for</w:t>
      </w:r>
      <w:r>
        <w:rPr>
          <w:rFonts w:ascii="Arial" w:hAnsi="Arial" w:cs="Arial"/>
          <w:b/>
          <w:lang w:val="en-GB"/>
        </w:rPr>
        <w:t xml:space="preserve"> </w:t>
      </w:r>
      <w:r w:rsidR="006B7749">
        <w:rPr>
          <w:rFonts w:ascii="Arial" w:hAnsi="Arial" w:cs="Arial"/>
          <w:lang w:val="en-GB"/>
        </w:rPr>
        <w:t xml:space="preserve">months </w:t>
      </w:r>
      <w:r w:rsidR="002F4075">
        <w:rPr>
          <w:rFonts w:ascii="Arial" w:hAnsi="Arial" w:cs="Arial"/>
          <w:lang w:val="en-GB"/>
        </w:rPr>
        <w:t xml:space="preserve">of 01 </w:t>
      </w:r>
      <w:r w:rsidR="006B7749">
        <w:rPr>
          <w:rFonts w:ascii="Arial" w:hAnsi="Arial" w:cs="Arial"/>
          <w:lang w:val="en-GB"/>
        </w:rPr>
        <w:t xml:space="preserve">April 2015 to August 2015. </w:t>
      </w:r>
      <w:r w:rsidR="000E3FBF" w:rsidRPr="006B7749">
        <w:rPr>
          <w:rFonts w:ascii="Arial" w:hAnsi="Arial" w:cs="Arial"/>
          <w:lang w:val="en-GB"/>
        </w:rPr>
        <w:t xml:space="preserve">The aforementioned information was extracted from </w:t>
      </w:r>
      <w:r w:rsidR="00BC5718" w:rsidRPr="006B7749">
        <w:rPr>
          <w:rFonts w:ascii="Arial" w:hAnsi="Arial" w:cs="Arial"/>
          <w:lang w:val="en-GB"/>
        </w:rPr>
        <w:t xml:space="preserve">the National Treasury’s </w:t>
      </w:r>
      <w:r w:rsidR="00721C65" w:rsidRPr="006B7749">
        <w:rPr>
          <w:rFonts w:ascii="Arial" w:hAnsi="Arial" w:cs="Arial"/>
          <w:lang w:val="en-GB"/>
        </w:rPr>
        <w:t xml:space="preserve">transversal </w:t>
      </w:r>
      <w:r w:rsidR="000E3FBF" w:rsidRPr="006B7749">
        <w:rPr>
          <w:rFonts w:ascii="Arial" w:hAnsi="Arial" w:cs="Arial"/>
          <w:lang w:val="en-GB"/>
        </w:rPr>
        <w:t xml:space="preserve">financial management systems </w:t>
      </w:r>
      <w:r w:rsidR="00BC5718" w:rsidRPr="006B7749">
        <w:rPr>
          <w:rFonts w:ascii="Arial" w:hAnsi="Arial" w:cs="Arial"/>
          <w:lang w:val="en-GB"/>
        </w:rPr>
        <w:t xml:space="preserve">that are </w:t>
      </w:r>
      <w:r w:rsidR="000E3FBF" w:rsidRPr="006B7749">
        <w:rPr>
          <w:rFonts w:ascii="Arial" w:hAnsi="Arial" w:cs="Arial"/>
          <w:lang w:val="en-GB"/>
        </w:rPr>
        <w:t>utilised by departments.</w:t>
      </w:r>
    </w:p>
    <w:p w:rsidR="00436B68" w:rsidRPr="007667A3" w:rsidRDefault="00DF2485" w:rsidP="00DF2485">
      <w:pPr>
        <w:pStyle w:val="ListParagraph"/>
        <w:spacing w:after="120"/>
        <w:ind w:left="1077"/>
        <w:contextualSpacing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Expenditure i</w:t>
      </w:r>
      <w:r w:rsidR="006B7F94" w:rsidRPr="007667A3">
        <w:rPr>
          <w:rFonts w:ascii="Arial" w:hAnsi="Arial" w:cs="Arial"/>
          <w:lang w:val="en-GB"/>
        </w:rPr>
        <w:t xml:space="preserve">nformation </w:t>
      </w:r>
      <w:r w:rsidR="007C7DBD" w:rsidRPr="007667A3">
        <w:rPr>
          <w:rFonts w:ascii="Arial" w:hAnsi="Arial" w:cs="Arial"/>
          <w:lang w:val="en-GB"/>
        </w:rPr>
        <w:t xml:space="preserve">on consultants, travel and subsistence and catering </w:t>
      </w:r>
      <w:r w:rsidR="00D351D7">
        <w:rPr>
          <w:rFonts w:ascii="Arial" w:hAnsi="Arial" w:cs="Arial"/>
          <w:lang w:val="en-GB"/>
        </w:rPr>
        <w:t>and</w:t>
      </w:r>
      <w:r w:rsidR="007C7DBD" w:rsidRPr="007667A3">
        <w:rPr>
          <w:rFonts w:ascii="Arial" w:hAnsi="Arial" w:cs="Arial"/>
          <w:lang w:val="en-GB"/>
        </w:rPr>
        <w:t xml:space="preserve"> event</w:t>
      </w:r>
      <w:r w:rsidR="00D351D7">
        <w:rPr>
          <w:rFonts w:ascii="Arial" w:hAnsi="Arial" w:cs="Arial"/>
          <w:lang w:val="en-GB"/>
        </w:rPr>
        <w:t>s</w:t>
      </w:r>
      <w:r w:rsidR="007C7DBD" w:rsidRPr="007667A3">
        <w:rPr>
          <w:rFonts w:ascii="Arial" w:hAnsi="Arial" w:cs="Arial"/>
          <w:lang w:val="en-GB"/>
        </w:rPr>
        <w:t xml:space="preserve"> is not available </w:t>
      </w:r>
      <w:r w:rsidR="006B7F94" w:rsidRPr="007667A3">
        <w:rPr>
          <w:rFonts w:ascii="Arial" w:hAnsi="Arial" w:cs="Arial"/>
          <w:lang w:val="en-GB"/>
        </w:rPr>
        <w:t xml:space="preserve">for </w:t>
      </w:r>
      <w:r w:rsidR="007C7DBD" w:rsidRPr="007667A3">
        <w:rPr>
          <w:rFonts w:ascii="Arial" w:hAnsi="Arial" w:cs="Arial"/>
          <w:lang w:val="en-GB"/>
        </w:rPr>
        <w:t xml:space="preserve">constitutional institutions and public entities listed in Schedules 2 and 3 to the PFMA </w:t>
      </w:r>
      <w:r w:rsidR="00D351D7">
        <w:rPr>
          <w:rFonts w:ascii="Arial" w:hAnsi="Arial" w:cs="Arial"/>
          <w:lang w:val="en-GB"/>
        </w:rPr>
        <w:t>since these</w:t>
      </w:r>
      <w:r w:rsidR="00141735">
        <w:rPr>
          <w:rFonts w:ascii="Arial" w:hAnsi="Arial" w:cs="Arial"/>
          <w:lang w:val="en-GB"/>
        </w:rPr>
        <w:t xml:space="preserve"> institutions utilise </w:t>
      </w:r>
      <w:r w:rsidR="006B7F94" w:rsidRPr="007667A3">
        <w:rPr>
          <w:rFonts w:ascii="Arial" w:hAnsi="Arial" w:cs="Arial"/>
          <w:lang w:val="en-GB"/>
        </w:rPr>
        <w:t xml:space="preserve">different </w:t>
      </w:r>
      <w:r w:rsidR="00F34889">
        <w:rPr>
          <w:rFonts w:ascii="Arial" w:hAnsi="Arial" w:cs="Arial"/>
          <w:lang w:val="en-GB"/>
        </w:rPr>
        <w:t xml:space="preserve">entity controlled </w:t>
      </w:r>
      <w:r w:rsidR="00141735">
        <w:rPr>
          <w:rFonts w:ascii="Arial" w:hAnsi="Arial" w:cs="Arial"/>
          <w:lang w:val="en-GB"/>
        </w:rPr>
        <w:t xml:space="preserve">financial </w:t>
      </w:r>
      <w:r w:rsidR="006B7F94" w:rsidRPr="007667A3">
        <w:rPr>
          <w:rFonts w:ascii="Arial" w:hAnsi="Arial" w:cs="Arial"/>
          <w:lang w:val="en-GB"/>
        </w:rPr>
        <w:t>system</w:t>
      </w:r>
      <w:r w:rsidR="00F34889">
        <w:rPr>
          <w:rFonts w:ascii="Arial" w:hAnsi="Arial" w:cs="Arial"/>
          <w:lang w:val="en-GB"/>
        </w:rPr>
        <w:t>s</w:t>
      </w:r>
      <w:r w:rsidR="006B7F94" w:rsidRPr="007667A3">
        <w:rPr>
          <w:rFonts w:ascii="Arial" w:hAnsi="Arial" w:cs="Arial"/>
          <w:lang w:val="en-GB"/>
        </w:rPr>
        <w:t xml:space="preserve"> for </w:t>
      </w:r>
      <w:r w:rsidR="00141735">
        <w:rPr>
          <w:rFonts w:ascii="Arial" w:hAnsi="Arial" w:cs="Arial"/>
          <w:lang w:val="en-GB"/>
        </w:rPr>
        <w:t>the</w:t>
      </w:r>
      <w:r w:rsidR="00F34889">
        <w:rPr>
          <w:rFonts w:ascii="Arial" w:hAnsi="Arial" w:cs="Arial"/>
          <w:lang w:val="en-GB"/>
        </w:rPr>
        <w:t>ir</w:t>
      </w:r>
      <w:r w:rsidR="00141735">
        <w:rPr>
          <w:rFonts w:ascii="Arial" w:hAnsi="Arial" w:cs="Arial"/>
          <w:lang w:val="en-GB"/>
        </w:rPr>
        <w:t xml:space="preserve"> </w:t>
      </w:r>
      <w:r w:rsidR="007C7DBD" w:rsidRPr="007667A3">
        <w:rPr>
          <w:rFonts w:ascii="Arial" w:hAnsi="Arial" w:cs="Arial"/>
          <w:lang w:val="en-GB"/>
        </w:rPr>
        <w:t>payment</w:t>
      </w:r>
      <w:r w:rsidR="00F34889">
        <w:rPr>
          <w:rFonts w:ascii="Arial" w:hAnsi="Arial" w:cs="Arial"/>
          <w:lang w:val="en-GB"/>
        </w:rPr>
        <w:t>s</w:t>
      </w:r>
      <w:r w:rsidR="006B7F94" w:rsidRPr="007667A3">
        <w:rPr>
          <w:rFonts w:ascii="Arial" w:hAnsi="Arial" w:cs="Arial"/>
          <w:lang w:val="en-GB"/>
        </w:rPr>
        <w:t>.</w:t>
      </w:r>
    </w:p>
    <w:p w:rsidR="00C27482" w:rsidRDefault="00C27482">
      <w:pPr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br w:type="page"/>
      </w:r>
    </w:p>
    <w:p w:rsidR="00BA4313" w:rsidRDefault="007C7DBD" w:rsidP="00BA4313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7C7DBD">
        <w:rPr>
          <w:rFonts w:ascii="Arial" w:hAnsi="Arial" w:cs="Arial"/>
          <w:b/>
          <w:sz w:val="22"/>
          <w:szCs w:val="22"/>
          <w:lang w:val="en-ZA"/>
        </w:rPr>
        <w:lastRenderedPageBreak/>
        <w:t>Tabl</w:t>
      </w:r>
      <w:r w:rsidR="00593E18">
        <w:rPr>
          <w:rFonts w:ascii="Arial" w:hAnsi="Arial" w:cs="Arial"/>
          <w:b/>
          <w:sz w:val="22"/>
          <w:szCs w:val="22"/>
          <w:lang w:val="en-ZA"/>
        </w:rPr>
        <w:t xml:space="preserve">e 1: </w:t>
      </w:r>
    </w:p>
    <w:p w:rsidR="00A327BB" w:rsidRDefault="00593E18" w:rsidP="00F0568D">
      <w:pPr>
        <w:spacing w:after="100" w:afterAutospacing="1"/>
        <w:jc w:val="both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 xml:space="preserve">Expenditure related to </w:t>
      </w:r>
      <w:r w:rsidR="007C7DBD" w:rsidRPr="007C7DBD">
        <w:rPr>
          <w:rFonts w:ascii="Arial" w:hAnsi="Arial" w:cs="Arial"/>
          <w:b/>
          <w:sz w:val="22"/>
          <w:szCs w:val="22"/>
          <w:lang w:val="en-ZA"/>
        </w:rPr>
        <w:t>consultants, travel and subsistence</w:t>
      </w:r>
      <w:r w:rsidR="00BA4313">
        <w:rPr>
          <w:rFonts w:ascii="Arial" w:hAnsi="Arial" w:cs="Arial"/>
          <w:b/>
          <w:sz w:val="22"/>
          <w:szCs w:val="22"/>
          <w:lang w:val="en-ZA"/>
        </w:rPr>
        <w:t xml:space="preserve"> and</w:t>
      </w:r>
      <w:r w:rsidR="007C7DBD" w:rsidRPr="007C7DBD">
        <w:rPr>
          <w:rFonts w:ascii="Arial" w:hAnsi="Arial" w:cs="Arial"/>
          <w:b/>
          <w:sz w:val="22"/>
          <w:szCs w:val="22"/>
          <w:lang w:val="en-ZA"/>
        </w:rPr>
        <w:t xml:space="preserve"> catering </w:t>
      </w:r>
      <w:r w:rsidR="00BA4313">
        <w:rPr>
          <w:rFonts w:ascii="Arial" w:hAnsi="Arial" w:cs="Arial"/>
          <w:b/>
          <w:sz w:val="22"/>
          <w:szCs w:val="22"/>
          <w:lang w:val="en-ZA"/>
        </w:rPr>
        <w:t>and</w:t>
      </w:r>
      <w:r w:rsidR="007C7DBD" w:rsidRPr="007C7DBD">
        <w:rPr>
          <w:rFonts w:ascii="Arial" w:hAnsi="Arial" w:cs="Arial"/>
          <w:b/>
          <w:sz w:val="22"/>
          <w:szCs w:val="22"/>
          <w:lang w:val="en-ZA"/>
        </w:rPr>
        <w:t xml:space="preserve"> events</w:t>
      </w:r>
      <w:r w:rsidR="00F0568D">
        <w:rPr>
          <w:rFonts w:ascii="Arial" w:hAnsi="Arial" w:cs="Arial"/>
          <w:b/>
          <w:sz w:val="22"/>
          <w:szCs w:val="22"/>
          <w:lang w:val="en-ZA"/>
        </w:rPr>
        <w:t xml:space="preserve"> for the periods 2012/2013, 2013/2014 and 2014/2015</w:t>
      </w:r>
    </w:p>
    <w:p w:rsidR="00F0568D" w:rsidRPr="00B34FB1" w:rsidRDefault="00F0568D" w:rsidP="00BA4313">
      <w:pPr>
        <w:spacing w:line="72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F0568D">
        <w:rPr>
          <w:noProof/>
          <w:lang w:val="en-ZA" w:eastAsia="en-ZA"/>
        </w:rPr>
        <w:drawing>
          <wp:inline distT="0" distB="0" distL="0" distR="0" wp14:anchorId="6BDC1848" wp14:editId="759C6DE6">
            <wp:extent cx="6153150" cy="31051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325" cy="310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68D" w:rsidRDefault="00F0568D" w:rsidP="00F0568D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7C7DBD">
        <w:rPr>
          <w:rFonts w:ascii="Arial" w:hAnsi="Arial" w:cs="Arial"/>
          <w:b/>
          <w:sz w:val="22"/>
          <w:szCs w:val="22"/>
          <w:lang w:val="en-ZA"/>
        </w:rPr>
        <w:t>Tabl</w:t>
      </w:r>
      <w:r>
        <w:rPr>
          <w:rFonts w:ascii="Arial" w:hAnsi="Arial" w:cs="Arial"/>
          <w:b/>
          <w:sz w:val="22"/>
          <w:szCs w:val="22"/>
          <w:lang w:val="en-ZA"/>
        </w:rPr>
        <w:t xml:space="preserve">e 2: </w:t>
      </w:r>
    </w:p>
    <w:p w:rsidR="00F0568D" w:rsidRDefault="00F0568D" w:rsidP="00F0568D">
      <w:pPr>
        <w:spacing w:after="100" w:afterAutospacing="1"/>
        <w:jc w:val="both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 xml:space="preserve">Expenditure related to </w:t>
      </w:r>
      <w:r w:rsidRPr="007C7DBD">
        <w:rPr>
          <w:rFonts w:ascii="Arial" w:hAnsi="Arial" w:cs="Arial"/>
          <w:b/>
          <w:sz w:val="22"/>
          <w:szCs w:val="22"/>
          <w:lang w:val="en-ZA"/>
        </w:rPr>
        <w:t>consultants, travel and subsistence</w:t>
      </w:r>
      <w:r>
        <w:rPr>
          <w:rFonts w:ascii="Arial" w:hAnsi="Arial" w:cs="Arial"/>
          <w:b/>
          <w:sz w:val="22"/>
          <w:szCs w:val="22"/>
          <w:lang w:val="en-ZA"/>
        </w:rPr>
        <w:t xml:space="preserve"> and</w:t>
      </w:r>
      <w:r w:rsidRPr="007C7DBD">
        <w:rPr>
          <w:rFonts w:ascii="Arial" w:hAnsi="Arial" w:cs="Arial"/>
          <w:b/>
          <w:sz w:val="22"/>
          <w:szCs w:val="22"/>
          <w:lang w:val="en-ZA"/>
        </w:rPr>
        <w:t xml:space="preserve"> catering </w:t>
      </w:r>
      <w:r>
        <w:rPr>
          <w:rFonts w:ascii="Arial" w:hAnsi="Arial" w:cs="Arial"/>
          <w:b/>
          <w:sz w:val="22"/>
          <w:szCs w:val="22"/>
          <w:lang w:val="en-ZA"/>
        </w:rPr>
        <w:t>and</w:t>
      </w:r>
      <w:r w:rsidRPr="007C7DBD">
        <w:rPr>
          <w:rFonts w:ascii="Arial" w:hAnsi="Arial" w:cs="Arial"/>
          <w:b/>
          <w:sz w:val="22"/>
          <w:szCs w:val="22"/>
          <w:lang w:val="en-ZA"/>
        </w:rPr>
        <w:t xml:space="preserve"> events</w:t>
      </w:r>
      <w:r>
        <w:rPr>
          <w:rFonts w:ascii="Arial" w:hAnsi="Arial" w:cs="Arial"/>
          <w:b/>
          <w:sz w:val="22"/>
          <w:szCs w:val="22"/>
          <w:lang w:val="en-ZA"/>
        </w:rPr>
        <w:t xml:space="preserve"> for the periods 1 April 2015 to </w:t>
      </w:r>
      <w:r w:rsidR="00D73AFD">
        <w:rPr>
          <w:rFonts w:ascii="Arial" w:hAnsi="Arial" w:cs="Arial"/>
          <w:b/>
          <w:sz w:val="22"/>
          <w:szCs w:val="22"/>
          <w:lang w:val="en-ZA"/>
        </w:rPr>
        <w:t xml:space="preserve">31 </w:t>
      </w:r>
      <w:r>
        <w:rPr>
          <w:rFonts w:ascii="Arial" w:hAnsi="Arial" w:cs="Arial"/>
          <w:b/>
          <w:sz w:val="22"/>
          <w:szCs w:val="22"/>
          <w:lang w:val="en-ZA"/>
        </w:rPr>
        <w:t>August 2015.</w:t>
      </w:r>
    </w:p>
    <w:p w:rsidR="00A327BB" w:rsidRDefault="006B7749" w:rsidP="00F0568D">
      <w:pPr>
        <w:pStyle w:val="ListParagraph"/>
        <w:spacing w:after="120" w:line="480" w:lineRule="auto"/>
        <w:ind w:left="1080" w:hanging="1080"/>
        <w:contextualSpacing w:val="0"/>
        <w:jc w:val="both"/>
        <w:rPr>
          <w:rFonts w:ascii="Arial" w:hAnsi="Arial" w:cs="Arial"/>
        </w:rPr>
      </w:pPr>
      <w:r w:rsidRPr="006B7749">
        <w:rPr>
          <w:noProof/>
          <w:lang w:eastAsia="en-ZA"/>
        </w:rPr>
        <w:drawing>
          <wp:inline distT="0" distB="0" distL="0" distR="0" wp14:anchorId="42554905" wp14:editId="5CDF1B22">
            <wp:extent cx="6153150" cy="12382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496" cy="123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5C" w:rsidRPr="00C8751B" w:rsidRDefault="00EB1261" w:rsidP="006936BD">
      <w:pPr>
        <w:pStyle w:val="ListParagraph"/>
        <w:numPr>
          <w:ilvl w:val="0"/>
          <w:numId w:val="3"/>
        </w:numPr>
        <w:tabs>
          <w:tab w:val="left" w:pos="720"/>
        </w:tabs>
        <w:spacing w:after="120"/>
        <w:ind w:left="709" w:hanging="709"/>
        <w:jc w:val="both"/>
        <w:rPr>
          <w:rFonts w:ascii="Arial" w:hAnsi="Arial" w:cs="Arial"/>
        </w:rPr>
      </w:pPr>
      <w:r w:rsidRPr="00C8751B">
        <w:rPr>
          <w:rFonts w:ascii="Arial" w:hAnsi="Arial" w:cs="Arial"/>
        </w:rPr>
        <w:t>T</w:t>
      </w:r>
      <w:r w:rsidR="00AA5B5C" w:rsidRPr="00C8751B">
        <w:rPr>
          <w:rFonts w:ascii="Arial" w:hAnsi="Arial" w:cs="Arial"/>
        </w:rPr>
        <w:t>he total expenditure</w:t>
      </w:r>
      <w:r w:rsidR="00CF6622">
        <w:rPr>
          <w:rFonts w:ascii="Arial" w:hAnsi="Arial" w:cs="Arial"/>
        </w:rPr>
        <w:t xml:space="preserve"> in relation to consultants, travel and subsistence and catering and events </w:t>
      </w:r>
      <w:r w:rsidR="00AA5B5C" w:rsidRPr="00C8751B">
        <w:rPr>
          <w:rFonts w:ascii="Arial" w:hAnsi="Arial" w:cs="Arial"/>
        </w:rPr>
        <w:t xml:space="preserve">for the </w:t>
      </w:r>
      <w:r w:rsidR="00CF6622" w:rsidRPr="00C8751B">
        <w:rPr>
          <w:rFonts w:ascii="Arial" w:hAnsi="Arial" w:cs="Arial"/>
        </w:rPr>
        <w:t xml:space="preserve">2013/2014 </w:t>
      </w:r>
      <w:r w:rsidR="00AA5B5C" w:rsidRPr="00C8751B">
        <w:rPr>
          <w:rFonts w:ascii="Arial" w:hAnsi="Arial" w:cs="Arial"/>
        </w:rPr>
        <w:t xml:space="preserve">financial year </w:t>
      </w:r>
      <w:r w:rsidR="00CF6622">
        <w:rPr>
          <w:rFonts w:ascii="Arial" w:hAnsi="Arial" w:cs="Arial"/>
        </w:rPr>
        <w:t xml:space="preserve">amounts to R25 billion. </w:t>
      </w:r>
      <w:r w:rsidR="0026228E">
        <w:rPr>
          <w:rFonts w:ascii="Arial" w:hAnsi="Arial" w:cs="Arial"/>
        </w:rPr>
        <w:t>Corresponding e</w:t>
      </w:r>
      <w:r w:rsidR="00102886">
        <w:rPr>
          <w:rFonts w:ascii="Arial" w:hAnsi="Arial" w:cs="Arial"/>
        </w:rPr>
        <w:t xml:space="preserve">xpenditure </w:t>
      </w:r>
      <w:r w:rsidR="00017EB4">
        <w:rPr>
          <w:rFonts w:ascii="Arial" w:hAnsi="Arial" w:cs="Arial"/>
        </w:rPr>
        <w:t xml:space="preserve">from 1 April 2015 to 31 August </w:t>
      </w:r>
      <w:r w:rsidR="00D73AFD">
        <w:rPr>
          <w:rFonts w:ascii="Arial" w:hAnsi="Arial" w:cs="Arial"/>
        </w:rPr>
        <w:t>2015 amounts to R5.4</w:t>
      </w:r>
      <w:r w:rsidR="0026228E">
        <w:rPr>
          <w:rFonts w:ascii="Arial" w:hAnsi="Arial" w:cs="Arial"/>
        </w:rPr>
        <w:t xml:space="preserve"> billion.</w:t>
      </w:r>
      <w:r w:rsidR="00102886">
        <w:rPr>
          <w:rFonts w:ascii="Arial" w:hAnsi="Arial" w:cs="Arial"/>
        </w:rPr>
        <w:t xml:space="preserve"> </w:t>
      </w:r>
      <w:r w:rsidR="00AA5B5C" w:rsidRPr="00C8751B">
        <w:rPr>
          <w:rFonts w:ascii="Arial" w:hAnsi="Arial" w:cs="Arial"/>
        </w:rPr>
        <w:t xml:space="preserve"> </w:t>
      </w:r>
    </w:p>
    <w:p w:rsidR="00436B68" w:rsidRPr="00B76DFE" w:rsidRDefault="00372584" w:rsidP="006B6531">
      <w:pPr>
        <w:tabs>
          <w:tab w:val="left" w:pos="432"/>
          <w:tab w:val="left" w:pos="720"/>
        </w:tabs>
        <w:spacing w:after="120" w:line="480" w:lineRule="auto"/>
        <w:ind w:left="720" w:hanging="1080"/>
        <w:jc w:val="both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</w:r>
      <w:r w:rsidR="009C28B8">
        <w:rPr>
          <w:rFonts w:ascii="Arial" w:hAnsi="Arial" w:cs="Arial"/>
          <w:sz w:val="22"/>
          <w:szCs w:val="22"/>
          <w:lang w:val="en-ZA"/>
        </w:rPr>
        <w:tab/>
      </w:r>
    </w:p>
    <w:p w:rsidR="006B6531" w:rsidRPr="00EB1261" w:rsidRDefault="006B6531" w:rsidP="00C8751B">
      <w:pPr>
        <w:tabs>
          <w:tab w:val="left" w:pos="432"/>
          <w:tab w:val="left" w:pos="720"/>
        </w:tabs>
        <w:spacing w:after="120" w:line="480" w:lineRule="auto"/>
        <w:ind w:left="720" w:hanging="1080"/>
        <w:jc w:val="both"/>
        <w:rPr>
          <w:rFonts w:ascii="Arial" w:hAnsi="Arial" w:cs="Arial"/>
          <w:sz w:val="22"/>
          <w:szCs w:val="22"/>
          <w:lang w:val="en-ZA"/>
        </w:rPr>
      </w:pPr>
    </w:p>
    <w:p w:rsidR="00C804FF" w:rsidRPr="001B0917" w:rsidRDefault="00C804FF" w:rsidP="00C804FF">
      <w:pPr>
        <w:rPr>
          <w:rFonts w:ascii="Arial" w:hAnsi="Arial" w:cs="Arial"/>
          <w:b/>
          <w:sz w:val="22"/>
          <w:szCs w:val="22"/>
        </w:rPr>
      </w:pPr>
    </w:p>
    <w:p w:rsidR="00B77F67" w:rsidRPr="001B0917" w:rsidRDefault="00B77F67" w:rsidP="001B091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AD5C9B">
      <w:footerReference w:type="default" r:id="rId10"/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3A7" w:rsidRDefault="007E33A7" w:rsidP="00E30E32">
      <w:r>
        <w:separator/>
      </w:r>
    </w:p>
  </w:endnote>
  <w:endnote w:type="continuationSeparator" w:id="0">
    <w:p w:rsidR="007E33A7" w:rsidRDefault="007E33A7" w:rsidP="00E3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557018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97544" w:rsidRPr="00CB6560" w:rsidRDefault="00597544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56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CB65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B656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CB65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15A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B65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B656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B65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B656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CB65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15A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CB65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97544" w:rsidRDefault="00597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3A7" w:rsidRDefault="007E33A7" w:rsidP="00E30E32">
      <w:r>
        <w:separator/>
      </w:r>
    </w:p>
  </w:footnote>
  <w:footnote w:type="continuationSeparator" w:id="0">
    <w:p w:rsidR="007E33A7" w:rsidRDefault="007E33A7" w:rsidP="00E30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31E02"/>
    <w:multiLevelType w:val="hybridMultilevel"/>
    <w:tmpl w:val="6DF279B0"/>
    <w:lvl w:ilvl="0" w:tplc="0624E5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0F3345"/>
    <w:multiLevelType w:val="hybridMultilevel"/>
    <w:tmpl w:val="1A08258C"/>
    <w:lvl w:ilvl="0" w:tplc="0624E5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CD"/>
    <w:rsid w:val="00007593"/>
    <w:rsid w:val="00014BE4"/>
    <w:rsid w:val="00017EB4"/>
    <w:rsid w:val="00020C04"/>
    <w:rsid w:val="000340A1"/>
    <w:rsid w:val="0006177B"/>
    <w:rsid w:val="000B650A"/>
    <w:rsid w:val="000C48D8"/>
    <w:rsid w:val="000E1D2C"/>
    <w:rsid w:val="000E3FBF"/>
    <w:rsid w:val="000F3B14"/>
    <w:rsid w:val="00102886"/>
    <w:rsid w:val="00141735"/>
    <w:rsid w:val="001433AE"/>
    <w:rsid w:val="0015727B"/>
    <w:rsid w:val="001713D2"/>
    <w:rsid w:val="001848B2"/>
    <w:rsid w:val="00193AB9"/>
    <w:rsid w:val="001A729F"/>
    <w:rsid w:val="001B0917"/>
    <w:rsid w:val="001B2579"/>
    <w:rsid w:val="001B424C"/>
    <w:rsid w:val="001C4216"/>
    <w:rsid w:val="001E3FB5"/>
    <w:rsid w:val="001E6902"/>
    <w:rsid w:val="001F7557"/>
    <w:rsid w:val="00202AC8"/>
    <w:rsid w:val="00214073"/>
    <w:rsid w:val="0024783D"/>
    <w:rsid w:val="0026228E"/>
    <w:rsid w:val="002A4967"/>
    <w:rsid w:val="002F4075"/>
    <w:rsid w:val="002F6E86"/>
    <w:rsid w:val="003421BD"/>
    <w:rsid w:val="00372584"/>
    <w:rsid w:val="003C72F5"/>
    <w:rsid w:val="003E0E01"/>
    <w:rsid w:val="00436B68"/>
    <w:rsid w:val="00487CDF"/>
    <w:rsid w:val="00492381"/>
    <w:rsid w:val="004E4D4F"/>
    <w:rsid w:val="004F09BA"/>
    <w:rsid w:val="005141B3"/>
    <w:rsid w:val="00515A1E"/>
    <w:rsid w:val="0053774B"/>
    <w:rsid w:val="00554BCD"/>
    <w:rsid w:val="00574E19"/>
    <w:rsid w:val="00593E18"/>
    <w:rsid w:val="00597544"/>
    <w:rsid w:val="005B67E8"/>
    <w:rsid w:val="00613FC6"/>
    <w:rsid w:val="006239F1"/>
    <w:rsid w:val="00624D20"/>
    <w:rsid w:val="00624FA3"/>
    <w:rsid w:val="0062770E"/>
    <w:rsid w:val="0064275F"/>
    <w:rsid w:val="00647EF2"/>
    <w:rsid w:val="00653A85"/>
    <w:rsid w:val="00662DFE"/>
    <w:rsid w:val="006672DE"/>
    <w:rsid w:val="006936BD"/>
    <w:rsid w:val="006B6531"/>
    <w:rsid w:val="006B7749"/>
    <w:rsid w:val="006B7F94"/>
    <w:rsid w:val="007118EA"/>
    <w:rsid w:val="00711942"/>
    <w:rsid w:val="00721C65"/>
    <w:rsid w:val="00726A9C"/>
    <w:rsid w:val="007359BF"/>
    <w:rsid w:val="00742781"/>
    <w:rsid w:val="007667A3"/>
    <w:rsid w:val="007914E0"/>
    <w:rsid w:val="007A32AF"/>
    <w:rsid w:val="007B14A8"/>
    <w:rsid w:val="007B1BA1"/>
    <w:rsid w:val="007C7DBD"/>
    <w:rsid w:val="007E33A7"/>
    <w:rsid w:val="00867110"/>
    <w:rsid w:val="008909C1"/>
    <w:rsid w:val="00891265"/>
    <w:rsid w:val="008C2559"/>
    <w:rsid w:val="008D7201"/>
    <w:rsid w:val="008F6A91"/>
    <w:rsid w:val="009017BD"/>
    <w:rsid w:val="00911717"/>
    <w:rsid w:val="009163A5"/>
    <w:rsid w:val="009277A2"/>
    <w:rsid w:val="00953363"/>
    <w:rsid w:val="0096007E"/>
    <w:rsid w:val="00975826"/>
    <w:rsid w:val="009A18A7"/>
    <w:rsid w:val="009A33EC"/>
    <w:rsid w:val="009C28B8"/>
    <w:rsid w:val="00A327BB"/>
    <w:rsid w:val="00A525F0"/>
    <w:rsid w:val="00A72B9B"/>
    <w:rsid w:val="00AA5B5C"/>
    <w:rsid w:val="00AC3F19"/>
    <w:rsid w:val="00AD00CE"/>
    <w:rsid w:val="00AD5C9B"/>
    <w:rsid w:val="00AF6669"/>
    <w:rsid w:val="00B34FB1"/>
    <w:rsid w:val="00B447E6"/>
    <w:rsid w:val="00B555E8"/>
    <w:rsid w:val="00B653B9"/>
    <w:rsid w:val="00B65894"/>
    <w:rsid w:val="00B76DFE"/>
    <w:rsid w:val="00B77F67"/>
    <w:rsid w:val="00BA4313"/>
    <w:rsid w:val="00BC5718"/>
    <w:rsid w:val="00BC5986"/>
    <w:rsid w:val="00BD31C6"/>
    <w:rsid w:val="00BE4FB8"/>
    <w:rsid w:val="00BF7391"/>
    <w:rsid w:val="00C25C7E"/>
    <w:rsid w:val="00C27482"/>
    <w:rsid w:val="00C312EA"/>
    <w:rsid w:val="00C44C35"/>
    <w:rsid w:val="00C60822"/>
    <w:rsid w:val="00C804FF"/>
    <w:rsid w:val="00C8751B"/>
    <w:rsid w:val="00CB6560"/>
    <w:rsid w:val="00CC2F3E"/>
    <w:rsid w:val="00CE2F83"/>
    <w:rsid w:val="00CF6622"/>
    <w:rsid w:val="00D2703C"/>
    <w:rsid w:val="00D351D7"/>
    <w:rsid w:val="00D73AFD"/>
    <w:rsid w:val="00DB2463"/>
    <w:rsid w:val="00DD5296"/>
    <w:rsid w:val="00DF0D26"/>
    <w:rsid w:val="00DF2485"/>
    <w:rsid w:val="00DF34AE"/>
    <w:rsid w:val="00E30E32"/>
    <w:rsid w:val="00E43CD6"/>
    <w:rsid w:val="00E66E1A"/>
    <w:rsid w:val="00E77DF6"/>
    <w:rsid w:val="00E80048"/>
    <w:rsid w:val="00E83297"/>
    <w:rsid w:val="00E8352B"/>
    <w:rsid w:val="00EA6A49"/>
    <w:rsid w:val="00EB1261"/>
    <w:rsid w:val="00EC580F"/>
    <w:rsid w:val="00EC7A8A"/>
    <w:rsid w:val="00ED2EB6"/>
    <w:rsid w:val="00EE123B"/>
    <w:rsid w:val="00EF14DE"/>
    <w:rsid w:val="00F0568D"/>
    <w:rsid w:val="00F0664B"/>
    <w:rsid w:val="00F25EC6"/>
    <w:rsid w:val="00F32DA6"/>
    <w:rsid w:val="00F34889"/>
    <w:rsid w:val="00F3666C"/>
    <w:rsid w:val="00F4609B"/>
    <w:rsid w:val="00F51C17"/>
    <w:rsid w:val="00F5571A"/>
    <w:rsid w:val="00F87EA6"/>
    <w:rsid w:val="00FC2064"/>
    <w:rsid w:val="00FC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A3B021-AE08-4EF4-AB15-356D3EF9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36B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59"/>
    <w:rsid w:val="00A3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02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886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E30E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0E32"/>
    <w:rPr>
      <w:lang w:val="en-US" w:eastAsia="en-US"/>
    </w:rPr>
  </w:style>
  <w:style w:type="character" w:styleId="FootnoteReference">
    <w:name w:val="footnote reference"/>
    <w:basedOn w:val="DefaultParagraphFont"/>
    <w:rsid w:val="00E30E32"/>
    <w:rPr>
      <w:vertAlign w:val="superscript"/>
    </w:rPr>
  </w:style>
  <w:style w:type="paragraph" w:styleId="Header">
    <w:name w:val="header"/>
    <w:basedOn w:val="Normal"/>
    <w:link w:val="HeaderChar"/>
    <w:rsid w:val="005975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754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75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54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22F1-9491-4DC9-9371-430D1404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Gcina Matakane</cp:lastModifiedBy>
  <cp:revision>2</cp:revision>
  <dcterms:created xsi:type="dcterms:W3CDTF">2015-10-05T07:09:00Z</dcterms:created>
  <dcterms:modified xsi:type="dcterms:W3CDTF">2015-10-05T07:09:00Z</dcterms:modified>
</cp:coreProperties>
</file>