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Pr="0037677D" w:rsidRDefault="00FE471E" w:rsidP="00DB2624">
      <w:pPr>
        <w:rPr>
          <w:rFonts w:ascii="Arial" w:hAnsi="Arial" w:cs="Arial"/>
          <w:lang w:val="en-ZA"/>
        </w:rPr>
      </w:pPr>
      <w:r>
        <w:rPr>
          <w:rFonts w:ascii="Arial" w:hAnsi="Arial" w:cs="Arial"/>
          <w:noProof/>
          <w:lang w:val="en-ZA" w:eastAsia="en-ZA"/>
        </w:rPr>
        <w:drawing>
          <wp:anchor distT="0" distB="0" distL="0" distR="0" simplePos="0" relativeHeight="251657728" behindDoc="0" locked="0" layoutInCell="1" allowOverlap="0">
            <wp:simplePos x="0" y="0"/>
            <wp:positionH relativeFrom="column">
              <wp:posOffset>1959610</wp:posOffset>
            </wp:positionH>
            <wp:positionV relativeFrom="line">
              <wp:posOffset>-88900</wp:posOffset>
            </wp:positionV>
            <wp:extent cx="1325245" cy="122428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224280"/>
                    </a:xfrm>
                    <a:prstGeom prst="rect">
                      <a:avLst/>
                    </a:prstGeom>
                    <a:noFill/>
                  </pic:spPr>
                </pic:pic>
              </a:graphicData>
            </a:graphic>
          </wp:anchor>
        </w:drawing>
      </w: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7409DE">
      <w:pPr>
        <w:pStyle w:val="NoSpacing"/>
        <w:rPr>
          <w:rFonts w:ascii="Arial" w:hAnsi="Arial" w:cs="Arial"/>
          <w:b/>
          <w:color w:val="4F6228"/>
          <w:sz w:val="16"/>
          <w:szCs w:val="16"/>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5F76BB" w:rsidRDefault="005F76BB" w:rsidP="0067175D">
      <w:pPr>
        <w:jc w:val="center"/>
        <w:rPr>
          <w:rFonts w:ascii="Arial" w:hAnsi="Arial" w:cs="Arial"/>
          <w:b/>
          <w:sz w:val="22"/>
          <w:szCs w:val="22"/>
        </w:rPr>
      </w:pPr>
    </w:p>
    <w:p w:rsidR="00267541" w:rsidRDefault="00267541" w:rsidP="0067175D">
      <w:pPr>
        <w:jc w:val="center"/>
        <w:rPr>
          <w:rFonts w:ascii="Arial" w:hAnsi="Arial" w:cs="Arial"/>
          <w:b/>
          <w:sz w:val="22"/>
          <w:szCs w:val="22"/>
        </w:rPr>
      </w:pP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67175D">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67175D">
      <w:pPr>
        <w:jc w:val="center"/>
        <w:rPr>
          <w:rFonts w:ascii="Arial" w:hAnsi="Arial" w:cs="Arial"/>
          <w:b/>
          <w:bCs/>
          <w:sz w:val="22"/>
          <w:szCs w:val="22"/>
        </w:rPr>
      </w:pPr>
    </w:p>
    <w:p w:rsidR="007252FF" w:rsidRPr="0067175D" w:rsidRDefault="0067175D" w:rsidP="003352D6">
      <w:pPr>
        <w:jc w:val="center"/>
        <w:rPr>
          <w:rFonts w:ascii="Arial" w:hAnsi="Arial" w:cs="Arial"/>
          <w:b/>
          <w:bCs/>
          <w:sz w:val="22"/>
          <w:szCs w:val="22"/>
        </w:rPr>
      </w:pPr>
      <w:r w:rsidRPr="0067175D">
        <w:rPr>
          <w:rFonts w:ascii="Arial" w:hAnsi="Arial" w:cs="Arial"/>
          <w:b/>
          <w:bCs/>
        </w:rPr>
        <w:t xml:space="preserve">NATIONAL </w:t>
      </w:r>
      <w:r w:rsidR="003352D6">
        <w:rPr>
          <w:rFonts w:ascii="Arial" w:hAnsi="Arial" w:cs="Arial"/>
          <w:b/>
          <w:bCs/>
        </w:rPr>
        <w:t>ASSEMBLY</w:t>
      </w:r>
    </w:p>
    <w:p w:rsidR="007252FF" w:rsidRPr="0037677D" w:rsidRDefault="007252FF" w:rsidP="003352D6">
      <w:pPr>
        <w:jc w:val="center"/>
        <w:rPr>
          <w:rFonts w:ascii="Arial" w:hAnsi="Arial" w:cs="Arial"/>
          <w:b/>
        </w:rPr>
      </w:pPr>
      <w:r w:rsidRPr="0037677D">
        <w:rPr>
          <w:rFonts w:ascii="Arial" w:hAnsi="Arial" w:cs="Arial"/>
          <w:b/>
        </w:rPr>
        <w:t>QUESTION FOR WRITTEN REPLY</w:t>
      </w:r>
    </w:p>
    <w:p w:rsidR="007252FF" w:rsidRDefault="007252FF" w:rsidP="003352D6">
      <w:pPr>
        <w:jc w:val="center"/>
        <w:rPr>
          <w:rFonts w:ascii="Arial" w:hAnsi="Arial" w:cs="Arial"/>
          <w:b/>
        </w:rPr>
      </w:pPr>
      <w:r w:rsidRPr="0037677D">
        <w:rPr>
          <w:rFonts w:ascii="Arial" w:hAnsi="Arial" w:cs="Arial"/>
          <w:b/>
        </w:rPr>
        <w:t xml:space="preserve">QUESTION NO.: </w:t>
      </w:r>
      <w:r w:rsidR="00267541">
        <w:rPr>
          <w:rFonts w:ascii="Arial" w:hAnsi="Arial" w:cs="Arial"/>
          <w:b/>
        </w:rPr>
        <w:t>3</w:t>
      </w:r>
      <w:r w:rsidR="009C3787">
        <w:rPr>
          <w:rFonts w:ascii="Arial" w:hAnsi="Arial" w:cs="Arial"/>
          <w:b/>
        </w:rPr>
        <w:t>3</w:t>
      </w:r>
      <w:r w:rsidR="00330E20">
        <w:rPr>
          <w:rFonts w:ascii="Arial" w:hAnsi="Arial" w:cs="Arial"/>
          <w:b/>
        </w:rPr>
        <w:t>45</w:t>
      </w:r>
    </w:p>
    <w:p w:rsidR="003352D6" w:rsidRDefault="003352D6" w:rsidP="006C7F97">
      <w:pPr>
        <w:jc w:val="both"/>
        <w:rPr>
          <w:rFonts w:ascii="Arial" w:hAnsi="Arial" w:cs="Arial"/>
          <w:b/>
          <w:u w:val="single"/>
        </w:rPr>
      </w:pPr>
    </w:p>
    <w:p w:rsidR="008E500D" w:rsidRPr="003352D6" w:rsidRDefault="003352D6" w:rsidP="006C7F97">
      <w:pPr>
        <w:jc w:val="both"/>
        <w:rPr>
          <w:rFonts w:ascii="Arial" w:hAnsi="Arial" w:cs="Arial"/>
          <w:b/>
          <w:u w:val="single"/>
        </w:rPr>
      </w:pPr>
      <w:r w:rsidRPr="003352D6">
        <w:rPr>
          <w:rFonts w:ascii="Arial" w:hAnsi="Arial" w:cs="Arial"/>
          <w:b/>
          <w:u w:val="single"/>
        </w:rPr>
        <w:t>QUESTION:</w:t>
      </w:r>
    </w:p>
    <w:p w:rsidR="00330E20" w:rsidRPr="00330E20" w:rsidRDefault="00330E20" w:rsidP="00330E20">
      <w:pPr>
        <w:spacing w:before="100" w:beforeAutospacing="1" w:after="100" w:afterAutospacing="1"/>
        <w:ind w:left="720" w:hanging="720"/>
        <w:jc w:val="both"/>
        <w:rPr>
          <w:rFonts w:ascii="Arial" w:hAnsi="Arial" w:cs="Arial"/>
          <w:color w:val="FF0000"/>
          <w:sz w:val="22"/>
          <w:szCs w:val="22"/>
          <w:lang w:val="en-ZA"/>
        </w:rPr>
      </w:pPr>
      <w:r w:rsidRPr="00330E20">
        <w:rPr>
          <w:rFonts w:ascii="Arial" w:hAnsi="Arial" w:cs="Arial"/>
          <w:b/>
          <w:bCs/>
          <w:sz w:val="22"/>
          <w:szCs w:val="22"/>
        </w:rPr>
        <w:t xml:space="preserve">3345.   Mr A G Whitfield (DA) to ask the Minister of Public Enterprises: </w:t>
      </w:r>
    </w:p>
    <w:p w:rsidR="00330E20" w:rsidRDefault="00330E20" w:rsidP="00330E20">
      <w:pPr>
        <w:spacing w:before="100" w:beforeAutospacing="1" w:after="100" w:afterAutospacing="1"/>
        <w:ind w:left="1440" w:hanging="720"/>
        <w:jc w:val="both"/>
        <w:rPr>
          <w:rFonts w:ascii="Arial" w:hAnsi="Arial" w:cs="Arial"/>
          <w:sz w:val="22"/>
          <w:szCs w:val="22"/>
        </w:rPr>
      </w:pPr>
      <w:r w:rsidRPr="00330E20">
        <w:rPr>
          <w:rFonts w:ascii="Arial" w:hAnsi="Arial" w:cs="Arial"/>
          <w:sz w:val="22"/>
          <w:szCs w:val="22"/>
        </w:rPr>
        <w:t>(1)       With reference to his reply to question 654 on 5 April 2022 regarding liquid bulk storage in the Port of Ngqura and the Port of Port Elizabeth, and regarding the joint Transnet and Coega Development Corporation (CDC) development of the liquid bulk facilities in Zone 5 of the Special Economic Zone, (a) what are the details of the parcel/parcels of land that were (i) identified and (ii) chosen for the development, (b) on which parcel of land is the development being constructed, (c) what was the total cost of all land purchased for the specified development and (d) by what date is it envisaged that the development will be completed and commissioned;</w:t>
      </w:r>
      <w:r>
        <w:rPr>
          <w:rFonts w:ascii="Arial" w:hAnsi="Arial" w:cs="Arial"/>
          <w:sz w:val="22"/>
          <w:szCs w:val="22"/>
        </w:rPr>
        <w:t xml:space="preserve"> </w:t>
      </w:r>
    </w:p>
    <w:p w:rsidR="00330E20" w:rsidRDefault="00330E20" w:rsidP="00330E20">
      <w:pPr>
        <w:spacing w:before="100" w:beforeAutospacing="1" w:after="100" w:afterAutospacing="1"/>
        <w:ind w:left="1440" w:hanging="731"/>
        <w:jc w:val="both"/>
        <w:rPr>
          <w:rFonts w:ascii="Arial" w:hAnsi="Arial" w:cs="Arial"/>
          <w:sz w:val="22"/>
          <w:szCs w:val="22"/>
        </w:rPr>
      </w:pPr>
      <w:r w:rsidRPr="00330E20">
        <w:rPr>
          <w:rFonts w:ascii="Arial" w:hAnsi="Arial" w:cs="Arial"/>
          <w:sz w:val="22"/>
          <w:szCs w:val="22"/>
        </w:rPr>
        <w:t>(2)  </w:t>
      </w:r>
      <w:r>
        <w:rPr>
          <w:rFonts w:ascii="Arial" w:hAnsi="Arial" w:cs="Arial"/>
          <w:sz w:val="22"/>
          <w:szCs w:val="22"/>
        </w:rPr>
        <w:tab/>
      </w:r>
      <w:r w:rsidRPr="00330E20">
        <w:rPr>
          <w:rFonts w:ascii="Arial" w:hAnsi="Arial" w:cs="Arial"/>
          <w:sz w:val="22"/>
          <w:szCs w:val="22"/>
        </w:rPr>
        <w:t xml:space="preserve">what is the status of the appeal of the termination notice issued by Transnet National Ports Authority to Astron Energy (Pty) Ltd, Engen Petroleum Ltd and Total Energies Marketing South Africa (Pty) Ltd (Oil Majors); </w:t>
      </w:r>
    </w:p>
    <w:p w:rsidR="00330E20" w:rsidRPr="00330E20" w:rsidRDefault="00330E20" w:rsidP="00330E20">
      <w:pPr>
        <w:spacing w:before="100" w:beforeAutospacing="1" w:after="100" w:afterAutospacing="1"/>
        <w:ind w:left="1440" w:hanging="720"/>
        <w:jc w:val="both"/>
        <w:rPr>
          <w:rFonts w:ascii="Arial" w:hAnsi="Arial" w:cs="Arial"/>
          <w:sz w:val="22"/>
          <w:szCs w:val="22"/>
        </w:rPr>
      </w:pPr>
      <w:r w:rsidRPr="00330E20">
        <w:rPr>
          <w:rFonts w:ascii="Arial" w:hAnsi="Arial" w:cs="Arial"/>
          <w:sz w:val="22"/>
          <w:szCs w:val="22"/>
        </w:rPr>
        <w:t>(3)  </w:t>
      </w:r>
      <w:r>
        <w:rPr>
          <w:rFonts w:ascii="Arial" w:hAnsi="Arial" w:cs="Arial"/>
          <w:sz w:val="22"/>
          <w:szCs w:val="22"/>
        </w:rPr>
        <w:tab/>
      </w:r>
      <w:r w:rsidRPr="00330E20">
        <w:rPr>
          <w:rFonts w:ascii="Arial" w:hAnsi="Arial" w:cs="Arial"/>
          <w:sz w:val="22"/>
          <w:szCs w:val="22"/>
        </w:rPr>
        <w:t xml:space="preserve">whether the specified appeal process has affected the schedule for transferring the facility to the Port of Ngqura; if not, what is the position in this regard; if so, what are the relevant details?            </w:t>
      </w:r>
      <w:r w:rsidRPr="00330E20">
        <w:rPr>
          <w:rFonts w:ascii="Arial" w:hAnsi="Arial" w:cs="Arial"/>
          <w:b/>
          <w:bCs/>
          <w:sz w:val="22"/>
          <w:szCs w:val="22"/>
        </w:rPr>
        <w:t>NW4150E</w:t>
      </w:r>
    </w:p>
    <w:p w:rsidR="000E00D0" w:rsidRDefault="000E00D0"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E4311A" w:rsidRDefault="00E4311A" w:rsidP="000E00D0">
      <w:pPr>
        <w:spacing w:before="100" w:beforeAutospacing="1" w:after="100" w:afterAutospacing="1"/>
        <w:contextualSpacing/>
        <w:jc w:val="both"/>
        <w:rPr>
          <w:rFonts w:ascii="Arial" w:hAnsi="Arial" w:cs="Arial"/>
          <w:b/>
          <w:bCs/>
          <w:sz w:val="22"/>
          <w:szCs w:val="22"/>
          <w:lang w:val="en-GB"/>
        </w:rPr>
      </w:pPr>
    </w:p>
    <w:p w:rsidR="001C7ED3" w:rsidRPr="003352D6" w:rsidRDefault="003352D6" w:rsidP="000E00D0">
      <w:pPr>
        <w:spacing w:before="100" w:beforeAutospacing="1" w:after="100" w:afterAutospacing="1"/>
        <w:contextualSpacing/>
        <w:jc w:val="both"/>
        <w:rPr>
          <w:rFonts w:ascii="Arial" w:hAnsi="Arial" w:cs="Arial"/>
          <w:b/>
          <w:bCs/>
          <w:u w:val="single"/>
          <w:lang w:val="en-GB"/>
        </w:rPr>
      </w:pPr>
      <w:r>
        <w:rPr>
          <w:rFonts w:ascii="Arial" w:hAnsi="Arial" w:cs="Arial"/>
          <w:b/>
          <w:bCs/>
          <w:sz w:val="22"/>
          <w:szCs w:val="22"/>
          <w:lang w:val="en-GB"/>
        </w:rPr>
        <w:br w:type="page"/>
      </w:r>
      <w:r w:rsidR="001C7ED3" w:rsidRPr="003352D6">
        <w:rPr>
          <w:rFonts w:ascii="Arial" w:hAnsi="Arial" w:cs="Arial"/>
          <w:b/>
          <w:bCs/>
          <w:u w:val="single"/>
          <w:lang w:val="en-GB"/>
        </w:rPr>
        <w:lastRenderedPageBreak/>
        <w:t xml:space="preserve">REPLY: </w:t>
      </w:r>
    </w:p>
    <w:p w:rsidR="00330E20" w:rsidRDefault="00330E20" w:rsidP="001C7ED3">
      <w:pPr>
        <w:spacing w:before="100" w:beforeAutospacing="1" w:after="100" w:afterAutospacing="1"/>
        <w:contextualSpacing/>
        <w:jc w:val="both"/>
        <w:rPr>
          <w:rFonts w:ascii="Arial" w:hAnsi="Arial" w:cs="Arial"/>
          <w:b/>
          <w:bCs/>
          <w:sz w:val="22"/>
          <w:szCs w:val="22"/>
          <w:lang w:val="en-GB"/>
        </w:rPr>
      </w:pPr>
    </w:p>
    <w:p w:rsidR="001C7ED3" w:rsidRPr="008456CB" w:rsidRDefault="001C7ED3" w:rsidP="00E4311A">
      <w:pPr>
        <w:spacing w:before="100" w:beforeAutospacing="1" w:after="100" w:afterAutospacing="1"/>
        <w:contextualSpacing/>
        <w:jc w:val="both"/>
        <w:rPr>
          <w:rFonts w:ascii="Arial" w:hAnsi="Arial" w:cs="Arial"/>
          <w:b/>
          <w:bCs/>
          <w:sz w:val="22"/>
          <w:szCs w:val="22"/>
          <w:lang w:val="en-GB"/>
        </w:rPr>
      </w:pPr>
      <w:r w:rsidRPr="008456CB">
        <w:rPr>
          <w:rFonts w:ascii="Arial" w:hAnsi="Arial" w:cs="Arial"/>
          <w:b/>
          <w:bCs/>
          <w:sz w:val="22"/>
          <w:szCs w:val="22"/>
          <w:lang w:val="en-GB"/>
        </w:rPr>
        <w:t xml:space="preserve">According to the information received from </w:t>
      </w:r>
      <w:r w:rsidR="00B14FAE" w:rsidRPr="008456CB">
        <w:rPr>
          <w:rFonts w:ascii="Arial" w:hAnsi="Arial" w:cs="Arial"/>
          <w:b/>
          <w:bCs/>
          <w:sz w:val="22"/>
          <w:szCs w:val="22"/>
          <w:lang w:val="en-GB"/>
        </w:rPr>
        <w:t>Transnet</w:t>
      </w:r>
    </w:p>
    <w:p w:rsidR="001C7ED3" w:rsidRPr="008456CB" w:rsidRDefault="001C7ED3" w:rsidP="00E4311A">
      <w:pPr>
        <w:spacing w:before="100" w:beforeAutospacing="1" w:after="100" w:afterAutospacing="1"/>
        <w:contextualSpacing/>
        <w:jc w:val="both"/>
        <w:rPr>
          <w:rFonts w:ascii="Arial" w:hAnsi="Arial" w:cs="Arial"/>
          <w:b/>
          <w:bCs/>
          <w:sz w:val="22"/>
          <w:szCs w:val="22"/>
          <w:lang w:val="en-GB"/>
        </w:rPr>
      </w:pPr>
    </w:p>
    <w:p w:rsidR="00E4311A" w:rsidRPr="00E4311A" w:rsidRDefault="00E4311A" w:rsidP="00E4311A">
      <w:pPr>
        <w:spacing w:before="100" w:beforeAutospacing="1" w:after="100" w:afterAutospacing="1" w:line="276" w:lineRule="auto"/>
        <w:jc w:val="both"/>
        <w:rPr>
          <w:rFonts w:ascii="Tahoma" w:hAnsi="Tahoma" w:cs="Tahoma"/>
          <w:sz w:val="22"/>
          <w:szCs w:val="22"/>
          <w:lang w:val="en-ZA"/>
        </w:rPr>
      </w:pPr>
      <w:r w:rsidRPr="00E4311A">
        <w:rPr>
          <w:rFonts w:ascii="Tahoma" w:hAnsi="Tahoma" w:cs="Tahoma"/>
          <w:b/>
          <w:bCs/>
          <w:sz w:val="22"/>
          <w:szCs w:val="22"/>
          <w:lang w:val="en-ZA"/>
        </w:rPr>
        <w:t>(1)</w:t>
      </w:r>
    </w:p>
    <w:p w:rsidR="00E4311A" w:rsidRPr="00E4311A" w:rsidRDefault="00E4311A" w:rsidP="00E4311A">
      <w:pPr>
        <w:numPr>
          <w:ilvl w:val="0"/>
          <w:numId w:val="39"/>
        </w:numPr>
        <w:spacing w:before="100" w:beforeAutospacing="1" w:after="100" w:afterAutospacing="1" w:line="276" w:lineRule="auto"/>
        <w:ind w:left="709" w:hanging="425"/>
        <w:contextualSpacing/>
        <w:jc w:val="both"/>
        <w:rPr>
          <w:rFonts w:ascii="Tahoma" w:hAnsi="Tahoma" w:cs="Tahoma"/>
          <w:sz w:val="22"/>
          <w:szCs w:val="22"/>
          <w:lang w:val="en-ZA" w:bidi="en-US"/>
        </w:rPr>
      </w:pPr>
      <w:r w:rsidRPr="00E4311A">
        <w:rPr>
          <w:rFonts w:ascii="Tahoma" w:hAnsi="Tahoma" w:cs="Tahoma"/>
          <w:sz w:val="22"/>
          <w:szCs w:val="22"/>
          <w:lang w:val="en-ZA" w:bidi="en-US"/>
        </w:rPr>
        <w:t>(i) - (ii)</w:t>
      </w:r>
      <w:r w:rsidRPr="00E4311A">
        <w:rPr>
          <w:rFonts w:ascii="Tahoma" w:hAnsi="Tahoma" w:cs="Tahoma"/>
          <w:sz w:val="22"/>
          <w:szCs w:val="22"/>
          <w:lang w:val="en-ZA" w:bidi="en-US"/>
        </w:rPr>
        <w:tab/>
        <w:t>The land that was identified and chosen for the development of the liquid bulk facility is Erf 312 in Zone 5 of the Coega SEZ, approximately 13 hectares.</w:t>
      </w:r>
    </w:p>
    <w:p w:rsidR="00E4311A" w:rsidRPr="00E4311A" w:rsidRDefault="00E4311A" w:rsidP="00E4311A">
      <w:pPr>
        <w:spacing w:before="100" w:beforeAutospacing="1" w:after="100" w:afterAutospacing="1" w:line="276" w:lineRule="auto"/>
        <w:ind w:left="644"/>
        <w:contextualSpacing/>
        <w:jc w:val="both"/>
        <w:rPr>
          <w:rFonts w:ascii="Tahoma" w:hAnsi="Tahoma" w:cs="Tahoma"/>
          <w:sz w:val="22"/>
          <w:szCs w:val="22"/>
          <w:lang w:val="en-ZA" w:bidi="en-US"/>
        </w:rPr>
      </w:pPr>
    </w:p>
    <w:p w:rsidR="00E4311A" w:rsidRPr="00E4311A" w:rsidRDefault="00E4311A" w:rsidP="00E4311A">
      <w:pPr>
        <w:numPr>
          <w:ilvl w:val="0"/>
          <w:numId w:val="39"/>
        </w:numPr>
        <w:spacing w:before="100" w:beforeAutospacing="1" w:after="100" w:afterAutospacing="1" w:line="276" w:lineRule="auto"/>
        <w:ind w:left="709" w:hanging="425"/>
        <w:contextualSpacing/>
        <w:jc w:val="both"/>
        <w:rPr>
          <w:rFonts w:ascii="Tahoma" w:hAnsi="Tahoma" w:cs="Tahoma"/>
          <w:sz w:val="22"/>
          <w:szCs w:val="22"/>
          <w:lang w:val="en-ZA" w:bidi="en-US"/>
        </w:rPr>
      </w:pPr>
      <w:r w:rsidRPr="00E4311A">
        <w:rPr>
          <w:rFonts w:ascii="Tahoma" w:hAnsi="Tahoma" w:cs="Tahoma"/>
          <w:sz w:val="22"/>
          <w:szCs w:val="22"/>
          <w:lang w:val="en-ZA" w:bidi="en-US"/>
        </w:rPr>
        <w:t xml:space="preserve">Transnet National Ports Authority (TNPA) has earmarked 20 hectares of land </w:t>
      </w:r>
      <w:r>
        <w:rPr>
          <w:rFonts w:ascii="Tahoma" w:hAnsi="Tahoma" w:cs="Tahoma"/>
          <w:sz w:val="22"/>
          <w:szCs w:val="22"/>
          <w:lang w:val="en-ZA" w:bidi="en-US"/>
        </w:rPr>
        <w:t xml:space="preserve"> </w:t>
      </w:r>
      <w:r w:rsidRPr="00E4311A">
        <w:rPr>
          <w:rFonts w:ascii="Tahoma" w:hAnsi="Tahoma" w:cs="Tahoma"/>
          <w:sz w:val="22"/>
          <w:szCs w:val="22"/>
          <w:lang w:val="en-ZA" w:bidi="en-US"/>
        </w:rPr>
        <w:t>within the Port of Ngqura for the development of the liquid bulk facility.</w:t>
      </w:r>
    </w:p>
    <w:p w:rsidR="00E4311A" w:rsidRPr="00E4311A" w:rsidRDefault="00E4311A" w:rsidP="00E4311A">
      <w:pPr>
        <w:spacing w:before="100" w:beforeAutospacing="1" w:after="100" w:afterAutospacing="1" w:line="276" w:lineRule="auto"/>
        <w:ind w:left="360"/>
        <w:contextualSpacing/>
        <w:jc w:val="both"/>
        <w:rPr>
          <w:rFonts w:ascii="Tahoma" w:hAnsi="Tahoma" w:cs="Tahoma"/>
          <w:sz w:val="22"/>
          <w:szCs w:val="22"/>
          <w:lang w:val="en-ZA" w:bidi="en-US"/>
        </w:rPr>
      </w:pPr>
    </w:p>
    <w:p w:rsidR="00E4311A" w:rsidRPr="00E4311A" w:rsidRDefault="00E4311A" w:rsidP="00E4311A">
      <w:pPr>
        <w:numPr>
          <w:ilvl w:val="0"/>
          <w:numId w:val="39"/>
        </w:numPr>
        <w:spacing w:before="100" w:beforeAutospacing="1" w:after="100" w:afterAutospacing="1" w:line="276" w:lineRule="auto"/>
        <w:ind w:left="709" w:hanging="425"/>
        <w:contextualSpacing/>
        <w:jc w:val="both"/>
        <w:rPr>
          <w:rFonts w:ascii="Tahoma" w:hAnsi="Tahoma" w:cs="Tahoma"/>
          <w:sz w:val="22"/>
          <w:szCs w:val="22"/>
          <w:lang w:val="en-ZA" w:bidi="en-US"/>
        </w:rPr>
      </w:pPr>
      <w:r w:rsidRPr="00E4311A">
        <w:rPr>
          <w:rFonts w:ascii="Tahoma" w:hAnsi="Tahoma" w:cs="Tahoma"/>
          <w:sz w:val="22"/>
          <w:szCs w:val="22"/>
          <w:lang w:val="en-ZA" w:bidi="en-US"/>
        </w:rPr>
        <w:t xml:space="preserve">TNPA has not purchased any piece of land outside the designated port limits of </w:t>
      </w:r>
      <w:r>
        <w:rPr>
          <w:rFonts w:ascii="Tahoma" w:hAnsi="Tahoma" w:cs="Tahoma"/>
          <w:sz w:val="22"/>
          <w:szCs w:val="22"/>
          <w:lang w:val="en-ZA" w:bidi="en-US"/>
        </w:rPr>
        <w:t xml:space="preserve"> </w:t>
      </w:r>
      <w:r w:rsidRPr="00E4311A">
        <w:rPr>
          <w:rFonts w:ascii="Tahoma" w:hAnsi="Tahoma" w:cs="Tahoma"/>
          <w:sz w:val="22"/>
          <w:szCs w:val="22"/>
          <w:lang w:val="en-ZA" w:bidi="en-US"/>
        </w:rPr>
        <w:t>the Port of Ngqura for the development of the liquid bulk facility.</w:t>
      </w:r>
    </w:p>
    <w:p w:rsidR="00E4311A" w:rsidRPr="00E4311A" w:rsidRDefault="00E4311A" w:rsidP="00E4311A">
      <w:pPr>
        <w:spacing w:after="200" w:line="276" w:lineRule="auto"/>
        <w:ind w:left="720"/>
        <w:contextualSpacing/>
        <w:jc w:val="both"/>
        <w:rPr>
          <w:rFonts w:ascii="Tahoma" w:hAnsi="Tahoma" w:cs="Tahoma"/>
          <w:sz w:val="22"/>
          <w:szCs w:val="22"/>
          <w:lang w:val="en-ZA" w:bidi="en-US"/>
        </w:rPr>
      </w:pPr>
    </w:p>
    <w:p w:rsidR="00E4311A" w:rsidRPr="00E4311A" w:rsidRDefault="00E4311A" w:rsidP="00E4311A">
      <w:pPr>
        <w:numPr>
          <w:ilvl w:val="0"/>
          <w:numId w:val="39"/>
        </w:numPr>
        <w:spacing w:before="100" w:beforeAutospacing="1" w:after="100" w:afterAutospacing="1" w:line="276" w:lineRule="auto"/>
        <w:ind w:left="709" w:hanging="425"/>
        <w:contextualSpacing/>
        <w:jc w:val="both"/>
        <w:rPr>
          <w:rFonts w:ascii="Tahoma" w:hAnsi="Tahoma" w:cs="Tahoma"/>
          <w:sz w:val="22"/>
          <w:szCs w:val="22"/>
          <w:lang w:val="en-ZA" w:bidi="en-US"/>
        </w:rPr>
      </w:pPr>
      <w:r w:rsidRPr="00E4311A">
        <w:rPr>
          <w:rFonts w:ascii="Tahoma" w:hAnsi="Tahoma" w:cs="Tahoma"/>
          <w:sz w:val="22"/>
          <w:szCs w:val="22"/>
          <w:lang w:val="en-ZA" w:bidi="en-US"/>
        </w:rPr>
        <w:t>TNPA envisages completion and commissioning of the Port of Ngqura Liquid Bulk site by December 2026.</w:t>
      </w:r>
    </w:p>
    <w:p w:rsidR="00E4311A" w:rsidRPr="00E4311A" w:rsidRDefault="00E4311A" w:rsidP="00E4311A">
      <w:pPr>
        <w:tabs>
          <w:tab w:val="left" w:pos="1125"/>
        </w:tabs>
        <w:spacing w:before="100" w:beforeAutospacing="1" w:after="100" w:afterAutospacing="1" w:line="276" w:lineRule="auto"/>
        <w:ind w:left="360"/>
        <w:contextualSpacing/>
        <w:jc w:val="both"/>
        <w:rPr>
          <w:rFonts w:ascii="Tahoma" w:hAnsi="Tahoma" w:cs="Tahoma"/>
          <w:sz w:val="22"/>
          <w:szCs w:val="22"/>
          <w:lang w:val="en-ZA" w:bidi="en-US"/>
        </w:rPr>
      </w:pPr>
    </w:p>
    <w:p w:rsidR="00E4311A" w:rsidRPr="00E4311A" w:rsidRDefault="00E4311A" w:rsidP="00E4311A">
      <w:pPr>
        <w:spacing w:before="100" w:beforeAutospacing="1" w:after="100" w:afterAutospacing="1" w:line="276" w:lineRule="auto"/>
        <w:jc w:val="both"/>
        <w:rPr>
          <w:rFonts w:ascii="Tahoma" w:hAnsi="Tahoma" w:cs="Tahoma"/>
          <w:b/>
          <w:bCs/>
          <w:sz w:val="22"/>
          <w:szCs w:val="22"/>
          <w:lang w:val="en-ZA"/>
        </w:rPr>
      </w:pPr>
      <w:r w:rsidRPr="00E4311A">
        <w:rPr>
          <w:rFonts w:ascii="Tahoma" w:hAnsi="Tahoma" w:cs="Tahoma"/>
          <w:b/>
          <w:bCs/>
          <w:sz w:val="22"/>
          <w:szCs w:val="22"/>
          <w:lang w:val="en-ZA"/>
        </w:rPr>
        <w:t>(2)</w:t>
      </w:r>
      <w:r w:rsidRPr="00E4311A">
        <w:rPr>
          <w:rFonts w:ascii="Tahoma" w:hAnsi="Tahoma" w:cs="Tahoma"/>
          <w:b/>
          <w:bCs/>
          <w:sz w:val="22"/>
          <w:szCs w:val="22"/>
          <w:lang w:val="en-ZA"/>
        </w:rPr>
        <w:tab/>
      </w:r>
    </w:p>
    <w:p w:rsidR="00E4311A" w:rsidRPr="00E4311A" w:rsidRDefault="00E4311A" w:rsidP="00E4311A">
      <w:pPr>
        <w:spacing w:before="100" w:beforeAutospacing="1" w:after="100" w:afterAutospacing="1" w:line="276" w:lineRule="auto"/>
        <w:ind w:left="709"/>
        <w:jc w:val="both"/>
        <w:rPr>
          <w:rFonts w:ascii="Tahoma" w:hAnsi="Tahoma" w:cs="Tahoma"/>
          <w:sz w:val="22"/>
          <w:szCs w:val="22"/>
          <w:lang w:val="en-ZA"/>
        </w:rPr>
      </w:pPr>
      <w:r w:rsidRPr="00E4311A">
        <w:rPr>
          <w:rFonts w:ascii="Tahoma" w:hAnsi="Tahoma" w:cs="Tahoma"/>
          <w:sz w:val="22"/>
          <w:szCs w:val="22"/>
          <w:lang w:val="en-ZA"/>
        </w:rPr>
        <w:t xml:space="preserve">The Ports Regulator (PRSA) issued its record of decision (ROD) in respect of the </w:t>
      </w:r>
      <w:r>
        <w:rPr>
          <w:rFonts w:ascii="Tahoma" w:hAnsi="Tahoma" w:cs="Tahoma"/>
          <w:sz w:val="22"/>
          <w:szCs w:val="22"/>
          <w:lang w:val="en-ZA"/>
        </w:rPr>
        <w:t xml:space="preserve"> </w:t>
      </w:r>
      <w:r w:rsidRPr="00E4311A">
        <w:rPr>
          <w:rFonts w:ascii="Tahoma" w:hAnsi="Tahoma" w:cs="Tahoma"/>
          <w:sz w:val="22"/>
          <w:szCs w:val="22"/>
          <w:lang w:val="en-ZA"/>
        </w:rPr>
        <w:t>appeal on 26 April 2022, in which it set aside TNPA’s decision to terminate the leases of Astron &amp; Others and found that their lease had not been terminated by effluxion of time on 30 April 2022.  TNPA advised the Oil Industry (Astron, Engen and Total) on 19 May 2022, that operations may continue as per the terms and conditions of the lease agreement and supplementary agreement.</w:t>
      </w:r>
    </w:p>
    <w:p w:rsidR="00E4311A" w:rsidRPr="00E4311A" w:rsidRDefault="00E4311A" w:rsidP="00E4311A">
      <w:pPr>
        <w:spacing w:before="100" w:beforeAutospacing="1" w:after="100" w:afterAutospacing="1" w:line="276" w:lineRule="auto"/>
        <w:contextualSpacing/>
        <w:jc w:val="both"/>
        <w:rPr>
          <w:rFonts w:ascii="Tahoma" w:hAnsi="Tahoma" w:cs="Tahoma"/>
          <w:sz w:val="22"/>
          <w:szCs w:val="22"/>
          <w:lang w:val="en-ZA" w:bidi="en-US"/>
        </w:rPr>
      </w:pPr>
      <w:r w:rsidRPr="00E4311A">
        <w:rPr>
          <w:rFonts w:ascii="Tahoma" w:hAnsi="Tahoma" w:cs="Tahoma"/>
          <w:b/>
          <w:bCs/>
          <w:sz w:val="22"/>
          <w:szCs w:val="22"/>
          <w:lang w:val="en-ZA" w:bidi="en-US"/>
        </w:rPr>
        <w:t>(3)</w:t>
      </w:r>
      <w:r w:rsidRPr="00E4311A">
        <w:rPr>
          <w:rFonts w:ascii="Tahoma" w:hAnsi="Tahoma" w:cs="Tahoma"/>
          <w:sz w:val="22"/>
          <w:szCs w:val="22"/>
          <w:lang w:val="en-ZA" w:bidi="en-US"/>
        </w:rPr>
        <w:tab/>
      </w:r>
    </w:p>
    <w:p w:rsidR="00E4311A" w:rsidRPr="00E4311A" w:rsidRDefault="00E4311A" w:rsidP="00E4311A">
      <w:pPr>
        <w:spacing w:before="100" w:beforeAutospacing="1" w:after="100" w:afterAutospacing="1" w:line="276" w:lineRule="auto"/>
        <w:ind w:left="709"/>
        <w:contextualSpacing/>
        <w:jc w:val="both"/>
        <w:rPr>
          <w:rFonts w:ascii="Tahoma" w:hAnsi="Tahoma" w:cs="Tahoma"/>
          <w:sz w:val="22"/>
          <w:szCs w:val="22"/>
          <w:lang w:val="en-ZA" w:bidi="en-US"/>
        </w:rPr>
      </w:pPr>
      <w:r w:rsidRPr="00E4311A">
        <w:rPr>
          <w:rFonts w:ascii="Tahoma" w:hAnsi="Tahoma" w:cs="Tahoma"/>
          <w:sz w:val="22"/>
          <w:szCs w:val="22"/>
          <w:lang w:val="en-ZA" w:bidi="en-US"/>
        </w:rPr>
        <w:t xml:space="preserve">The appeal process has not affected the commissioning of the site at the Port of Ngqura as the date of December 2026 was always an indicative date communicated to the stakeholders. </w:t>
      </w:r>
    </w:p>
    <w:p w:rsidR="00E4311A" w:rsidRPr="00E4311A" w:rsidRDefault="00E4311A" w:rsidP="00E4311A">
      <w:pPr>
        <w:spacing w:before="100" w:beforeAutospacing="1" w:after="100" w:afterAutospacing="1" w:line="276" w:lineRule="auto"/>
        <w:jc w:val="both"/>
        <w:rPr>
          <w:rFonts w:ascii="Tahoma" w:hAnsi="Tahoma" w:cs="Tahoma"/>
          <w:sz w:val="22"/>
          <w:szCs w:val="22"/>
          <w:lang w:val="en-ZA"/>
        </w:rPr>
      </w:pPr>
    </w:p>
    <w:sectPr w:rsidR="00E4311A" w:rsidRPr="00E4311A" w:rsidSect="0010594B">
      <w:headerReference w:type="default" r:id="rId9"/>
      <w:footerReference w:type="default" r:id="rId10"/>
      <w:pgSz w:w="12240" w:h="15840"/>
      <w:pgMar w:top="426"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816" w:rsidRDefault="00A67816" w:rsidP="002F7B6C">
      <w:r>
        <w:separator/>
      </w:r>
    </w:p>
  </w:endnote>
  <w:endnote w:type="continuationSeparator" w:id="0">
    <w:p w:rsidR="00A67816" w:rsidRDefault="00A6781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A6781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816" w:rsidRDefault="00A67816" w:rsidP="002F7B6C">
      <w:r>
        <w:separator/>
      </w:r>
    </w:p>
  </w:footnote>
  <w:footnote w:type="continuationSeparator" w:id="0">
    <w:p w:rsidR="00A67816" w:rsidRDefault="00A6781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1025"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next-textbox:#Rectangle 3;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48C0F7F"/>
    <w:multiLevelType w:val="hybridMultilevel"/>
    <w:tmpl w:val="489E4E62"/>
    <w:lvl w:ilvl="0" w:tplc="9F0280EC">
      <w:start w:val="1"/>
      <w:numFmt w:val="lowerLetter"/>
      <w:lvlText w:val="(%1)"/>
      <w:lvlJc w:val="left"/>
      <w:pPr>
        <w:ind w:left="1990" w:hanging="570"/>
      </w:pPr>
      <w:rPr>
        <w:rFonts w:hint="default"/>
      </w:rPr>
    </w:lvl>
    <w:lvl w:ilvl="1" w:tplc="1C090019" w:tentative="1">
      <w:start w:val="1"/>
      <w:numFmt w:val="lowerLetter"/>
      <w:lvlText w:val="%2."/>
      <w:lvlJc w:val="left"/>
      <w:pPr>
        <w:ind w:left="2500" w:hanging="360"/>
      </w:pPr>
    </w:lvl>
    <w:lvl w:ilvl="2" w:tplc="1C09001B" w:tentative="1">
      <w:start w:val="1"/>
      <w:numFmt w:val="lowerRoman"/>
      <w:lvlText w:val="%3."/>
      <w:lvlJc w:val="right"/>
      <w:pPr>
        <w:ind w:left="3220" w:hanging="180"/>
      </w:pPr>
    </w:lvl>
    <w:lvl w:ilvl="3" w:tplc="1C09000F" w:tentative="1">
      <w:start w:val="1"/>
      <w:numFmt w:val="decimal"/>
      <w:lvlText w:val="%4."/>
      <w:lvlJc w:val="left"/>
      <w:pPr>
        <w:ind w:left="3940" w:hanging="360"/>
      </w:pPr>
    </w:lvl>
    <w:lvl w:ilvl="4" w:tplc="1C090019" w:tentative="1">
      <w:start w:val="1"/>
      <w:numFmt w:val="lowerLetter"/>
      <w:lvlText w:val="%5."/>
      <w:lvlJc w:val="left"/>
      <w:pPr>
        <w:ind w:left="4660" w:hanging="360"/>
      </w:pPr>
    </w:lvl>
    <w:lvl w:ilvl="5" w:tplc="1C09001B" w:tentative="1">
      <w:start w:val="1"/>
      <w:numFmt w:val="lowerRoman"/>
      <w:lvlText w:val="%6."/>
      <w:lvlJc w:val="right"/>
      <w:pPr>
        <w:ind w:left="5380" w:hanging="180"/>
      </w:pPr>
    </w:lvl>
    <w:lvl w:ilvl="6" w:tplc="1C09000F" w:tentative="1">
      <w:start w:val="1"/>
      <w:numFmt w:val="decimal"/>
      <w:lvlText w:val="%7."/>
      <w:lvlJc w:val="left"/>
      <w:pPr>
        <w:ind w:left="6100" w:hanging="360"/>
      </w:pPr>
    </w:lvl>
    <w:lvl w:ilvl="7" w:tplc="1C090019" w:tentative="1">
      <w:start w:val="1"/>
      <w:numFmt w:val="lowerLetter"/>
      <w:lvlText w:val="%8."/>
      <w:lvlJc w:val="left"/>
      <w:pPr>
        <w:ind w:left="6820" w:hanging="360"/>
      </w:pPr>
    </w:lvl>
    <w:lvl w:ilvl="8" w:tplc="1C09001B" w:tentative="1">
      <w:start w:val="1"/>
      <w:numFmt w:val="lowerRoman"/>
      <w:lvlText w:val="%9."/>
      <w:lvlJc w:val="right"/>
      <w:pPr>
        <w:ind w:left="7540" w:hanging="180"/>
      </w:pPr>
    </w:lvl>
  </w:abstractNum>
  <w:abstractNum w:abstractNumId="2">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5">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6C0BDF"/>
    <w:multiLevelType w:val="hybridMultilevel"/>
    <w:tmpl w:val="B54C9550"/>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8">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
    <w:nsid w:val="1CFC1C7D"/>
    <w:multiLevelType w:val="hybridMultilevel"/>
    <w:tmpl w:val="9C2E197C"/>
    <w:lvl w:ilvl="0" w:tplc="DE6A4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5F0158A"/>
    <w:multiLevelType w:val="hybridMultilevel"/>
    <w:tmpl w:val="0728C502"/>
    <w:lvl w:ilvl="0" w:tplc="6B1A4CBA">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nsid w:val="26E42389"/>
    <w:multiLevelType w:val="hybridMultilevel"/>
    <w:tmpl w:val="555E66D0"/>
    <w:lvl w:ilvl="0" w:tplc="782CB54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7">
    <w:nsid w:val="29B07154"/>
    <w:multiLevelType w:val="hybridMultilevel"/>
    <w:tmpl w:val="DD022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CC239D4"/>
    <w:multiLevelType w:val="hybridMultilevel"/>
    <w:tmpl w:val="D5222E8A"/>
    <w:lvl w:ilvl="0" w:tplc="894EF2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8">
    <w:nsid w:val="472C3241"/>
    <w:multiLevelType w:val="hybridMultilevel"/>
    <w:tmpl w:val="DEE80D78"/>
    <w:lvl w:ilvl="0" w:tplc="7F5664C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D32E95"/>
    <w:multiLevelType w:val="hybridMultilevel"/>
    <w:tmpl w:val="9F92542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8746D19"/>
    <w:multiLevelType w:val="hybridMultilevel"/>
    <w:tmpl w:val="72B8909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35">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8">
    <w:nsid w:val="7FD14B27"/>
    <w:multiLevelType w:val="hybridMultilevel"/>
    <w:tmpl w:val="6214F28E"/>
    <w:lvl w:ilvl="0" w:tplc="DA6C1F6C">
      <w:start w:val="1"/>
      <w:numFmt w:val="lowerLetter"/>
      <w:lvlText w:val="%1)"/>
      <w:lvlJc w:val="left"/>
      <w:pPr>
        <w:ind w:left="644" w:hanging="360"/>
      </w:pPr>
      <w:rPr>
        <w:i w:val="0"/>
        <w:iCs w:val="0"/>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29"/>
  </w:num>
  <w:num w:numId="2">
    <w:abstractNumId w:val="12"/>
  </w:num>
  <w:num w:numId="3">
    <w:abstractNumId w:val="24"/>
  </w:num>
  <w:num w:numId="4">
    <w:abstractNumId w:val="35"/>
  </w:num>
  <w:num w:numId="5">
    <w:abstractNumId w:val="4"/>
  </w:num>
  <w:num w:numId="6">
    <w:abstractNumId w:val="10"/>
  </w:num>
  <w:num w:numId="7">
    <w:abstractNumId w:val="5"/>
  </w:num>
  <w:num w:numId="8">
    <w:abstractNumId w:val="16"/>
    <w:lvlOverride w:ilvl="0"/>
    <w:lvlOverride w:ilvl="1"/>
    <w:lvlOverride w:ilvl="2"/>
    <w:lvlOverride w:ilvl="3"/>
    <w:lvlOverride w:ilvl="4"/>
    <w:lvlOverride w:ilvl="5"/>
    <w:lvlOverride w:ilvl="6"/>
    <w:lvlOverride w:ilvl="7"/>
    <w:lvlOverride w:ilvl="8"/>
  </w:num>
  <w:num w:numId="9">
    <w:abstractNumId w:val="21"/>
  </w:num>
  <w:num w:numId="10">
    <w:abstractNumId w:val="2"/>
  </w:num>
  <w:num w:numId="11">
    <w:abstractNumId w:val="26"/>
  </w:num>
  <w:num w:numId="12">
    <w:abstractNumId w:val="34"/>
  </w:num>
  <w:num w:numId="13">
    <w:abstractNumId w:val="0"/>
  </w:num>
  <w:num w:numId="14">
    <w:abstractNumId w:val="37"/>
  </w:num>
  <w:num w:numId="15">
    <w:abstractNumId w:val="18"/>
  </w:num>
  <w:num w:numId="16">
    <w:abstractNumId w:val="36"/>
  </w:num>
  <w:num w:numId="17">
    <w:abstractNumId w:val="9"/>
  </w:num>
  <w:num w:numId="18">
    <w:abstractNumId w:val="22"/>
  </w:num>
  <w:num w:numId="19">
    <w:abstractNumId w:val="7"/>
  </w:num>
  <w:num w:numId="20">
    <w:abstractNumId w:val="27"/>
  </w:num>
  <w:num w:numId="21">
    <w:abstractNumId w:val="13"/>
  </w:num>
  <w:num w:numId="22">
    <w:abstractNumId w:val="8"/>
  </w:num>
  <w:num w:numId="23">
    <w:abstractNumId w:val="23"/>
  </w:num>
  <w:num w:numId="24">
    <w:abstractNumId w:val="20"/>
  </w:num>
  <w:num w:numId="25">
    <w:abstractNumId w:val="25"/>
  </w:num>
  <w:num w:numId="26">
    <w:abstractNumId w:val="31"/>
  </w:num>
  <w:num w:numId="27">
    <w:abstractNumId w:val="30"/>
  </w:num>
  <w:num w:numId="28">
    <w:abstractNumId w:val="3"/>
  </w:num>
  <w:num w:numId="29">
    <w:abstractNumId w:val="11"/>
  </w:num>
  <w:num w:numId="30">
    <w:abstractNumId w:val="15"/>
  </w:num>
  <w:num w:numId="31">
    <w:abstractNumId w:val="14"/>
  </w:num>
  <w:num w:numId="32">
    <w:abstractNumId w:val="28"/>
  </w:num>
  <w:num w:numId="33">
    <w:abstractNumId w:val="17"/>
  </w:num>
  <w:num w:numId="34">
    <w:abstractNumId w:val="1"/>
  </w:num>
  <w:num w:numId="35">
    <w:abstractNumId w:val="6"/>
  </w:num>
  <w:num w:numId="36">
    <w:abstractNumId w:val="32"/>
  </w:num>
  <w:num w:numId="37">
    <w:abstractNumId w:val="19"/>
  </w:num>
  <w:num w:numId="38">
    <w:abstractNumId w:val="33"/>
  </w:num>
  <w:num w:numId="39">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rsids>
    <w:rsidRoot w:val="00FF3EC8"/>
    <w:rsid w:val="000024B4"/>
    <w:rsid w:val="000031F6"/>
    <w:rsid w:val="000055E3"/>
    <w:rsid w:val="000071C7"/>
    <w:rsid w:val="00024EE1"/>
    <w:rsid w:val="000263F3"/>
    <w:rsid w:val="00026896"/>
    <w:rsid w:val="00026961"/>
    <w:rsid w:val="00026AAA"/>
    <w:rsid w:val="000317FC"/>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00D0"/>
    <w:rsid w:val="000E13FF"/>
    <w:rsid w:val="000E5477"/>
    <w:rsid w:val="000F124A"/>
    <w:rsid w:val="000F170E"/>
    <w:rsid w:val="000F4733"/>
    <w:rsid w:val="000F4C3B"/>
    <w:rsid w:val="0010539F"/>
    <w:rsid w:val="0010594B"/>
    <w:rsid w:val="00121003"/>
    <w:rsid w:val="00122AAE"/>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B0416"/>
    <w:rsid w:val="001B58A0"/>
    <w:rsid w:val="001C669D"/>
    <w:rsid w:val="001C7ED3"/>
    <w:rsid w:val="001D6636"/>
    <w:rsid w:val="001D6AD9"/>
    <w:rsid w:val="001D6F1B"/>
    <w:rsid w:val="001E36FF"/>
    <w:rsid w:val="001E7B49"/>
    <w:rsid w:val="001F68BA"/>
    <w:rsid w:val="002015D5"/>
    <w:rsid w:val="00202E8D"/>
    <w:rsid w:val="00204BA5"/>
    <w:rsid w:val="00205793"/>
    <w:rsid w:val="00206113"/>
    <w:rsid w:val="002102C5"/>
    <w:rsid w:val="00210F1F"/>
    <w:rsid w:val="00226482"/>
    <w:rsid w:val="00231713"/>
    <w:rsid w:val="00244787"/>
    <w:rsid w:val="00251886"/>
    <w:rsid w:val="00253EEE"/>
    <w:rsid w:val="002558F8"/>
    <w:rsid w:val="00262CCB"/>
    <w:rsid w:val="00267541"/>
    <w:rsid w:val="00273A5D"/>
    <w:rsid w:val="002860E0"/>
    <w:rsid w:val="002862D5"/>
    <w:rsid w:val="002945C8"/>
    <w:rsid w:val="00295F51"/>
    <w:rsid w:val="00296013"/>
    <w:rsid w:val="002A2992"/>
    <w:rsid w:val="002B2647"/>
    <w:rsid w:val="002B531F"/>
    <w:rsid w:val="002B6424"/>
    <w:rsid w:val="002C183F"/>
    <w:rsid w:val="002C219A"/>
    <w:rsid w:val="002C356F"/>
    <w:rsid w:val="002D7454"/>
    <w:rsid w:val="002D76D8"/>
    <w:rsid w:val="002E237E"/>
    <w:rsid w:val="002E2DEB"/>
    <w:rsid w:val="002F564A"/>
    <w:rsid w:val="002F6C2D"/>
    <w:rsid w:val="002F7B6C"/>
    <w:rsid w:val="003022B2"/>
    <w:rsid w:val="00304836"/>
    <w:rsid w:val="00304D24"/>
    <w:rsid w:val="00304F4F"/>
    <w:rsid w:val="00325DF3"/>
    <w:rsid w:val="00326FA6"/>
    <w:rsid w:val="00330E20"/>
    <w:rsid w:val="003352D6"/>
    <w:rsid w:val="00335B3C"/>
    <w:rsid w:val="00344369"/>
    <w:rsid w:val="003502E6"/>
    <w:rsid w:val="00354519"/>
    <w:rsid w:val="0036093B"/>
    <w:rsid w:val="00374122"/>
    <w:rsid w:val="00375892"/>
    <w:rsid w:val="0037677D"/>
    <w:rsid w:val="003828D9"/>
    <w:rsid w:val="003866BD"/>
    <w:rsid w:val="0039441D"/>
    <w:rsid w:val="00396DB0"/>
    <w:rsid w:val="00397F90"/>
    <w:rsid w:val="003A0568"/>
    <w:rsid w:val="003A4B1E"/>
    <w:rsid w:val="003A7F30"/>
    <w:rsid w:val="003B2AF3"/>
    <w:rsid w:val="003C5AF0"/>
    <w:rsid w:val="003E19BD"/>
    <w:rsid w:val="003E461F"/>
    <w:rsid w:val="003E4CFD"/>
    <w:rsid w:val="003E7544"/>
    <w:rsid w:val="003F04C2"/>
    <w:rsid w:val="00413F67"/>
    <w:rsid w:val="0041415F"/>
    <w:rsid w:val="004278AA"/>
    <w:rsid w:val="00470635"/>
    <w:rsid w:val="004800DB"/>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0E6B"/>
    <w:rsid w:val="005370A8"/>
    <w:rsid w:val="00541DDC"/>
    <w:rsid w:val="00543405"/>
    <w:rsid w:val="00543F78"/>
    <w:rsid w:val="0054476C"/>
    <w:rsid w:val="00550D7F"/>
    <w:rsid w:val="005520BD"/>
    <w:rsid w:val="00557E9E"/>
    <w:rsid w:val="00560601"/>
    <w:rsid w:val="0056096E"/>
    <w:rsid w:val="0056583B"/>
    <w:rsid w:val="00572202"/>
    <w:rsid w:val="00582A8C"/>
    <w:rsid w:val="00584888"/>
    <w:rsid w:val="005933BE"/>
    <w:rsid w:val="005A234A"/>
    <w:rsid w:val="005A3B67"/>
    <w:rsid w:val="005A49C8"/>
    <w:rsid w:val="005B2072"/>
    <w:rsid w:val="005B5054"/>
    <w:rsid w:val="005C2BD3"/>
    <w:rsid w:val="005C3BE9"/>
    <w:rsid w:val="005D4452"/>
    <w:rsid w:val="005E232A"/>
    <w:rsid w:val="005E7B46"/>
    <w:rsid w:val="005F76BB"/>
    <w:rsid w:val="00600858"/>
    <w:rsid w:val="00603398"/>
    <w:rsid w:val="006137C4"/>
    <w:rsid w:val="00617391"/>
    <w:rsid w:val="00623873"/>
    <w:rsid w:val="00623EE4"/>
    <w:rsid w:val="00624EDA"/>
    <w:rsid w:val="00625714"/>
    <w:rsid w:val="006257B1"/>
    <w:rsid w:val="00625BA5"/>
    <w:rsid w:val="00632C36"/>
    <w:rsid w:val="00634841"/>
    <w:rsid w:val="006522AE"/>
    <w:rsid w:val="00664EC3"/>
    <w:rsid w:val="0067175D"/>
    <w:rsid w:val="00674548"/>
    <w:rsid w:val="00683DF1"/>
    <w:rsid w:val="006849EA"/>
    <w:rsid w:val="006852FD"/>
    <w:rsid w:val="00691516"/>
    <w:rsid w:val="00692C78"/>
    <w:rsid w:val="00693729"/>
    <w:rsid w:val="006B1324"/>
    <w:rsid w:val="006B1B03"/>
    <w:rsid w:val="006B6CAA"/>
    <w:rsid w:val="006C24C3"/>
    <w:rsid w:val="006C3A71"/>
    <w:rsid w:val="006C5F8F"/>
    <w:rsid w:val="006C630D"/>
    <w:rsid w:val="006C63EE"/>
    <w:rsid w:val="006C7F97"/>
    <w:rsid w:val="006E0341"/>
    <w:rsid w:val="006E20A8"/>
    <w:rsid w:val="006E7A51"/>
    <w:rsid w:val="006F1A16"/>
    <w:rsid w:val="006F5707"/>
    <w:rsid w:val="007036C6"/>
    <w:rsid w:val="00705C70"/>
    <w:rsid w:val="007113A7"/>
    <w:rsid w:val="00712883"/>
    <w:rsid w:val="00716850"/>
    <w:rsid w:val="007252FF"/>
    <w:rsid w:val="00730319"/>
    <w:rsid w:val="00736012"/>
    <w:rsid w:val="007409DE"/>
    <w:rsid w:val="00742BC6"/>
    <w:rsid w:val="007442C7"/>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B70FF"/>
    <w:rsid w:val="007C1F04"/>
    <w:rsid w:val="007C3EA6"/>
    <w:rsid w:val="007C59C4"/>
    <w:rsid w:val="007D1E28"/>
    <w:rsid w:val="007D3B93"/>
    <w:rsid w:val="007D51A4"/>
    <w:rsid w:val="007D5303"/>
    <w:rsid w:val="007D6A34"/>
    <w:rsid w:val="007E23B1"/>
    <w:rsid w:val="007E303E"/>
    <w:rsid w:val="007E3740"/>
    <w:rsid w:val="007E573D"/>
    <w:rsid w:val="007E662D"/>
    <w:rsid w:val="007F0224"/>
    <w:rsid w:val="007F06CF"/>
    <w:rsid w:val="007F5018"/>
    <w:rsid w:val="0082242B"/>
    <w:rsid w:val="008238B2"/>
    <w:rsid w:val="00836F90"/>
    <w:rsid w:val="008419F3"/>
    <w:rsid w:val="00841E05"/>
    <w:rsid w:val="00843604"/>
    <w:rsid w:val="008456CB"/>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A7595"/>
    <w:rsid w:val="008B2466"/>
    <w:rsid w:val="008C2252"/>
    <w:rsid w:val="008E0C4E"/>
    <w:rsid w:val="008E500D"/>
    <w:rsid w:val="008F248D"/>
    <w:rsid w:val="008F31BE"/>
    <w:rsid w:val="008F4E54"/>
    <w:rsid w:val="008F696B"/>
    <w:rsid w:val="00900509"/>
    <w:rsid w:val="009041E1"/>
    <w:rsid w:val="009161B3"/>
    <w:rsid w:val="0091753E"/>
    <w:rsid w:val="00933A9C"/>
    <w:rsid w:val="00942E03"/>
    <w:rsid w:val="00945889"/>
    <w:rsid w:val="00951EED"/>
    <w:rsid w:val="0095679D"/>
    <w:rsid w:val="00956CC7"/>
    <w:rsid w:val="0096252F"/>
    <w:rsid w:val="00983134"/>
    <w:rsid w:val="00983745"/>
    <w:rsid w:val="00991F0B"/>
    <w:rsid w:val="009938E4"/>
    <w:rsid w:val="009A387F"/>
    <w:rsid w:val="009A4DD5"/>
    <w:rsid w:val="009A5F5C"/>
    <w:rsid w:val="009B2126"/>
    <w:rsid w:val="009B3AFC"/>
    <w:rsid w:val="009B590B"/>
    <w:rsid w:val="009B6042"/>
    <w:rsid w:val="009C3787"/>
    <w:rsid w:val="009D0942"/>
    <w:rsid w:val="009D3ED9"/>
    <w:rsid w:val="009D5573"/>
    <w:rsid w:val="009E1D05"/>
    <w:rsid w:val="009E4929"/>
    <w:rsid w:val="009E59D3"/>
    <w:rsid w:val="009F194B"/>
    <w:rsid w:val="009F3EC6"/>
    <w:rsid w:val="009F5322"/>
    <w:rsid w:val="009F665B"/>
    <w:rsid w:val="009F6CDC"/>
    <w:rsid w:val="00A10673"/>
    <w:rsid w:val="00A13546"/>
    <w:rsid w:val="00A1552C"/>
    <w:rsid w:val="00A17BE7"/>
    <w:rsid w:val="00A21EC8"/>
    <w:rsid w:val="00A22CA5"/>
    <w:rsid w:val="00A46FB4"/>
    <w:rsid w:val="00A51A6A"/>
    <w:rsid w:val="00A61DC4"/>
    <w:rsid w:val="00A63EEE"/>
    <w:rsid w:val="00A675CD"/>
    <w:rsid w:val="00A67816"/>
    <w:rsid w:val="00A71193"/>
    <w:rsid w:val="00A82983"/>
    <w:rsid w:val="00A84045"/>
    <w:rsid w:val="00A8598F"/>
    <w:rsid w:val="00A940D5"/>
    <w:rsid w:val="00A96A47"/>
    <w:rsid w:val="00AA2FC2"/>
    <w:rsid w:val="00AB1C3D"/>
    <w:rsid w:val="00AC40F3"/>
    <w:rsid w:val="00AD0E82"/>
    <w:rsid w:val="00AD1830"/>
    <w:rsid w:val="00AE041D"/>
    <w:rsid w:val="00AE23DC"/>
    <w:rsid w:val="00AF2A21"/>
    <w:rsid w:val="00B06002"/>
    <w:rsid w:val="00B069C5"/>
    <w:rsid w:val="00B14FAE"/>
    <w:rsid w:val="00B21B4E"/>
    <w:rsid w:val="00B35F26"/>
    <w:rsid w:val="00B4224B"/>
    <w:rsid w:val="00B42BFD"/>
    <w:rsid w:val="00B42E54"/>
    <w:rsid w:val="00B51DFB"/>
    <w:rsid w:val="00B52D1A"/>
    <w:rsid w:val="00B56CE3"/>
    <w:rsid w:val="00B62C80"/>
    <w:rsid w:val="00B63447"/>
    <w:rsid w:val="00B64C51"/>
    <w:rsid w:val="00B65996"/>
    <w:rsid w:val="00B84C5C"/>
    <w:rsid w:val="00B91B50"/>
    <w:rsid w:val="00B922F3"/>
    <w:rsid w:val="00B95022"/>
    <w:rsid w:val="00B96D35"/>
    <w:rsid w:val="00B977DB"/>
    <w:rsid w:val="00BB6FC7"/>
    <w:rsid w:val="00BC2946"/>
    <w:rsid w:val="00BC3AD3"/>
    <w:rsid w:val="00BC451E"/>
    <w:rsid w:val="00BD652C"/>
    <w:rsid w:val="00BE2C89"/>
    <w:rsid w:val="00C029B3"/>
    <w:rsid w:val="00C02B81"/>
    <w:rsid w:val="00C05B52"/>
    <w:rsid w:val="00C163FA"/>
    <w:rsid w:val="00C245DA"/>
    <w:rsid w:val="00C33AC7"/>
    <w:rsid w:val="00C35B67"/>
    <w:rsid w:val="00C35C85"/>
    <w:rsid w:val="00C36C5A"/>
    <w:rsid w:val="00C37C01"/>
    <w:rsid w:val="00C4131E"/>
    <w:rsid w:val="00C441BB"/>
    <w:rsid w:val="00C61678"/>
    <w:rsid w:val="00C65A5F"/>
    <w:rsid w:val="00C673A6"/>
    <w:rsid w:val="00C9463B"/>
    <w:rsid w:val="00C95BA0"/>
    <w:rsid w:val="00CA452F"/>
    <w:rsid w:val="00CA6A34"/>
    <w:rsid w:val="00CB5861"/>
    <w:rsid w:val="00CB5C46"/>
    <w:rsid w:val="00CB74D7"/>
    <w:rsid w:val="00CD4D08"/>
    <w:rsid w:val="00CE514E"/>
    <w:rsid w:val="00CE6D28"/>
    <w:rsid w:val="00CF5106"/>
    <w:rsid w:val="00CF5D4B"/>
    <w:rsid w:val="00D042B8"/>
    <w:rsid w:val="00D25ED9"/>
    <w:rsid w:val="00D26A42"/>
    <w:rsid w:val="00D301BD"/>
    <w:rsid w:val="00D37BD8"/>
    <w:rsid w:val="00D4715B"/>
    <w:rsid w:val="00D52281"/>
    <w:rsid w:val="00D71D6C"/>
    <w:rsid w:val="00D72332"/>
    <w:rsid w:val="00D72B16"/>
    <w:rsid w:val="00D80097"/>
    <w:rsid w:val="00D805A3"/>
    <w:rsid w:val="00D81CD0"/>
    <w:rsid w:val="00D83CA4"/>
    <w:rsid w:val="00D960C4"/>
    <w:rsid w:val="00D96FE7"/>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F0B46"/>
    <w:rsid w:val="00DF3849"/>
    <w:rsid w:val="00DF5BDD"/>
    <w:rsid w:val="00DF5F61"/>
    <w:rsid w:val="00E022FD"/>
    <w:rsid w:val="00E14DE5"/>
    <w:rsid w:val="00E21D6C"/>
    <w:rsid w:val="00E21F77"/>
    <w:rsid w:val="00E25619"/>
    <w:rsid w:val="00E26164"/>
    <w:rsid w:val="00E30CC9"/>
    <w:rsid w:val="00E31A64"/>
    <w:rsid w:val="00E34EC5"/>
    <w:rsid w:val="00E40B7E"/>
    <w:rsid w:val="00E418EB"/>
    <w:rsid w:val="00E4311A"/>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04381"/>
    <w:rsid w:val="00F2398F"/>
    <w:rsid w:val="00F24B6C"/>
    <w:rsid w:val="00F33528"/>
    <w:rsid w:val="00F34C6E"/>
    <w:rsid w:val="00F436E9"/>
    <w:rsid w:val="00F544FA"/>
    <w:rsid w:val="00F63F7B"/>
    <w:rsid w:val="00F71ABA"/>
    <w:rsid w:val="00F75E08"/>
    <w:rsid w:val="00F75EA0"/>
    <w:rsid w:val="00F7678F"/>
    <w:rsid w:val="00F80BD9"/>
    <w:rsid w:val="00F82E66"/>
    <w:rsid w:val="00F95A04"/>
    <w:rsid w:val="00F968DE"/>
    <w:rsid w:val="00FA390F"/>
    <w:rsid w:val="00FA4243"/>
    <w:rsid w:val="00FC103B"/>
    <w:rsid w:val="00FE471E"/>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 w:type="paragraph" w:customStyle="1" w:styleId="Default">
    <w:name w:val="Default"/>
    <w:link w:val="DefaultChar"/>
    <w:rsid w:val="00122AAE"/>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122AAE"/>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446856001">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731538254">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965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13D8-A581-4304-BCEA-DFC716DC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2022-10-07T10:22:00Z</cp:lastPrinted>
  <dcterms:created xsi:type="dcterms:W3CDTF">2022-11-07T12:40:00Z</dcterms:created>
  <dcterms:modified xsi:type="dcterms:W3CDTF">2022-11-07T12:40:00Z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00000000ABA0F881FC66C64B80CB458AD208EE3F44812700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