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C8" w:rsidRPr="009C78E8" w:rsidRDefault="00DA1AC8" w:rsidP="00DA1AC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5826063D" wp14:editId="45CA42ED">
            <wp:simplePos x="0" y="0"/>
            <wp:positionH relativeFrom="margin">
              <wp:posOffset>1203960</wp:posOffset>
            </wp:positionH>
            <wp:positionV relativeFrom="margin">
              <wp:posOffset>346710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DA1AC8" w:rsidRPr="009C78E8" w:rsidRDefault="00DA1AC8" w:rsidP="00DA1AC8">
      <w:pPr>
        <w:spacing w:after="0" w:line="240" w:lineRule="auto"/>
        <w:jc w:val="center"/>
        <w:rPr>
          <w:b/>
          <w:sz w:val="24"/>
          <w:szCs w:val="24"/>
        </w:rPr>
      </w:pPr>
    </w:p>
    <w:p w:rsidR="00DA1AC8" w:rsidRPr="009C78E8" w:rsidRDefault="00DA1AC8" w:rsidP="00DA1AC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DA1AC8" w:rsidRPr="009C78E8" w:rsidRDefault="00DA1AC8" w:rsidP="00DA1AC8">
      <w:pPr>
        <w:spacing w:after="0" w:line="240" w:lineRule="auto"/>
        <w:jc w:val="center"/>
        <w:rPr>
          <w:b/>
          <w:sz w:val="24"/>
          <w:szCs w:val="24"/>
        </w:rPr>
      </w:pPr>
    </w:p>
    <w:p w:rsidR="00DA1AC8" w:rsidRPr="009C78E8" w:rsidRDefault="00DA1AC8" w:rsidP="00DA1AC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3345</w:t>
      </w:r>
      <w:r w:rsidRPr="009C78E8">
        <w:rPr>
          <w:b/>
          <w:sz w:val="24"/>
          <w:szCs w:val="24"/>
        </w:rPr>
        <w:t xml:space="preserve"> / NW</w:t>
      </w:r>
      <w:r>
        <w:rPr>
          <w:b/>
          <w:sz w:val="24"/>
          <w:szCs w:val="24"/>
        </w:rPr>
        <w:t>3826</w:t>
      </w:r>
      <w:r w:rsidRPr="009C78E8">
        <w:rPr>
          <w:b/>
          <w:sz w:val="24"/>
          <w:szCs w:val="24"/>
        </w:rPr>
        <w:t>E</w:t>
      </w:r>
      <w:r w:rsidRPr="009C78E8">
        <w:rPr>
          <w:b/>
          <w:sz w:val="24"/>
          <w:szCs w:val="24"/>
        </w:rPr>
        <w:tab/>
      </w:r>
    </w:p>
    <w:p w:rsidR="00DA1AC8" w:rsidRPr="009C78E8" w:rsidRDefault="00DA1AC8" w:rsidP="00DA1AC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A1AC8" w:rsidRPr="009C78E8" w:rsidRDefault="00DA1AC8" w:rsidP="00DA1AC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DA1AC8" w:rsidRPr="00DA1AC8" w:rsidRDefault="00DA1AC8" w:rsidP="00DA1AC8">
      <w:pPr>
        <w:spacing w:before="100" w:beforeAutospacing="1" w:after="100" w:afterAutospacing="1"/>
        <w:ind w:left="720" w:hanging="720"/>
        <w:jc w:val="center"/>
        <w:rPr>
          <w:b/>
          <w:bCs/>
          <w:sz w:val="24"/>
          <w:szCs w:val="24"/>
        </w:rPr>
      </w:pPr>
      <w:r w:rsidRPr="00DA1AC8">
        <w:rPr>
          <w:b/>
          <w:bCs/>
          <w:sz w:val="24"/>
          <w:szCs w:val="24"/>
        </w:rPr>
        <w:t xml:space="preserve">Mr W M </w:t>
      </w:r>
      <w:proofErr w:type="spellStart"/>
      <w:r w:rsidRPr="00DA1AC8">
        <w:rPr>
          <w:b/>
          <w:bCs/>
          <w:sz w:val="24"/>
          <w:szCs w:val="24"/>
        </w:rPr>
        <w:t>Madisha</w:t>
      </w:r>
      <w:proofErr w:type="spellEnd"/>
      <w:r w:rsidRPr="00DA1AC8">
        <w:rPr>
          <w:b/>
          <w:bCs/>
          <w:sz w:val="24"/>
          <w:szCs w:val="24"/>
        </w:rPr>
        <w:t xml:space="preserve"> (Cope) to ask the Minister of Agriculture, Forestry and Fisheries:</w:t>
      </w:r>
    </w:p>
    <w:p w:rsidR="00DA1AC8" w:rsidRPr="00E008F2" w:rsidRDefault="00DA1AC8" w:rsidP="00DA1AC8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008F2">
        <w:rPr>
          <w:b/>
          <w:bCs/>
          <w:caps/>
          <w:sz w:val="22"/>
          <w:szCs w:val="22"/>
          <w:u w:val="single"/>
        </w:rPr>
        <w:t>QUESTION:</w:t>
      </w:r>
    </w:p>
    <w:p w:rsidR="00DA1AC8" w:rsidRPr="00DA1AC8" w:rsidRDefault="00DA1AC8" w:rsidP="00DA1AC8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DA1AC8">
        <w:rPr>
          <w:color w:val="000000"/>
          <w:sz w:val="22"/>
          <w:szCs w:val="22"/>
        </w:rPr>
        <w:t>What (a) is the quantum of irregular, unlawful and wasteful expenditure incurred by (</w:t>
      </w:r>
      <w:proofErr w:type="spellStart"/>
      <w:r w:rsidRPr="00DA1AC8">
        <w:rPr>
          <w:color w:val="000000"/>
          <w:sz w:val="22"/>
          <w:szCs w:val="22"/>
        </w:rPr>
        <w:t>i</w:t>
      </w:r>
      <w:proofErr w:type="spellEnd"/>
      <w:r w:rsidRPr="00DA1AC8">
        <w:rPr>
          <w:color w:val="000000"/>
          <w:sz w:val="22"/>
          <w:szCs w:val="22"/>
        </w:rPr>
        <w:t>) his department and (ii) entities reporting to him in the past three financial years and (b) percentage of the total budget of (</w:t>
      </w:r>
      <w:proofErr w:type="spellStart"/>
      <w:r w:rsidRPr="00DA1AC8">
        <w:rPr>
          <w:color w:val="000000"/>
          <w:sz w:val="22"/>
          <w:szCs w:val="22"/>
        </w:rPr>
        <w:t>i</w:t>
      </w:r>
      <w:proofErr w:type="spellEnd"/>
      <w:r w:rsidRPr="00DA1AC8">
        <w:rPr>
          <w:color w:val="000000"/>
          <w:sz w:val="22"/>
          <w:szCs w:val="22"/>
        </w:rPr>
        <w:t>) his department and (ii) entities reporting to him does it constitute?</w:t>
      </w:r>
      <w:r w:rsidRPr="00DA1AC8">
        <w:rPr>
          <w:rFonts w:ascii="Times New Roman" w:hAnsi="Times New Roman"/>
          <w:color w:val="000000"/>
          <w:sz w:val="22"/>
          <w:szCs w:val="22"/>
        </w:rPr>
        <w:t xml:space="preserve">    </w:t>
      </w:r>
      <w:r w:rsidRPr="009C78E8">
        <w:rPr>
          <w:b/>
          <w:sz w:val="24"/>
          <w:szCs w:val="24"/>
        </w:rPr>
        <w:t>NW</w:t>
      </w:r>
      <w:r>
        <w:rPr>
          <w:b/>
          <w:sz w:val="24"/>
          <w:szCs w:val="24"/>
        </w:rPr>
        <w:t>3826</w:t>
      </w:r>
      <w:r w:rsidRPr="009C78E8">
        <w:rPr>
          <w:b/>
          <w:sz w:val="24"/>
          <w:szCs w:val="24"/>
        </w:rPr>
        <w:t>E</w:t>
      </w:r>
    </w:p>
    <w:p w:rsidR="00DA1AC8" w:rsidRPr="00DA1AC8" w:rsidRDefault="00DA1AC8" w:rsidP="00DA1AC8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DA1AC8" w:rsidRPr="00BC117B" w:rsidRDefault="00DA1AC8" w:rsidP="00DA1AC8">
      <w:pPr>
        <w:jc w:val="both"/>
        <w:rPr>
          <w:b/>
          <w:sz w:val="22"/>
          <w:szCs w:val="22"/>
          <w:u w:val="single"/>
        </w:rPr>
      </w:pPr>
      <w:r w:rsidRPr="00BC117B">
        <w:rPr>
          <w:b/>
          <w:sz w:val="22"/>
          <w:szCs w:val="22"/>
          <w:u w:val="single"/>
        </w:rPr>
        <w:t>REPLY:</w:t>
      </w:r>
    </w:p>
    <w:p w:rsidR="00DA1AC8" w:rsidRPr="00DA1AC8" w:rsidRDefault="00DA1AC8" w:rsidP="00DA1AC8">
      <w:pPr>
        <w:tabs>
          <w:tab w:val="left" w:pos="567"/>
        </w:tabs>
        <w:spacing w:after="0"/>
        <w:jc w:val="both"/>
        <w:rPr>
          <w:b/>
          <w:sz w:val="22"/>
          <w:szCs w:val="22"/>
          <w:u w:val="single"/>
        </w:rPr>
      </w:pPr>
      <w:r w:rsidRPr="00DA1AC8">
        <w:rPr>
          <w:b/>
          <w:sz w:val="22"/>
          <w:szCs w:val="22"/>
          <w:u w:val="single"/>
        </w:rPr>
        <w:t>DAFF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  <w:r w:rsidRPr="00DA1AC8">
        <w:rPr>
          <w:sz w:val="22"/>
          <w:szCs w:val="22"/>
        </w:rPr>
        <w:t>(a)(</w:t>
      </w:r>
      <w:proofErr w:type="spellStart"/>
      <w:r w:rsidRPr="00DA1AC8">
        <w:rPr>
          <w:sz w:val="22"/>
          <w:szCs w:val="22"/>
        </w:rPr>
        <w:t>i</w:t>
      </w:r>
      <w:proofErr w:type="spellEnd"/>
      <w:r w:rsidRPr="00DA1AC8">
        <w:rPr>
          <w:sz w:val="22"/>
          <w:szCs w:val="22"/>
        </w:rPr>
        <w:t>)</w:t>
      </w:r>
      <w:r w:rsidRPr="00DA1AC8">
        <w:rPr>
          <w:sz w:val="22"/>
          <w:szCs w:val="22"/>
        </w:rPr>
        <w:tab/>
        <w:t>2015/16: R   829 000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  <w:r w:rsidRPr="00DA1AC8">
        <w:rPr>
          <w:sz w:val="22"/>
          <w:szCs w:val="22"/>
        </w:rPr>
        <w:tab/>
        <w:t>2016/17: R2 806 000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  <w:r w:rsidRPr="00DA1AC8">
        <w:rPr>
          <w:sz w:val="22"/>
          <w:szCs w:val="22"/>
        </w:rPr>
        <w:tab/>
        <w:t>2017/18: R5 479 000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  <w:r w:rsidRPr="00DA1AC8">
        <w:rPr>
          <w:sz w:val="22"/>
          <w:szCs w:val="22"/>
        </w:rPr>
        <w:t>(b)(</w:t>
      </w:r>
      <w:proofErr w:type="spellStart"/>
      <w:r w:rsidRPr="00DA1AC8">
        <w:rPr>
          <w:sz w:val="22"/>
          <w:szCs w:val="22"/>
        </w:rPr>
        <w:t>i</w:t>
      </w:r>
      <w:proofErr w:type="spellEnd"/>
      <w:r w:rsidRPr="00DA1AC8">
        <w:rPr>
          <w:sz w:val="22"/>
          <w:szCs w:val="22"/>
        </w:rPr>
        <w:t>)</w:t>
      </w:r>
      <w:r w:rsidRPr="00DA1AC8">
        <w:rPr>
          <w:sz w:val="22"/>
          <w:szCs w:val="22"/>
        </w:rPr>
        <w:tab/>
        <w:t>2015/16: Total budget: R6 408 750 - percentage: 0.01%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  <w:r w:rsidRPr="00DA1AC8">
        <w:rPr>
          <w:sz w:val="22"/>
          <w:szCs w:val="22"/>
        </w:rPr>
        <w:tab/>
        <w:t>2016/17: Total budget: R6 514 965 - percentage: 0.04%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  <w:r w:rsidRPr="00DA1AC8">
        <w:rPr>
          <w:sz w:val="22"/>
          <w:szCs w:val="22"/>
        </w:rPr>
        <w:tab/>
        <w:t>2017/18: Total budget: R6 847 034 - percentage: 0.08%</w:t>
      </w: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</w:p>
    <w:p w:rsidR="00DA1AC8" w:rsidRPr="00DA1AC8" w:rsidRDefault="00DA1AC8" w:rsidP="00DA1AC8">
      <w:pPr>
        <w:spacing w:after="0" w:line="240" w:lineRule="auto"/>
        <w:jc w:val="both"/>
        <w:rPr>
          <w:sz w:val="22"/>
          <w:szCs w:val="22"/>
        </w:rPr>
      </w:pPr>
    </w:p>
    <w:p w:rsidR="00DA1AC8" w:rsidRPr="00DA1AC8" w:rsidRDefault="00DA1AC8" w:rsidP="00DA1AC8">
      <w:pPr>
        <w:tabs>
          <w:tab w:val="left" w:pos="567"/>
        </w:tabs>
        <w:spacing w:after="0"/>
        <w:jc w:val="both"/>
        <w:rPr>
          <w:b/>
          <w:sz w:val="22"/>
          <w:szCs w:val="22"/>
          <w:u w:val="single"/>
        </w:rPr>
      </w:pPr>
      <w:r w:rsidRPr="00DA1AC8">
        <w:rPr>
          <w:b/>
          <w:sz w:val="22"/>
          <w:szCs w:val="22"/>
          <w:u w:val="single"/>
        </w:rPr>
        <w:t>NAMC</w:t>
      </w:r>
    </w:p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  <w:r w:rsidRPr="00DA1AC8">
        <w:rPr>
          <w:sz w:val="22"/>
          <w:szCs w:val="22"/>
        </w:rPr>
        <w:t>No Irregular expenditure, unlawful and wasteful expenditure were incurred by NAMC for the past three years.</w:t>
      </w:r>
    </w:p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  <w:r w:rsidRPr="00DA1AC8">
        <w:rPr>
          <w:b/>
          <w:sz w:val="22"/>
          <w:szCs w:val="22"/>
          <w:u w:val="single"/>
        </w:rPr>
        <w:lastRenderedPageBreak/>
        <w:t>MLRF</w:t>
      </w:r>
    </w:p>
    <w:tbl>
      <w:tblPr>
        <w:tblpPr w:leftFromText="180" w:rightFromText="180" w:vertAnchor="text" w:horzAnchor="margin" w:tblpXSpec="right" w:tblpY="504"/>
        <w:tblW w:w="9380" w:type="dxa"/>
        <w:tblLook w:val="04A0" w:firstRow="1" w:lastRow="0" w:firstColumn="1" w:lastColumn="0" w:noHBand="0" w:noVBand="1"/>
      </w:tblPr>
      <w:tblGrid>
        <w:gridCol w:w="1420"/>
        <w:gridCol w:w="1840"/>
        <w:gridCol w:w="1900"/>
        <w:gridCol w:w="1640"/>
        <w:gridCol w:w="1240"/>
        <w:gridCol w:w="1340"/>
      </w:tblGrid>
      <w:tr w:rsidR="00DA1AC8" w:rsidRPr="00DA1AC8" w:rsidTr="006C6A0D">
        <w:trPr>
          <w:trHeight w:val="1128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Financial year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Fruitless and Wasteful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Irregular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Budget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% Fruitless &amp; Wasteful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% Irregular</w:t>
            </w:r>
          </w:p>
        </w:tc>
      </w:tr>
      <w:tr w:rsidR="00DA1AC8" w:rsidRPr="00DA1AC8" w:rsidTr="006C6A0D">
        <w:trPr>
          <w:trHeight w:val="30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R'000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R'000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R'000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R'000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ZA"/>
              </w:rPr>
              <w:t>R'000</w:t>
            </w:r>
          </w:p>
        </w:tc>
      </w:tr>
      <w:tr w:rsidR="00DA1AC8" w:rsidRPr="00DA1AC8" w:rsidTr="006C6A0D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DA1AC8" w:rsidRPr="00DA1AC8" w:rsidTr="006C6A0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2015/16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           225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       12 772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537 276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0.04%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2.38%</w:t>
            </w:r>
          </w:p>
        </w:tc>
      </w:tr>
      <w:tr w:rsidR="00DA1AC8" w:rsidRPr="00DA1AC8" w:rsidTr="006C6A0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2015/17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        1 274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     103 400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511 280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0.25%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20.22%</w:t>
            </w:r>
          </w:p>
        </w:tc>
      </w:tr>
      <w:tr w:rsidR="00DA1AC8" w:rsidRPr="00DA1AC8" w:rsidTr="006C6A0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2015/18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        2 336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     172 281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 xml:space="preserve">                 558 841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0.42%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8" w:rsidRPr="00DA1AC8" w:rsidRDefault="00DA1AC8" w:rsidP="00DA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DA1AC8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30.83%</w:t>
            </w:r>
          </w:p>
        </w:tc>
      </w:tr>
    </w:tbl>
    <w:p w:rsidR="00DA1AC8" w:rsidRPr="00DA1AC8" w:rsidRDefault="00DA1AC8" w:rsidP="00DA1AC8">
      <w:pPr>
        <w:spacing w:before="100" w:beforeAutospacing="1" w:after="100" w:afterAutospacing="1"/>
        <w:contextualSpacing/>
        <w:rPr>
          <w:sz w:val="22"/>
          <w:szCs w:val="22"/>
        </w:rPr>
      </w:pPr>
    </w:p>
    <w:p w:rsidR="00DA1AC8" w:rsidRPr="00DA1AC8" w:rsidRDefault="00DA1AC8" w:rsidP="00DA1AC8">
      <w:pPr>
        <w:tabs>
          <w:tab w:val="left" w:pos="567"/>
        </w:tabs>
        <w:spacing w:after="0"/>
        <w:jc w:val="both"/>
        <w:rPr>
          <w:sz w:val="22"/>
          <w:szCs w:val="22"/>
        </w:rPr>
      </w:pPr>
    </w:p>
    <w:p w:rsidR="00DA1AC8" w:rsidRPr="00DA1AC8" w:rsidRDefault="00DA1AC8" w:rsidP="00DA1AC8">
      <w:pPr>
        <w:tabs>
          <w:tab w:val="left" w:pos="567"/>
        </w:tabs>
        <w:spacing w:after="0"/>
        <w:jc w:val="both"/>
        <w:rPr>
          <w:b/>
          <w:sz w:val="22"/>
          <w:szCs w:val="22"/>
          <w:u w:val="single"/>
        </w:rPr>
        <w:sectPr w:rsidR="00DA1AC8" w:rsidRPr="00DA1AC8" w:rsidSect="00D602DE">
          <w:pgSz w:w="11906" w:h="16838" w:code="9"/>
          <w:pgMar w:top="851" w:right="1134" w:bottom="1276" w:left="2552" w:header="0" w:footer="1486" w:gutter="0"/>
          <w:cols w:space="708"/>
          <w:titlePg/>
          <w:docGrid w:linePitch="360"/>
        </w:sectPr>
      </w:pPr>
    </w:p>
    <w:p w:rsidR="00DA1AC8" w:rsidRPr="00DA1AC8" w:rsidRDefault="00DA1AC8" w:rsidP="00DA1AC8">
      <w:pPr>
        <w:tabs>
          <w:tab w:val="left" w:pos="567"/>
        </w:tabs>
        <w:spacing w:after="0"/>
        <w:jc w:val="both"/>
        <w:rPr>
          <w:b/>
          <w:sz w:val="22"/>
          <w:szCs w:val="22"/>
          <w:u w:val="single"/>
        </w:rPr>
      </w:pPr>
      <w:r w:rsidRPr="00DA1AC8">
        <w:rPr>
          <w:b/>
          <w:sz w:val="22"/>
          <w:szCs w:val="22"/>
          <w:u w:val="single"/>
        </w:rPr>
        <w:lastRenderedPageBreak/>
        <w:t>PPECB</w:t>
      </w:r>
    </w:p>
    <w:tbl>
      <w:tblPr>
        <w:tblW w:w="1213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1550"/>
        <w:gridCol w:w="1495"/>
        <w:gridCol w:w="1550"/>
      </w:tblGrid>
      <w:tr w:rsidR="00DA1AC8" w:rsidRPr="00DA1AC8" w:rsidTr="006C6A0D">
        <w:trPr>
          <w:trHeight w:val="175"/>
        </w:trPr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b/>
                <w:bCs/>
                <w:color w:val="FFFFFF"/>
                <w:lang w:eastAsia="en-ZA"/>
              </w:rPr>
              <w:t>Wasteful expenditure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FFFFFF"/>
                <w:lang w:eastAsia="en-ZA"/>
              </w:rPr>
              <w:t>FY 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DA1AC8">
              <w:rPr>
                <w:b/>
                <w:bCs/>
                <w:color w:val="FFFFFF"/>
                <w:sz w:val="18"/>
                <w:szCs w:val="18"/>
                <w:lang w:eastAsia="en-ZA"/>
              </w:rPr>
              <w:t>FY 2017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DA1AC8">
              <w:rPr>
                <w:b/>
                <w:bCs/>
                <w:color w:val="FFFFFF"/>
                <w:sz w:val="18"/>
                <w:szCs w:val="18"/>
                <w:lang w:eastAsia="en-ZA"/>
              </w:rPr>
              <w:t>FY 2016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Changes in travel arrangements (cancellations, rescheduling)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 9,112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4,278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16,000 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Charges for late payments to suppliers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 55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3,341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77 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Inaccurate supplier and employee payments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 64,134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 -  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 -   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Unapproved expenditure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 -  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2,864 </w:t>
            </w:r>
          </w:p>
        </w:tc>
      </w:tr>
      <w:tr w:rsidR="00DA1AC8" w:rsidRPr="00DA1AC8" w:rsidTr="006C6A0D">
        <w:trPr>
          <w:trHeight w:val="18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 xml:space="preserve">            73,301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 xml:space="preserve">              7,619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 xml:space="preserve">            18,941 </w:t>
            </w:r>
          </w:p>
        </w:tc>
      </w:tr>
      <w:tr w:rsidR="00DA1AC8" w:rsidRPr="00DA1AC8" w:rsidTr="006C6A0D">
        <w:trPr>
          <w:trHeight w:val="18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% of expenditure budget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0.021%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0.002%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0.006%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</w:tr>
      <w:tr w:rsidR="00DA1AC8" w:rsidRPr="00DA1AC8" w:rsidTr="006C6A0D">
        <w:trPr>
          <w:trHeight w:val="186"/>
        </w:trPr>
        <w:tc>
          <w:tcPr>
            <w:tcW w:w="76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rPr>
                <w:rFonts w:ascii="Times New Roman" w:eastAsia="Times New Roman" w:hAnsi="Times New Roman"/>
                <w:lang w:eastAsia="en-ZA"/>
              </w:rPr>
            </w:pP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b/>
                <w:bCs/>
                <w:color w:val="FFFFFF"/>
                <w:lang w:eastAsia="en-ZA"/>
              </w:rPr>
              <w:t>Irregular expenditure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FFFFFF"/>
                <w:lang w:eastAsia="en-ZA"/>
              </w:rPr>
              <w:t>FY 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FFFFFF"/>
                <w:lang w:eastAsia="en-ZA"/>
              </w:rPr>
              <w:t>FY 2017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FFFFFF"/>
                <w:lang w:eastAsia="en-ZA"/>
              </w:rPr>
              <w:t>FY 2016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Deviation from 3-quote process, prior CEO approval not obtained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 32,250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10,226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37,206 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Procurement of items on expired contract, prior CEO approval not obtained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 -  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73,457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 -   </w:t>
            </w:r>
          </w:p>
        </w:tc>
      </w:tr>
      <w:tr w:rsidR="00DA1AC8" w:rsidRPr="00DA1AC8" w:rsidTr="006C6A0D">
        <w:trPr>
          <w:trHeight w:val="175"/>
        </w:trPr>
        <w:tc>
          <w:tcPr>
            <w:tcW w:w="7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Deviation on minimum threshold for local content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 512,402 </w:t>
            </w:r>
          </w:p>
        </w:tc>
        <w:tc>
          <w:tcPr>
            <w:tcW w:w="1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 -  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75" w:lineRule="atLeast"/>
              <w:jc w:val="righ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 xml:space="preserve">                     -   </w:t>
            </w:r>
          </w:p>
        </w:tc>
      </w:tr>
      <w:tr w:rsidR="00DA1AC8" w:rsidRPr="00DA1AC8" w:rsidTr="006C6A0D">
        <w:trPr>
          <w:trHeight w:val="18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rPr>
                <w:rFonts w:ascii="Calibri" w:hAnsi="Calibri"/>
              </w:rPr>
            </w:pPr>
            <w:r w:rsidRPr="00DA1AC8">
              <w:rPr>
                <w:color w:val="000000"/>
                <w:lang w:eastAsia="en-ZA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 xml:space="preserve">         544,652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 xml:space="preserve">            83,683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 xml:space="preserve">            37,206 </w:t>
            </w:r>
          </w:p>
        </w:tc>
      </w:tr>
      <w:tr w:rsidR="00DA1AC8" w:rsidRPr="00DA1AC8" w:rsidTr="006C6A0D">
        <w:trPr>
          <w:trHeight w:val="186"/>
        </w:trPr>
        <w:tc>
          <w:tcPr>
            <w:tcW w:w="7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% of expenditure budget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0.156%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0.026%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AC8" w:rsidRPr="00DA1AC8" w:rsidRDefault="00DA1AC8" w:rsidP="00DA1AC8">
            <w:pPr>
              <w:spacing w:line="186" w:lineRule="atLeast"/>
              <w:jc w:val="right"/>
              <w:rPr>
                <w:rFonts w:ascii="Calibri" w:hAnsi="Calibri"/>
              </w:rPr>
            </w:pPr>
            <w:r w:rsidRPr="00DA1AC8">
              <w:rPr>
                <w:b/>
                <w:bCs/>
                <w:color w:val="000000"/>
                <w:lang w:eastAsia="en-ZA"/>
              </w:rPr>
              <w:t>0.013%</w:t>
            </w:r>
          </w:p>
        </w:tc>
      </w:tr>
    </w:tbl>
    <w:p w:rsidR="00DA1AC8" w:rsidRPr="00DA1AC8" w:rsidRDefault="00DA1AC8" w:rsidP="00DA1AC8">
      <w:pPr>
        <w:rPr>
          <w:color w:val="002060"/>
        </w:rPr>
        <w:sectPr w:rsidR="00DA1AC8" w:rsidRPr="00DA1AC8" w:rsidSect="00197339">
          <w:pgSz w:w="16838" w:h="11906" w:orient="landscape" w:code="9"/>
          <w:pgMar w:top="2552" w:right="851" w:bottom="1134" w:left="1276" w:header="0" w:footer="1486" w:gutter="0"/>
          <w:cols w:space="708"/>
          <w:titlePg/>
          <w:docGrid w:linePitch="360"/>
        </w:sectPr>
      </w:pPr>
      <w:bookmarkStart w:id="0" w:name="_GoBack"/>
      <w:bookmarkEnd w:id="0"/>
    </w:p>
    <w:p w:rsidR="00DA1AC8" w:rsidRPr="00DA1AC8" w:rsidRDefault="00DA1AC8" w:rsidP="00DA1AC8">
      <w:pPr>
        <w:rPr>
          <w:b/>
          <w:sz w:val="22"/>
          <w:szCs w:val="22"/>
          <w:u w:val="single"/>
          <w:lang w:eastAsia="en-ZA"/>
        </w:rPr>
      </w:pPr>
      <w:r w:rsidRPr="00DA1AC8">
        <w:rPr>
          <w:sz w:val="22"/>
          <w:szCs w:val="22"/>
        </w:rPr>
        <w:lastRenderedPageBreak/>
        <w:t> </w:t>
      </w:r>
      <w:r w:rsidRPr="00DA1AC8">
        <w:rPr>
          <w:sz w:val="22"/>
          <w:szCs w:val="22"/>
          <w:lang w:eastAsia="en-ZA"/>
        </w:rPr>
        <w:t> </w:t>
      </w:r>
      <w:r w:rsidRPr="00DA1AC8">
        <w:rPr>
          <w:b/>
          <w:sz w:val="22"/>
          <w:szCs w:val="22"/>
          <w:u w:val="single"/>
          <w:lang w:eastAsia="en-ZA"/>
        </w:rPr>
        <w:t>OBP</w:t>
      </w:r>
    </w:p>
    <w:p w:rsidR="00DA1AC8" w:rsidRPr="00DA1AC8" w:rsidRDefault="00DA1AC8" w:rsidP="00DA1AC8">
      <w:pPr>
        <w:rPr>
          <w:color w:val="002060"/>
          <w:sz w:val="22"/>
          <w:szCs w:val="22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</w:tblGrid>
      <w:tr w:rsidR="00DA1AC8" w:rsidRPr="00DA1AC8" w:rsidTr="006C6A0D">
        <w:tc>
          <w:tcPr>
            <w:tcW w:w="2109" w:type="dxa"/>
            <w:vMerge w:val="restart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Irregular expenditure as per the audited annual financial statement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2015/16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2016/17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2017/18</w:t>
            </w:r>
          </w:p>
        </w:tc>
      </w:tr>
      <w:tr w:rsidR="00DA1AC8" w:rsidRPr="00DA1AC8" w:rsidTr="006C6A0D">
        <w:tc>
          <w:tcPr>
            <w:tcW w:w="2109" w:type="dxa"/>
            <w:vMerge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R190,636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None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None</w:t>
            </w:r>
          </w:p>
        </w:tc>
      </w:tr>
      <w:tr w:rsidR="00DA1AC8" w:rsidRPr="00DA1AC8" w:rsidTr="006C6A0D"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A1AC8" w:rsidRPr="00DA1AC8" w:rsidTr="006C6A0D">
        <w:tc>
          <w:tcPr>
            <w:tcW w:w="2109" w:type="dxa"/>
            <w:vMerge w:val="restart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Percentage of the total budget constituted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2015/16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2016/17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2017/18</w:t>
            </w:r>
          </w:p>
        </w:tc>
      </w:tr>
      <w:tr w:rsidR="00DA1AC8" w:rsidRPr="00DA1AC8" w:rsidTr="006C6A0D">
        <w:tc>
          <w:tcPr>
            <w:tcW w:w="2109" w:type="dxa"/>
            <w:vMerge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0.16%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0%</w:t>
            </w:r>
          </w:p>
        </w:tc>
        <w:tc>
          <w:tcPr>
            <w:tcW w:w="2109" w:type="dxa"/>
            <w:shd w:val="clear" w:color="auto" w:fill="auto"/>
          </w:tcPr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0%</w:t>
            </w:r>
          </w:p>
          <w:p w:rsidR="00DA1AC8" w:rsidRPr="00DA1AC8" w:rsidRDefault="00DA1AC8" w:rsidP="00DA1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A1AC8" w:rsidRPr="00DA1AC8" w:rsidRDefault="00DA1AC8" w:rsidP="00DA1AC8">
      <w:pPr>
        <w:rPr>
          <w:b/>
          <w:sz w:val="22"/>
          <w:szCs w:val="22"/>
          <w:u w:val="single"/>
        </w:rPr>
      </w:pPr>
    </w:p>
    <w:p w:rsidR="00DA1AC8" w:rsidRPr="00DA1AC8" w:rsidRDefault="00DA1AC8" w:rsidP="00DA1AC8">
      <w:pPr>
        <w:rPr>
          <w:b/>
          <w:sz w:val="22"/>
          <w:szCs w:val="22"/>
          <w:u w:val="single"/>
        </w:rPr>
      </w:pPr>
    </w:p>
    <w:p w:rsidR="00DA1AC8" w:rsidRPr="00DA1AC8" w:rsidRDefault="00DA1AC8" w:rsidP="00DA1AC8">
      <w:pPr>
        <w:rPr>
          <w:b/>
          <w:sz w:val="22"/>
          <w:szCs w:val="22"/>
          <w:u w:val="single"/>
        </w:rPr>
      </w:pPr>
      <w:r w:rsidRPr="00DA1AC8">
        <w:rPr>
          <w:b/>
          <w:sz w:val="22"/>
          <w:szCs w:val="22"/>
          <w:u w:val="single"/>
        </w:rPr>
        <w:t>ARC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1276"/>
        <w:gridCol w:w="1195"/>
        <w:gridCol w:w="1195"/>
        <w:gridCol w:w="1240"/>
      </w:tblGrid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2015/16</w:t>
            </w:r>
          </w:p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R’000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2016/17</w:t>
            </w:r>
          </w:p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R’000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2017/18</w:t>
            </w:r>
          </w:p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R’000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Total</w:t>
            </w:r>
          </w:p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R’000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Fruitless &amp; Wasteful Expenditure</w:t>
            </w: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199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593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Irregular Expenditure</w:t>
            </w: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205,177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199,263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106,294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510,734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205,443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199,392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106,493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511,327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Total Operational Budget</w:t>
            </w: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1,091,069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1,103,000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1,368,991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3,563,060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Total Capital Budget</w:t>
            </w: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82,610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86,988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91,338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260,936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Total Budget</w:t>
            </w: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1,173,679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1,189,988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1,460,329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sz w:val="22"/>
                <w:szCs w:val="22"/>
              </w:rPr>
            </w:pPr>
            <w:r w:rsidRPr="00DA1AC8">
              <w:rPr>
                <w:sz w:val="22"/>
                <w:szCs w:val="22"/>
              </w:rPr>
              <w:t>3,823,996</w:t>
            </w:r>
          </w:p>
        </w:tc>
      </w:tr>
      <w:tr w:rsidR="00DA1AC8" w:rsidRPr="00DA1AC8" w:rsidTr="006C6A0D">
        <w:tc>
          <w:tcPr>
            <w:tcW w:w="392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:rsidR="00DA1AC8" w:rsidRPr="00DA1AC8" w:rsidRDefault="00DA1AC8" w:rsidP="00DA1AC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17.5%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16.8%</w:t>
            </w:r>
          </w:p>
        </w:tc>
        <w:tc>
          <w:tcPr>
            <w:tcW w:w="1134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7.3%</w:t>
            </w:r>
          </w:p>
        </w:tc>
        <w:tc>
          <w:tcPr>
            <w:tcW w:w="1240" w:type="dxa"/>
            <w:shd w:val="clear" w:color="auto" w:fill="auto"/>
          </w:tcPr>
          <w:p w:rsidR="00DA1AC8" w:rsidRPr="00DA1AC8" w:rsidRDefault="00DA1AC8" w:rsidP="00DA1AC8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DA1AC8">
              <w:rPr>
                <w:b/>
                <w:sz w:val="22"/>
                <w:szCs w:val="22"/>
              </w:rPr>
              <w:t>13.4%</w:t>
            </w:r>
          </w:p>
        </w:tc>
      </w:tr>
    </w:tbl>
    <w:p w:rsidR="00DA1AC8" w:rsidRPr="00DA1AC8" w:rsidRDefault="00DA1AC8" w:rsidP="00DA1AC8">
      <w:pPr>
        <w:rPr>
          <w:sz w:val="22"/>
          <w:szCs w:val="22"/>
        </w:rPr>
      </w:pPr>
    </w:p>
    <w:p w:rsidR="00DA1AC8" w:rsidRPr="00DA1AC8" w:rsidRDefault="00DA1AC8" w:rsidP="00DA1AC8">
      <w:pPr>
        <w:rPr>
          <w:b/>
          <w:sz w:val="22"/>
          <w:szCs w:val="22"/>
          <w:u w:val="single"/>
        </w:rPr>
      </w:pPr>
    </w:p>
    <w:p w:rsidR="005F561C" w:rsidRPr="00DA1AC8" w:rsidRDefault="00635746">
      <w:pPr>
        <w:rPr>
          <w:sz w:val="22"/>
          <w:szCs w:val="22"/>
        </w:rPr>
      </w:pPr>
    </w:p>
    <w:sectPr w:rsidR="005F561C" w:rsidRPr="00DA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46" w:rsidRDefault="00635746" w:rsidP="00DA1AC8">
      <w:pPr>
        <w:spacing w:after="0" w:line="240" w:lineRule="auto"/>
      </w:pPr>
      <w:r>
        <w:separator/>
      </w:r>
    </w:p>
  </w:endnote>
  <w:endnote w:type="continuationSeparator" w:id="0">
    <w:p w:rsidR="00635746" w:rsidRDefault="00635746" w:rsidP="00DA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46" w:rsidRDefault="00635746" w:rsidP="00DA1AC8">
      <w:pPr>
        <w:spacing w:after="0" w:line="240" w:lineRule="auto"/>
      </w:pPr>
      <w:r>
        <w:separator/>
      </w:r>
    </w:p>
  </w:footnote>
  <w:footnote w:type="continuationSeparator" w:id="0">
    <w:p w:rsidR="00635746" w:rsidRDefault="00635746" w:rsidP="00DA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8"/>
    <w:rsid w:val="00186AC3"/>
    <w:rsid w:val="00405B27"/>
    <w:rsid w:val="004F5BD7"/>
    <w:rsid w:val="00635746"/>
    <w:rsid w:val="007E1699"/>
    <w:rsid w:val="0092761C"/>
    <w:rsid w:val="00B64F1B"/>
    <w:rsid w:val="00D96FB6"/>
    <w:rsid w:val="00DA1AC8"/>
    <w:rsid w:val="00DD6449"/>
    <w:rsid w:val="00E46CAE"/>
    <w:rsid w:val="00EC76A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C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C8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C8"/>
    <w:rPr>
      <w:rFonts w:ascii="Arial" w:eastAsia="Calibri" w:hAnsi="Arial" w:cs="Arial"/>
      <w:sz w:val="20"/>
      <w:szCs w:val="20"/>
    </w:rPr>
  </w:style>
  <w:style w:type="paragraph" w:customStyle="1" w:styleId="Table">
    <w:name w:val="Table"/>
    <w:basedOn w:val="Normal"/>
    <w:uiPriority w:val="99"/>
    <w:rsid w:val="00DA1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C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C8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C8"/>
    <w:rPr>
      <w:rFonts w:ascii="Arial" w:eastAsia="Calibri" w:hAnsi="Arial" w:cs="Arial"/>
      <w:sz w:val="20"/>
      <w:szCs w:val="20"/>
    </w:rPr>
  </w:style>
  <w:style w:type="paragraph" w:customStyle="1" w:styleId="Table">
    <w:name w:val="Table"/>
    <w:basedOn w:val="Normal"/>
    <w:uiPriority w:val="99"/>
    <w:rsid w:val="00DA1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2018-11-20T14:51:00Z</dcterms:created>
  <dcterms:modified xsi:type="dcterms:W3CDTF">2018-11-20T14:57:00Z</dcterms:modified>
</cp:coreProperties>
</file>