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19" w:rsidRPr="00DF4704" w:rsidRDefault="00296319" w:rsidP="001951C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  <w:r w:rsidRPr="00DF4704">
        <w:rPr>
          <w:rFonts w:ascii="Arial" w:eastAsia="Calibri" w:hAnsi="Arial" w:cs="Arial"/>
          <w:b/>
          <w:lang w:val="en-ZA"/>
        </w:rPr>
        <w:t>:</w:t>
      </w:r>
    </w:p>
    <w:p w:rsidR="00296319" w:rsidRDefault="00296319" w:rsidP="001951C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3322</w:t>
      </w:r>
    </w:p>
    <w:p w:rsidR="00296319" w:rsidRPr="008161D8" w:rsidRDefault="00296319" w:rsidP="001951C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Theme="minorHAnsi" w:hAnsi="Arial" w:cs="Arial"/>
          <w:b/>
          <w:noProof/>
          <w:lang w:val="af-ZA"/>
        </w:rPr>
      </w:pPr>
      <w:r w:rsidRPr="008161D8">
        <w:rPr>
          <w:rFonts w:ascii="Arial" w:eastAsiaTheme="minorHAnsi" w:hAnsi="Arial" w:cs="Arial"/>
          <w:b/>
          <w:noProof/>
          <w:lang w:val="af-ZA"/>
        </w:rPr>
        <w:t xml:space="preserve">Ms N </w:t>
      </w:r>
      <w:proofErr w:type="spellStart"/>
      <w:r w:rsidRPr="008161D8">
        <w:rPr>
          <w:rFonts w:ascii="Arial" w:hAnsi="Arial" w:cs="Arial"/>
          <w:b/>
        </w:rPr>
        <w:t>Nolutshungu</w:t>
      </w:r>
      <w:proofErr w:type="spellEnd"/>
      <w:r w:rsidRPr="008161D8">
        <w:rPr>
          <w:rFonts w:ascii="Arial" w:hAnsi="Arial" w:cs="Arial"/>
          <w:b/>
        </w:rPr>
        <w:t xml:space="preserve"> </w:t>
      </w:r>
      <w:r w:rsidRPr="008161D8">
        <w:rPr>
          <w:rFonts w:ascii="Arial" w:eastAsiaTheme="minorHAnsi" w:hAnsi="Arial" w:cs="Arial"/>
          <w:b/>
          <w:noProof/>
          <w:lang w:val="af-ZA"/>
        </w:rPr>
        <w:t>(EFF) to ask the Minister of Transport:</w:t>
      </w:r>
    </w:p>
    <w:p w:rsidR="000A7E2B" w:rsidRDefault="00296319" w:rsidP="001951CE">
      <w:pPr>
        <w:spacing w:before="100" w:beforeAutospacing="1" w:after="100" w:afterAutospacing="1" w:line="360" w:lineRule="auto"/>
        <w:ind w:left="720"/>
        <w:jc w:val="both"/>
        <w:rPr>
          <w:rFonts w:ascii="Arial" w:eastAsiaTheme="minorHAnsi" w:hAnsi="Arial" w:cs="Arial"/>
          <w:noProof/>
          <w:lang w:val="af-ZA"/>
        </w:rPr>
      </w:pPr>
      <w:r w:rsidRPr="008161D8">
        <w:rPr>
          <w:rFonts w:ascii="Arial" w:eastAsiaTheme="minorHAnsi" w:hAnsi="Arial" w:cs="Arial"/>
          <w:noProof/>
          <w:lang w:val="en-ZA"/>
        </w:rPr>
        <w:t xml:space="preserve">Whether (a) his department and/or (b) entities reporting to him awarded any contracts and/or tenders to </w:t>
      </w:r>
      <w:r w:rsidRPr="008161D8">
        <w:rPr>
          <w:rFonts w:ascii="Arial" w:hAnsi="Arial" w:cs="Arial"/>
        </w:rPr>
        <w:t>certain</w:t>
      </w:r>
      <w:r w:rsidRPr="008161D8">
        <w:rPr>
          <w:rFonts w:ascii="Arial" w:eastAsiaTheme="minorHAnsi" w:hAnsi="Arial" w:cs="Arial"/>
          <w:noProof/>
          <w:lang w:val="en-ZA"/>
        </w:rPr>
        <w:t xml:space="preserve"> companies (names and details furnished) from 1 January 2009 up to the latest specified date for which information is available; if so, in each case, (i) what service was provided, (ii) what was the (aa) value and (bb) duration of the tender and/or contract, (iii) who approved the tender and/or contract and (iv) was the tender and/or contract in line with all National Treasury and departmental procurement guidelines</w:t>
      </w:r>
      <w:r w:rsidRPr="008161D8">
        <w:rPr>
          <w:rFonts w:ascii="Arial" w:eastAsiaTheme="minorHAnsi" w:hAnsi="Arial" w:cs="Arial"/>
          <w:noProof/>
          <w:lang w:val="af-ZA"/>
        </w:rPr>
        <w:t>?</w:t>
      </w:r>
      <w:r w:rsidRPr="008161D8">
        <w:rPr>
          <w:rFonts w:ascii="Arial" w:eastAsiaTheme="minorHAnsi" w:hAnsi="Arial" w:cs="Arial"/>
          <w:noProof/>
          <w:lang w:val="af-ZA"/>
        </w:rPr>
        <w:tab/>
      </w:r>
      <w:r w:rsidRPr="008161D8">
        <w:rPr>
          <w:rFonts w:ascii="Arial" w:eastAsiaTheme="minorHAnsi" w:hAnsi="Arial" w:cs="Arial"/>
          <w:noProof/>
          <w:lang w:val="af-ZA"/>
        </w:rPr>
        <w:tab/>
      </w:r>
      <w:r w:rsidRPr="008161D8">
        <w:rPr>
          <w:rFonts w:ascii="Arial" w:eastAsiaTheme="minorHAnsi" w:hAnsi="Arial" w:cs="Arial"/>
          <w:noProof/>
          <w:lang w:val="af-ZA"/>
        </w:rPr>
        <w:tab/>
      </w:r>
      <w:r w:rsidRPr="008161D8">
        <w:rPr>
          <w:rFonts w:ascii="Arial" w:eastAsiaTheme="minorHAnsi" w:hAnsi="Arial" w:cs="Arial"/>
          <w:noProof/>
          <w:lang w:val="af-ZA"/>
        </w:rPr>
        <w:tab/>
      </w:r>
      <w:r w:rsidRPr="008161D8">
        <w:rPr>
          <w:rFonts w:ascii="Arial" w:eastAsiaTheme="minorHAnsi" w:hAnsi="Arial" w:cs="Arial"/>
          <w:noProof/>
          <w:lang w:val="af-ZA"/>
        </w:rPr>
        <w:tab/>
      </w:r>
      <w:r w:rsidRPr="008161D8">
        <w:rPr>
          <w:rFonts w:ascii="Arial" w:eastAsiaTheme="minorHAnsi" w:hAnsi="Arial" w:cs="Arial"/>
          <w:noProof/>
          <w:lang w:val="af-ZA"/>
        </w:rPr>
        <w:tab/>
      </w:r>
      <w:r w:rsidRPr="008161D8">
        <w:rPr>
          <w:rFonts w:ascii="Arial" w:eastAsiaTheme="minorHAnsi" w:hAnsi="Arial" w:cs="Arial"/>
          <w:noProof/>
          <w:lang w:val="af-ZA"/>
        </w:rPr>
        <w:tab/>
      </w:r>
      <w:r w:rsidRPr="008161D8">
        <w:rPr>
          <w:rFonts w:ascii="Arial" w:eastAsiaTheme="minorHAnsi" w:hAnsi="Arial" w:cs="Arial"/>
          <w:noProof/>
          <w:lang w:val="af-ZA"/>
        </w:rPr>
        <w:tab/>
      </w:r>
      <w:r w:rsidRPr="008161D8">
        <w:rPr>
          <w:rFonts w:ascii="Arial" w:eastAsiaTheme="minorHAnsi" w:hAnsi="Arial" w:cs="Arial"/>
          <w:noProof/>
          <w:lang w:val="af-ZA"/>
        </w:rPr>
        <w:tab/>
      </w:r>
    </w:p>
    <w:p w:rsidR="00296319" w:rsidRPr="001951CE" w:rsidRDefault="00296319" w:rsidP="001951CE">
      <w:pPr>
        <w:spacing w:before="100" w:beforeAutospacing="1" w:after="100" w:afterAutospacing="1" w:line="360" w:lineRule="auto"/>
        <w:ind w:left="7920" w:firstLine="720"/>
        <w:jc w:val="both"/>
        <w:rPr>
          <w:rFonts w:ascii="Arial" w:eastAsiaTheme="minorHAnsi" w:hAnsi="Arial" w:cs="Arial"/>
          <w:b/>
          <w:noProof/>
          <w:lang w:val="af-ZA"/>
        </w:rPr>
      </w:pPr>
      <w:r w:rsidRPr="001951CE">
        <w:rPr>
          <w:rFonts w:ascii="Arial" w:eastAsiaTheme="minorHAnsi" w:hAnsi="Arial" w:cs="Arial"/>
          <w:b/>
          <w:noProof/>
          <w:lang w:val="af-ZA"/>
        </w:rPr>
        <w:t>NW3726E</w:t>
      </w:r>
    </w:p>
    <w:p w:rsidR="00296319" w:rsidRDefault="00296319" w:rsidP="001951C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  <w:r w:rsidR="001951CE">
        <w:rPr>
          <w:rFonts w:ascii="Arial" w:eastAsia="Calibri" w:hAnsi="Arial" w:cs="Arial"/>
          <w:b/>
          <w:lang w:val="en-ZA"/>
        </w:rPr>
        <w:t>:</w:t>
      </w:r>
    </w:p>
    <w:p w:rsidR="00296319" w:rsidRDefault="00296319" w:rsidP="001951C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Department</w:t>
      </w:r>
    </w:p>
    <w:p w:rsidR="00296319" w:rsidRDefault="00296319" w:rsidP="001951CE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0615D1">
        <w:rPr>
          <w:rFonts w:ascii="Arial" w:eastAsia="Calibri" w:hAnsi="Arial" w:cs="Arial"/>
          <w:lang w:val="en-ZA"/>
        </w:rPr>
        <w:t xml:space="preserve">The Department did not award any tender or contract to the companies </w:t>
      </w:r>
      <w:r>
        <w:rPr>
          <w:rFonts w:ascii="Arial" w:eastAsiaTheme="minorHAnsi" w:hAnsi="Arial" w:cs="Arial"/>
          <w:noProof/>
          <w:lang w:val="en-ZA"/>
        </w:rPr>
        <w:t>(names and details furnished)</w:t>
      </w:r>
      <w:r w:rsidRPr="000615D1">
        <w:rPr>
          <w:rFonts w:ascii="Arial" w:eastAsia="Calibri" w:hAnsi="Arial" w:cs="Arial"/>
          <w:lang w:val="en-ZA"/>
        </w:rPr>
        <w:t xml:space="preserve"> during the period from </w:t>
      </w:r>
      <w:r>
        <w:rPr>
          <w:rFonts w:ascii="Arial" w:eastAsia="Calibri" w:hAnsi="Arial" w:cs="Arial"/>
          <w:lang w:val="en-ZA"/>
        </w:rPr>
        <w:t>1 January 20</w:t>
      </w:r>
      <w:r w:rsidRPr="000615D1">
        <w:rPr>
          <w:rFonts w:ascii="Arial" w:eastAsia="Calibri" w:hAnsi="Arial" w:cs="Arial"/>
          <w:lang w:val="en-ZA"/>
        </w:rPr>
        <w:t>09 to 30 September 2018.</w:t>
      </w:r>
    </w:p>
    <w:p w:rsidR="00296319" w:rsidRPr="0003561B" w:rsidRDefault="00296319" w:rsidP="001951C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8A676F">
        <w:rPr>
          <w:rFonts w:ascii="Arial" w:eastAsia="Calibri" w:hAnsi="Arial" w:cs="Arial"/>
          <w:b/>
          <w:lang w:val="en-ZA"/>
        </w:rPr>
        <w:t>Air Traffic and Navigation Services SOC Limited (ATNS)</w:t>
      </w:r>
    </w:p>
    <w:p w:rsidR="00296319" w:rsidRPr="008A676F" w:rsidRDefault="00296319" w:rsidP="001951CE">
      <w:pPr>
        <w:spacing w:before="100" w:beforeAutospacing="1" w:after="100" w:afterAutospacing="1" w:line="360" w:lineRule="auto"/>
        <w:ind w:left="426" w:hanging="426"/>
        <w:jc w:val="both"/>
        <w:outlineLvl w:val="0"/>
        <w:rPr>
          <w:rFonts w:ascii="Arial" w:eastAsiaTheme="minorHAnsi" w:hAnsi="Arial" w:cs="Arial"/>
          <w:noProof/>
          <w:lang w:val="en-ZA"/>
        </w:rPr>
      </w:pPr>
      <w:r>
        <w:rPr>
          <w:rFonts w:ascii="Arial" w:eastAsiaTheme="minorHAnsi" w:hAnsi="Arial" w:cs="Arial"/>
          <w:noProof/>
          <w:lang w:val="en-ZA"/>
        </w:rPr>
        <w:t xml:space="preserve"> (b)(i) </w:t>
      </w:r>
      <w:r w:rsidRPr="008A676F">
        <w:rPr>
          <w:rFonts w:ascii="Arial" w:eastAsiaTheme="minorHAnsi" w:hAnsi="Arial" w:cs="Arial"/>
          <w:noProof/>
          <w:lang w:val="en-ZA"/>
        </w:rPr>
        <w:t xml:space="preserve">Vox Telecommunications: For the </w:t>
      </w:r>
      <w:r w:rsidRPr="008A676F">
        <w:rPr>
          <w:rFonts w:ascii="Arial" w:hAnsi="Arial" w:cs="Arial"/>
          <w:bCs/>
          <w:lang w:val="en-ZA" w:eastAsia="en-ZA"/>
        </w:rPr>
        <w:t>Provision of a budgeting, forecasting and reporting tool for ATNS</w:t>
      </w:r>
    </w:p>
    <w:p w:rsidR="00296319" w:rsidRPr="008A676F" w:rsidRDefault="00296319" w:rsidP="001951CE">
      <w:pPr>
        <w:spacing w:after="0" w:line="360" w:lineRule="auto"/>
        <w:jc w:val="both"/>
        <w:rPr>
          <w:rFonts w:ascii="Arial" w:hAnsi="Arial" w:cs="Arial"/>
        </w:rPr>
      </w:pPr>
      <w:r w:rsidRPr="008A676F">
        <w:rPr>
          <w:rFonts w:ascii="Arial" w:eastAsiaTheme="minorHAnsi" w:hAnsi="Arial" w:cs="Arial"/>
          <w:noProof/>
          <w:lang w:val="en-ZA"/>
        </w:rPr>
        <w:t xml:space="preserve">(ii)(aa) value  - </w:t>
      </w:r>
      <w:r w:rsidRPr="008A676F">
        <w:rPr>
          <w:rFonts w:ascii="Arial" w:hAnsi="Arial" w:cs="Arial"/>
        </w:rPr>
        <w:t>R 3, 829,135.40 VAT Exclusive.</w:t>
      </w:r>
    </w:p>
    <w:p w:rsidR="00296319" w:rsidRPr="008A676F" w:rsidRDefault="00296319" w:rsidP="001951CE">
      <w:pPr>
        <w:spacing w:after="0" w:line="360" w:lineRule="auto"/>
        <w:jc w:val="both"/>
        <w:rPr>
          <w:rFonts w:ascii="Arial" w:hAnsi="Arial" w:cs="Arial"/>
          <w:lang w:val="en-ZA" w:eastAsia="en-ZA"/>
        </w:rPr>
      </w:pPr>
    </w:p>
    <w:p w:rsidR="00296319" w:rsidRPr="008A676F" w:rsidRDefault="00296319" w:rsidP="001951CE">
      <w:pPr>
        <w:spacing w:after="0" w:line="360" w:lineRule="auto"/>
        <w:jc w:val="both"/>
        <w:rPr>
          <w:rFonts w:ascii="Arial" w:hAnsi="Arial" w:cs="Arial"/>
          <w:lang w:val="en-ZA" w:eastAsia="en-ZA"/>
        </w:rPr>
      </w:pPr>
      <w:r w:rsidRPr="008A676F">
        <w:rPr>
          <w:rFonts w:ascii="Arial" w:eastAsiaTheme="minorHAnsi" w:hAnsi="Arial" w:cs="Arial"/>
          <w:noProof/>
          <w:lang w:val="en-ZA"/>
        </w:rPr>
        <w:t>(bb) Once off</w:t>
      </w:r>
    </w:p>
    <w:p w:rsidR="00296319" w:rsidRPr="008A676F" w:rsidRDefault="00296319" w:rsidP="001951CE">
      <w:pPr>
        <w:spacing w:after="0" w:line="360" w:lineRule="auto"/>
        <w:ind w:left="284" w:hanging="284"/>
        <w:jc w:val="both"/>
        <w:outlineLvl w:val="0"/>
        <w:rPr>
          <w:rFonts w:ascii="Arial" w:eastAsiaTheme="minorHAnsi" w:hAnsi="Arial" w:cs="Arial"/>
          <w:noProof/>
          <w:lang w:val="en-ZA"/>
        </w:rPr>
      </w:pPr>
      <w:r w:rsidRPr="008A676F">
        <w:rPr>
          <w:rFonts w:ascii="Arial" w:eastAsiaTheme="minorHAnsi" w:hAnsi="Arial" w:cs="Arial"/>
          <w:noProof/>
          <w:lang w:val="en-ZA"/>
        </w:rPr>
        <w:t xml:space="preserve">(iii) Bid Adjudication Committee and contract was signed by Achmed Wadee (Chief Information Officer) in the year 2016. </w:t>
      </w:r>
    </w:p>
    <w:p w:rsidR="00296319" w:rsidRDefault="00296319" w:rsidP="001951CE">
      <w:pPr>
        <w:spacing w:after="0" w:line="360" w:lineRule="auto"/>
        <w:ind w:left="284" w:hanging="284"/>
        <w:jc w:val="both"/>
        <w:outlineLvl w:val="0"/>
        <w:rPr>
          <w:rFonts w:ascii="Arial" w:eastAsiaTheme="minorHAnsi" w:hAnsi="Arial" w:cs="Arial"/>
          <w:noProof/>
          <w:lang w:val="af-ZA"/>
        </w:rPr>
      </w:pPr>
      <w:r w:rsidRPr="008A676F">
        <w:rPr>
          <w:rFonts w:ascii="Arial" w:eastAsiaTheme="minorHAnsi" w:hAnsi="Arial" w:cs="Arial"/>
          <w:noProof/>
          <w:lang w:val="en-ZA"/>
        </w:rPr>
        <w:t xml:space="preserve">(iv) </w:t>
      </w:r>
      <w:r w:rsidRPr="008A676F">
        <w:rPr>
          <w:rFonts w:ascii="Arial" w:eastAsiaTheme="minorHAnsi" w:hAnsi="Arial" w:cs="Arial"/>
          <w:noProof/>
          <w:lang w:val="af-ZA"/>
        </w:rPr>
        <w:t>Yes</w:t>
      </w:r>
    </w:p>
    <w:p w:rsidR="00296319" w:rsidRDefault="00296319" w:rsidP="001951CE">
      <w:pPr>
        <w:spacing w:after="0" w:line="360" w:lineRule="auto"/>
        <w:ind w:left="284" w:hanging="284"/>
        <w:jc w:val="both"/>
        <w:outlineLvl w:val="0"/>
        <w:rPr>
          <w:rFonts w:ascii="Arial" w:eastAsiaTheme="minorHAnsi" w:hAnsi="Arial" w:cs="Arial"/>
          <w:noProof/>
          <w:lang w:val="af-ZA"/>
        </w:rPr>
      </w:pPr>
    </w:p>
    <w:p w:rsidR="00296319" w:rsidRDefault="00296319" w:rsidP="001951CE">
      <w:pPr>
        <w:spacing w:after="0" w:line="360" w:lineRule="auto"/>
        <w:ind w:left="284" w:hanging="284"/>
        <w:jc w:val="both"/>
        <w:outlineLvl w:val="0"/>
        <w:rPr>
          <w:rFonts w:ascii="Arial" w:eastAsiaTheme="minorHAnsi" w:hAnsi="Arial" w:cs="Arial"/>
          <w:b/>
          <w:noProof/>
          <w:lang w:val="af-ZA"/>
        </w:rPr>
      </w:pPr>
      <w:r w:rsidRPr="008A676F">
        <w:rPr>
          <w:rFonts w:ascii="Arial" w:eastAsiaTheme="minorHAnsi" w:hAnsi="Arial" w:cs="Arial"/>
          <w:b/>
          <w:noProof/>
          <w:lang w:val="af-ZA"/>
        </w:rPr>
        <w:t>Airports South Africa SOC Limited (ACSA)</w:t>
      </w:r>
    </w:p>
    <w:p w:rsidR="00296319" w:rsidRPr="0003561B" w:rsidRDefault="00296319" w:rsidP="001951CE">
      <w:pPr>
        <w:spacing w:after="0" w:line="360" w:lineRule="auto"/>
        <w:ind w:left="284" w:hanging="284"/>
        <w:jc w:val="both"/>
        <w:outlineLvl w:val="0"/>
        <w:rPr>
          <w:rFonts w:ascii="Arial" w:eastAsiaTheme="minorHAnsi" w:hAnsi="Arial" w:cs="Arial"/>
          <w:noProof/>
          <w:lang w:val="af-ZA"/>
        </w:rPr>
      </w:pPr>
    </w:p>
    <w:p w:rsidR="00296319" w:rsidRPr="0003561B" w:rsidRDefault="00296319" w:rsidP="001951CE">
      <w:pPr>
        <w:spacing w:after="0" w:line="360" w:lineRule="auto"/>
        <w:jc w:val="both"/>
        <w:outlineLvl w:val="0"/>
        <w:rPr>
          <w:rFonts w:ascii="Arial" w:eastAsiaTheme="minorHAnsi" w:hAnsi="Arial" w:cs="Arial"/>
          <w:noProof/>
          <w:lang w:val="en-ZA"/>
        </w:rPr>
      </w:pPr>
      <w:r>
        <w:rPr>
          <w:rFonts w:ascii="Arial" w:eastAsiaTheme="minorHAnsi" w:hAnsi="Arial" w:cs="Arial"/>
          <w:noProof/>
          <w:lang w:val="en-ZA"/>
        </w:rPr>
        <w:t>(b)(i)</w:t>
      </w:r>
      <w:r>
        <w:rPr>
          <w:rFonts w:ascii="Arial" w:eastAsiaTheme="minorHAnsi" w:hAnsi="Arial" w:cs="Arial"/>
          <w:noProof/>
          <w:lang w:val="en-ZA"/>
        </w:rPr>
        <w:tab/>
      </w:r>
      <w:r w:rsidRPr="0003561B">
        <w:rPr>
          <w:rFonts w:ascii="Arial" w:eastAsiaTheme="minorHAnsi" w:hAnsi="Arial" w:cs="Arial"/>
          <w:noProof/>
          <w:lang w:val="en-ZA"/>
        </w:rPr>
        <w:t>Supplier and Services Provided</w:t>
      </w:r>
    </w:p>
    <w:p w:rsidR="00296319" w:rsidRDefault="00296319" w:rsidP="001951CE">
      <w:pPr>
        <w:spacing w:after="0" w:line="360" w:lineRule="auto"/>
        <w:ind w:left="720"/>
        <w:jc w:val="both"/>
        <w:outlineLvl w:val="0"/>
        <w:rPr>
          <w:rFonts w:ascii="Arial" w:eastAsiaTheme="minorHAnsi" w:hAnsi="Arial" w:cs="Arial"/>
          <w:noProof/>
          <w:lang w:val="en-ZA"/>
        </w:rPr>
      </w:pPr>
      <w:r w:rsidRPr="0003561B">
        <w:rPr>
          <w:rFonts w:ascii="Arial" w:eastAsiaTheme="minorHAnsi" w:hAnsi="Arial" w:cs="Arial"/>
          <w:noProof/>
          <w:lang w:val="en-ZA"/>
        </w:rPr>
        <w:t>From the list provided, ACSA has only awarded contracts to Vox Telecommunication. The rest of the suppliers listed have not been awarded contracts over the period stipulated. Vox Telecommunications provided v</w:t>
      </w:r>
      <w:r>
        <w:rPr>
          <w:rFonts w:ascii="Arial" w:eastAsiaTheme="minorHAnsi" w:hAnsi="Arial" w:cs="Arial"/>
          <w:noProof/>
          <w:lang w:val="en-ZA"/>
        </w:rPr>
        <w:t>arious IT Connectivity Services</w:t>
      </w:r>
    </w:p>
    <w:p w:rsidR="00296319" w:rsidRDefault="00296319" w:rsidP="001951CE">
      <w:pPr>
        <w:spacing w:after="0" w:line="360" w:lineRule="auto"/>
        <w:ind w:left="720"/>
        <w:jc w:val="both"/>
        <w:outlineLvl w:val="0"/>
        <w:rPr>
          <w:rFonts w:ascii="Arial" w:eastAsiaTheme="minorHAnsi" w:hAnsi="Arial" w:cs="Arial"/>
          <w:noProof/>
          <w:lang w:val="en-ZA"/>
        </w:rPr>
      </w:pPr>
    </w:p>
    <w:p w:rsidR="00296319" w:rsidRDefault="00296319" w:rsidP="001951CE">
      <w:pPr>
        <w:spacing w:after="0" w:line="360" w:lineRule="auto"/>
        <w:ind w:left="720"/>
        <w:jc w:val="both"/>
        <w:outlineLvl w:val="0"/>
        <w:rPr>
          <w:rFonts w:ascii="Arial" w:eastAsiaTheme="minorHAnsi" w:hAnsi="Arial" w:cs="Arial"/>
          <w:noProof/>
          <w:lang w:val="en-ZA"/>
        </w:rPr>
      </w:pPr>
    </w:p>
    <w:p w:rsidR="00296319" w:rsidRPr="0003561B" w:rsidRDefault="00296319" w:rsidP="001951CE">
      <w:pPr>
        <w:spacing w:after="0" w:line="360" w:lineRule="auto"/>
        <w:jc w:val="both"/>
        <w:outlineLvl w:val="0"/>
        <w:rPr>
          <w:rFonts w:ascii="Arial" w:eastAsiaTheme="minorHAnsi" w:hAnsi="Arial" w:cs="Arial"/>
          <w:noProof/>
          <w:lang w:val="en-ZA"/>
        </w:rPr>
      </w:pPr>
      <w:r>
        <w:rPr>
          <w:rFonts w:ascii="Arial" w:eastAsiaTheme="minorHAnsi" w:hAnsi="Arial" w:cs="Arial"/>
          <w:noProof/>
          <w:lang w:val="en-ZA"/>
        </w:rPr>
        <w:t xml:space="preserve">(b)(ii)(aa) </w:t>
      </w:r>
      <w:r w:rsidRPr="0003561B">
        <w:rPr>
          <w:rFonts w:ascii="Arial" w:eastAsiaTheme="minorHAnsi" w:hAnsi="Arial" w:cs="Arial"/>
          <w:noProof/>
          <w:lang w:val="en-ZA"/>
        </w:rPr>
        <w:t>Total Value of Business Awarded</w:t>
      </w:r>
    </w:p>
    <w:p w:rsidR="00296319" w:rsidRDefault="00296319" w:rsidP="00296319">
      <w:pPr>
        <w:spacing w:after="0" w:line="240" w:lineRule="auto"/>
        <w:ind w:left="284" w:hanging="284"/>
        <w:jc w:val="both"/>
        <w:outlineLvl w:val="0"/>
        <w:rPr>
          <w:rFonts w:ascii="Arial" w:eastAsiaTheme="minorHAnsi" w:hAnsi="Arial" w:cs="Arial"/>
          <w:b/>
          <w:noProof/>
          <w:lang w:val="en-ZA"/>
        </w:rPr>
      </w:pPr>
    </w:p>
    <w:p w:rsidR="00296319" w:rsidRPr="0003561B" w:rsidRDefault="00296319" w:rsidP="00296319">
      <w:pPr>
        <w:spacing w:after="0" w:line="360" w:lineRule="auto"/>
        <w:ind w:left="284" w:hanging="284"/>
        <w:jc w:val="both"/>
        <w:outlineLvl w:val="0"/>
        <w:rPr>
          <w:rFonts w:ascii="Arial" w:eastAsiaTheme="minorHAnsi" w:hAnsi="Arial" w:cs="Arial"/>
          <w:b/>
          <w:noProof/>
          <w:lang w:val="en-ZA"/>
        </w:rPr>
      </w:pPr>
      <w:r w:rsidRPr="0003561B">
        <w:rPr>
          <w:rFonts w:ascii="Arial" w:eastAsiaTheme="minorHAnsi" w:hAnsi="Arial" w:cs="Arial"/>
          <w:b/>
          <w:noProof/>
          <w:lang w:val="en-ZA" w:eastAsia="en-ZA"/>
        </w:rPr>
        <w:drawing>
          <wp:inline distT="0" distB="0" distL="0" distR="0">
            <wp:extent cx="187642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19" w:rsidRPr="0003561B" w:rsidRDefault="00296319" w:rsidP="001951CE">
      <w:pPr>
        <w:spacing w:after="0" w:line="360" w:lineRule="auto"/>
        <w:jc w:val="both"/>
        <w:outlineLvl w:val="0"/>
        <w:rPr>
          <w:rFonts w:ascii="Arial" w:eastAsiaTheme="minorHAnsi" w:hAnsi="Arial" w:cs="Arial"/>
          <w:noProof/>
          <w:lang w:val="en-ZA"/>
        </w:rPr>
      </w:pPr>
      <w:r>
        <w:rPr>
          <w:rFonts w:ascii="Arial" w:eastAsiaTheme="minorHAnsi" w:hAnsi="Arial" w:cs="Arial"/>
          <w:noProof/>
          <w:lang w:val="en-ZA"/>
        </w:rPr>
        <w:t xml:space="preserve">(b)(iii) </w:t>
      </w:r>
      <w:r w:rsidRPr="0003561B">
        <w:rPr>
          <w:rFonts w:ascii="Arial" w:eastAsiaTheme="minorHAnsi" w:hAnsi="Arial" w:cs="Arial"/>
          <w:noProof/>
          <w:lang w:val="en-ZA"/>
        </w:rPr>
        <w:t>Awards Approvals</w:t>
      </w:r>
    </w:p>
    <w:p w:rsidR="00296319" w:rsidRDefault="00296319" w:rsidP="001951CE">
      <w:pPr>
        <w:spacing w:after="0" w:line="360" w:lineRule="auto"/>
        <w:ind w:left="284" w:hanging="284"/>
        <w:jc w:val="both"/>
        <w:outlineLvl w:val="0"/>
        <w:rPr>
          <w:rFonts w:ascii="Arial" w:eastAsiaTheme="minorHAnsi" w:hAnsi="Arial" w:cs="Arial"/>
          <w:noProof/>
          <w:lang w:val="en-ZA"/>
        </w:rPr>
      </w:pPr>
      <w:r w:rsidRPr="0003561B">
        <w:rPr>
          <w:rFonts w:ascii="Arial" w:eastAsiaTheme="minorHAnsi" w:hAnsi="Arial" w:cs="Arial"/>
          <w:noProof/>
          <w:lang w:val="en-ZA"/>
        </w:rPr>
        <w:t>The awards were approved in line with stipulated ACSA DLA’s for the periods covered.</w:t>
      </w:r>
    </w:p>
    <w:p w:rsidR="00296319" w:rsidRPr="0003561B" w:rsidRDefault="00296319" w:rsidP="001951CE">
      <w:pPr>
        <w:spacing w:after="0" w:line="360" w:lineRule="auto"/>
        <w:ind w:left="284" w:hanging="284"/>
        <w:jc w:val="both"/>
        <w:outlineLvl w:val="0"/>
        <w:rPr>
          <w:rFonts w:ascii="Arial" w:eastAsiaTheme="minorHAnsi" w:hAnsi="Arial" w:cs="Arial"/>
          <w:noProof/>
          <w:lang w:val="en-ZA"/>
        </w:rPr>
      </w:pPr>
    </w:p>
    <w:p w:rsidR="00296319" w:rsidRPr="0003561B" w:rsidRDefault="00296319" w:rsidP="001951CE">
      <w:pPr>
        <w:spacing w:after="0" w:line="360" w:lineRule="auto"/>
        <w:jc w:val="both"/>
        <w:outlineLvl w:val="0"/>
        <w:rPr>
          <w:rFonts w:ascii="Arial" w:eastAsiaTheme="minorHAnsi" w:hAnsi="Arial" w:cs="Arial"/>
          <w:noProof/>
          <w:lang w:val="en-ZA"/>
        </w:rPr>
      </w:pPr>
      <w:r>
        <w:rPr>
          <w:rFonts w:ascii="Arial" w:eastAsiaTheme="minorHAnsi" w:hAnsi="Arial" w:cs="Arial"/>
          <w:noProof/>
          <w:lang w:val="en-ZA"/>
        </w:rPr>
        <w:t>(b)(iv)</w:t>
      </w:r>
      <w:r>
        <w:rPr>
          <w:rFonts w:ascii="Arial" w:eastAsiaTheme="minorHAnsi" w:hAnsi="Arial" w:cs="Arial"/>
          <w:noProof/>
          <w:lang w:val="en-ZA"/>
        </w:rPr>
        <w:tab/>
      </w:r>
      <w:r w:rsidRPr="0003561B">
        <w:rPr>
          <w:rFonts w:ascii="Arial" w:eastAsiaTheme="minorHAnsi" w:hAnsi="Arial" w:cs="Arial"/>
          <w:noProof/>
          <w:lang w:val="en-ZA"/>
        </w:rPr>
        <w:t>National Treasury Regulations</w:t>
      </w:r>
    </w:p>
    <w:p w:rsidR="00296319" w:rsidRPr="0003561B" w:rsidRDefault="00296319" w:rsidP="001951CE">
      <w:pPr>
        <w:spacing w:after="0" w:line="360" w:lineRule="auto"/>
        <w:ind w:left="284" w:hanging="284"/>
        <w:jc w:val="both"/>
        <w:outlineLvl w:val="0"/>
        <w:rPr>
          <w:rFonts w:ascii="Arial" w:eastAsiaTheme="minorHAnsi" w:hAnsi="Arial" w:cs="Arial"/>
          <w:noProof/>
          <w:lang w:val="en-ZA"/>
        </w:rPr>
      </w:pPr>
      <w:r w:rsidRPr="0003561B">
        <w:rPr>
          <w:rFonts w:ascii="Arial" w:eastAsiaTheme="minorHAnsi" w:hAnsi="Arial" w:cs="Arial"/>
          <w:noProof/>
          <w:lang w:val="en-ZA"/>
        </w:rPr>
        <w:t>Yes, the process followed National Treasury procurement guidelines.</w:t>
      </w:r>
    </w:p>
    <w:p w:rsidR="00296319" w:rsidRDefault="00296319" w:rsidP="001951CE">
      <w:pPr>
        <w:spacing w:after="0" w:line="360" w:lineRule="auto"/>
        <w:jc w:val="both"/>
        <w:outlineLvl w:val="0"/>
        <w:rPr>
          <w:rFonts w:ascii="Arial" w:eastAsiaTheme="minorHAnsi" w:hAnsi="Arial" w:cs="Arial"/>
          <w:b/>
          <w:noProof/>
          <w:lang w:val="af-ZA"/>
        </w:rPr>
      </w:pPr>
    </w:p>
    <w:p w:rsidR="00296319" w:rsidRPr="008A676F" w:rsidRDefault="00296319" w:rsidP="001951CE">
      <w:pPr>
        <w:spacing w:after="0" w:line="360" w:lineRule="auto"/>
        <w:ind w:left="284" w:hanging="284"/>
        <w:jc w:val="both"/>
        <w:outlineLvl w:val="0"/>
        <w:rPr>
          <w:rFonts w:ascii="Arial" w:eastAsiaTheme="minorHAnsi" w:hAnsi="Arial" w:cs="Arial"/>
          <w:b/>
          <w:noProof/>
          <w:lang w:val="en-ZA"/>
        </w:rPr>
      </w:pPr>
      <w:r>
        <w:rPr>
          <w:rFonts w:ascii="Arial" w:eastAsiaTheme="minorHAnsi" w:hAnsi="Arial" w:cs="Arial"/>
          <w:b/>
          <w:noProof/>
          <w:lang w:val="af-ZA"/>
        </w:rPr>
        <w:t>South African Civil Aviation Authority (SACAA)</w:t>
      </w:r>
    </w:p>
    <w:p w:rsidR="00296319" w:rsidRPr="00741726" w:rsidRDefault="00296319" w:rsidP="001951CE">
      <w:pPr>
        <w:pStyle w:val="ListParagraph"/>
        <w:numPr>
          <w:ilvl w:val="0"/>
          <w:numId w:val="32"/>
        </w:numPr>
        <w:spacing w:before="100" w:beforeAutospacing="1" w:after="100" w:afterAutospacing="1" w:line="360" w:lineRule="auto"/>
        <w:ind w:left="426" w:hanging="426"/>
        <w:jc w:val="both"/>
        <w:outlineLvl w:val="0"/>
        <w:rPr>
          <w:rFonts w:ascii="Arial" w:eastAsia="Calibri" w:hAnsi="Arial" w:cs="Arial"/>
          <w:lang w:val="af-ZA"/>
        </w:rPr>
      </w:pPr>
      <w:r w:rsidRPr="00741726">
        <w:rPr>
          <w:rFonts w:ascii="Arial" w:eastAsia="Calibri" w:hAnsi="Arial" w:cs="Arial"/>
        </w:rPr>
        <w:t>Not applicable</w:t>
      </w:r>
      <w:r w:rsidRPr="00741726">
        <w:rPr>
          <w:rFonts w:ascii="Arial" w:eastAsia="Calibri" w:hAnsi="Arial" w:cs="Arial"/>
          <w:lang w:val="en-ZA"/>
        </w:rPr>
        <w:t xml:space="preserve"> (b)</w:t>
      </w:r>
      <w:r w:rsidRPr="00741726">
        <w:rPr>
          <w:rFonts w:ascii="Arial" w:eastAsia="Calibri" w:hAnsi="Arial" w:cs="Arial"/>
        </w:rPr>
        <w:t>, out of all the companies named, Vox Telecommunications is the only company that was awarded a contract by the South African Civil Aviation Authority (SACAA</w:t>
      </w:r>
      <w:proofErr w:type="gramStart"/>
      <w:r w:rsidRPr="00741726">
        <w:rPr>
          <w:rFonts w:ascii="Arial" w:eastAsia="Calibri" w:hAnsi="Arial" w:cs="Arial"/>
        </w:rPr>
        <w:t>) .</w:t>
      </w:r>
      <w:proofErr w:type="gramEnd"/>
      <w:r w:rsidRPr="00741726">
        <w:rPr>
          <w:rFonts w:ascii="Arial" w:eastAsia="Calibri" w:hAnsi="Arial" w:cs="Arial"/>
        </w:rPr>
        <w:t xml:space="preserve"> The table below provide further details relating to the following portions of the Parliamentary Question: </w:t>
      </w:r>
      <w:r w:rsidRPr="00741726">
        <w:rPr>
          <w:rFonts w:ascii="Arial" w:eastAsia="Calibri" w:hAnsi="Arial" w:cs="Arial"/>
          <w:lang w:val="en-ZA"/>
        </w:rPr>
        <w:t>(</w:t>
      </w:r>
      <w:proofErr w:type="spellStart"/>
      <w:r w:rsidRPr="00741726">
        <w:rPr>
          <w:rFonts w:ascii="Arial" w:eastAsia="Calibri" w:hAnsi="Arial" w:cs="Arial"/>
          <w:lang w:val="en-ZA"/>
        </w:rPr>
        <w:t>i</w:t>
      </w:r>
      <w:proofErr w:type="spellEnd"/>
      <w:r w:rsidRPr="00741726">
        <w:rPr>
          <w:rFonts w:ascii="Arial" w:eastAsia="Calibri" w:hAnsi="Arial" w:cs="Arial"/>
          <w:lang w:val="en-ZA"/>
        </w:rPr>
        <w:t>) service</w:t>
      </w:r>
      <w:r w:rsidRPr="00741726">
        <w:rPr>
          <w:rFonts w:ascii="Arial" w:eastAsia="Calibri" w:hAnsi="Arial" w:cs="Arial"/>
        </w:rPr>
        <w:t>s</w:t>
      </w:r>
      <w:r w:rsidRPr="00741726">
        <w:rPr>
          <w:rFonts w:ascii="Arial" w:eastAsia="Calibri" w:hAnsi="Arial" w:cs="Arial"/>
          <w:lang w:val="en-ZA"/>
        </w:rPr>
        <w:t xml:space="preserve"> provided, (ii) (aa) </w:t>
      </w:r>
      <w:r w:rsidRPr="00741726">
        <w:rPr>
          <w:rFonts w:ascii="Arial" w:eastAsia="Calibri" w:hAnsi="Arial" w:cs="Arial"/>
        </w:rPr>
        <w:t xml:space="preserve">the </w:t>
      </w:r>
      <w:r w:rsidRPr="00741726">
        <w:rPr>
          <w:rFonts w:ascii="Arial" w:eastAsia="Calibri" w:hAnsi="Arial" w:cs="Arial"/>
          <w:lang w:val="en-ZA"/>
        </w:rPr>
        <w:t xml:space="preserve">value </w:t>
      </w:r>
      <w:r w:rsidRPr="00741726">
        <w:rPr>
          <w:rFonts w:ascii="Arial" w:eastAsia="Calibri" w:hAnsi="Arial" w:cs="Arial"/>
        </w:rPr>
        <w:t xml:space="preserve">of the contract, </w:t>
      </w:r>
      <w:r w:rsidRPr="00741726">
        <w:rPr>
          <w:rFonts w:ascii="Arial" w:eastAsia="Calibri" w:hAnsi="Arial" w:cs="Arial"/>
          <w:lang w:val="en-ZA"/>
        </w:rPr>
        <w:t xml:space="preserve">and (bb) duration of the contract, (iii) </w:t>
      </w:r>
      <w:r w:rsidRPr="00741726">
        <w:rPr>
          <w:rFonts w:ascii="Arial" w:eastAsia="Calibri" w:hAnsi="Arial" w:cs="Arial"/>
        </w:rPr>
        <w:t>approval pertaining to</w:t>
      </w:r>
      <w:r w:rsidRPr="00741726">
        <w:rPr>
          <w:rFonts w:ascii="Arial" w:eastAsia="Calibri" w:hAnsi="Arial" w:cs="Arial"/>
          <w:lang w:val="en-ZA"/>
        </w:rPr>
        <w:t xml:space="preserve"> the contract and (iv) </w:t>
      </w:r>
      <w:r w:rsidRPr="00741726">
        <w:rPr>
          <w:rFonts w:ascii="Arial" w:eastAsia="Calibri" w:hAnsi="Arial" w:cs="Arial"/>
        </w:rPr>
        <w:t>whether</w:t>
      </w:r>
      <w:r w:rsidRPr="00741726">
        <w:rPr>
          <w:rFonts w:ascii="Arial" w:eastAsia="Calibri" w:hAnsi="Arial" w:cs="Arial"/>
          <w:lang w:val="en-ZA"/>
        </w:rPr>
        <w:t xml:space="preserve"> the contract </w:t>
      </w:r>
      <w:r w:rsidRPr="00741726">
        <w:rPr>
          <w:rFonts w:ascii="Arial" w:eastAsia="Calibri" w:hAnsi="Arial" w:cs="Arial"/>
        </w:rPr>
        <w:t xml:space="preserve">was done </w:t>
      </w:r>
      <w:r w:rsidRPr="00741726">
        <w:rPr>
          <w:rFonts w:ascii="Arial" w:eastAsia="Calibri" w:hAnsi="Arial" w:cs="Arial"/>
          <w:lang w:val="en-ZA"/>
        </w:rPr>
        <w:t>in line with all National Treasury and departmental procurement guidelines</w:t>
      </w:r>
      <w:r w:rsidRPr="00741726">
        <w:rPr>
          <w:rFonts w:ascii="Arial" w:eastAsia="Calibri" w:hAnsi="Arial" w:cs="Arial"/>
          <w:lang w:val="af-ZA"/>
        </w:rPr>
        <w:t>?</w:t>
      </w:r>
      <w:r w:rsidRPr="00741726">
        <w:rPr>
          <w:rFonts w:ascii="Arial" w:eastAsia="Calibri" w:hAnsi="Arial" w:cs="Arial"/>
          <w:lang w:val="af-ZA"/>
        </w:rPr>
        <w:tab/>
      </w:r>
      <w:r w:rsidRPr="00741726">
        <w:rPr>
          <w:rFonts w:ascii="Arial" w:hAnsi="Arial" w:cs="Arial"/>
          <w:noProof/>
          <w:lang w:val="af-ZA"/>
        </w:rPr>
        <w:tab/>
      </w:r>
      <w:r w:rsidRPr="00741726">
        <w:rPr>
          <w:rFonts w:ascii="Arial" w:hAnsi="Arial" w:cs="Arial"/>
          <w:noProof/>
          <w:lang w:val="af-ZA"/>
        </w:rPr>
        <w:tab/>
      </w:r>
    </w:p>
    <w:tbl>
      <w:tblPr>
        <w:tblStyle w:val="TableGrid"/>
        <w:tblW w:w="10916" w:type="dxa"/>
        <w:tblInd w:w="-431" w:type="dxa"/>
        <w:tblLayout w:type="fixed"/>
        <w:tblLook w:val="04A0"/>
      </w:tblPr>
      <w:tblGrid>
        <w:gridCol w:w="1986"/>
        <w:gridCol w:w="1275"/>
        <w:gridCol w:w="1418"/>
        <w:gridCol w:w="1984"/>
        <w:gridCol w:w="2552"/>
        <w:gridCol w:w="1701"/>
      </w:tblGrid>
      <w:tr w:rsidR="00296319" w:rsidRPr="00405CE6" w:rsidTr="006855C9">
        <w:trPr>
          <w:trHeight w:val="997"/>
        </w:trPr>
        <w:tc>
          <w:tcPr>
            <w:tcW w:w="10916" w:type="dxa"/>
            <w:gridSpan w:val="6"/>
            <w:shd w:val="clear" w:color="auto" w:fill="B2A1C7" w:themeFill="accent4" w:themeFillTint="99"/>
          </w:tcPr>
          <w:p w:rsidR="00296319" w:rsidRPr="00686D9B" w:rsidRDefault="00296319" w:rsidP="006855C9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 Narrow" w:eastAsia="Calibri" w:hAnsi="Arial Narrow" w:cs="Arial"/>
                <w:b/>
                <w:sz w:val="26"/>
                <w:szCs w:val="26"/>
                <w:lang w:val="en-ZA"/>
              </w:rPr>
            </w:pPr>
            <w:r w:rsidRPr="00686D9B">
              <w:rPr>
                <w:rFonts w:ascii="Arial Narrow" w:hAnsi="Arial Narrow" w:cs="Arial"/>
                <w:b/>
                <w:sz w:val="26"/>
                <w:szCs w:val="26"/>
              </w:rPr>
              <w:t xml:space="preserve">South African Civil Aviation Authority (SACAA) information relating to tender(s) awarded after 01 January 2009 to specific companies as named in Parliamentary Question </w:t>
            </w:r>
            <w:r w:rsidRPr="00686D9B">
              <w:rPr>
                <w:rFonts w:ascii="Arial Narrow" w:eastAsia="Calibri" w:hAnsi="Arial Narrow" w:cs="Arial"/>
                <w:b/>
                <w:sz w:val="26"/>
                <w:szCs w:val="26"/>
                <w:lang w:val="en-ZA"/>
              </w:rPr>
              <w:t>Number: 3322</w:t>
            </w:r>
          </w:p>
        </w:tc>
      </w:tr>
      <w:tr w:rsidR="00296319" w:rsidRPr="00405CE6" w:rsidTr="006855C9">
        <w:trPr>
          <w:trHeight w:val="497"/>
        </w:trPr>
        <w:tc>
          <w:tcPr>
            <w:tcW w:w="1986" w:type="dxa"/>
            <w:shd w:val="clear" w:color="auto" w:fill="E5DFEC" w:themeFill="accent4" w:themeFillTint="33"/>
          </w:tcPr>
          <w:p w:rsidR="00296319" w:rsidRPr="00405CE6" w:rsidRDefault="00296319" w:rsidP="006855C9">
            <w:pPr>
              <w:rPr>
                <w:rFonts w:ascii="Arial Narrow" w:hAnsi="Arial Narrow" w:cs="Arial"/>
                <w:b/>
              </w:rPr>
            </w:pPr>
            <w:r w:rsidRPr="00405CE6">
              <w:rPr>
                <w:rFonts w:ascii="Arial Narrow" w:hAnsi="Arial Narrow" w:cs="Arial"/>
                <w:b/>
              </w:rPr>
              <w:t>Name of company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296319" w:rsidRPr="00405CE6" w:rsidRDefault="00296319" w:rsidP="006855C9">
            <w:pPr>
              <w:jc w:val="both"/>
              <w:rPr>
                <w:rFonts w:ascii="Arial Narrow" w:hAnsi="Arial Narrow" w:cs="Arial"/>
                <w:b/>
              </w:rPr>
            </w:pPr>
            <w:r w:rsidRPr="00405CE6">
              <w:rPr>
                <w:rFonts w:ascii="Arial Narrow" w:hAnsi="Arial Narrow" w:cs="Arial"/>
                <w:b/>
              </w:rPr>
              <w:t>Services provided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296319" w:rsidRPr="00405CE6" w:rsidRDefault="00296319" w:rsidP="006855C9">
            <w:pPr>
              <w:rPr>
                <w:rFonts w:ascii="Arial Narrow" w:hAnsi="Arial Narrow" w:cs="Arial"/>
                <w:b/>
              </w:rPr>
            </w:pPr>
            <w:r w:rsidRPr="00405CE6">
              <w:rPr>
                <w:rFonts w:ascii="Arial Narrow" w:hAnsi="Arial Narrow" w:cs="Arial"/>
                <w:b/>
              </w:rPr>
              <w:t>Duration of the contact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296319" w:rsidRPr="00405CE6" w:rsidRDefault="00296319" w:rsidP="006855C9">
            <w:pPr>
              <w:jc w:val="both"/>
              <w:rPr>
                <w:rFonts w:ascii="Arial Narrow" w:hAnsi="Arial Narrow" w:cs="Arial"/>
                <w:b/>
              </w:rPr>
            </w:pPr>
            <w:r w:rsidRPr="00405CE6">
              <w:rPr>
                <w:rFonts w:ascii="Arial Narrow" w:hAnsi="Arial Narrow" w:cs="Arial"/>
                <w:b/>
              </w:rPr>
              <w:t xml:space="preserve">Tender approval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296319" w:rsidRDefault="00296319" w:rsidP="006855C9">
            <w:pPr>
              <w:rPr>
                <w:rFonts w:ascii="Arial Narrow" w:hAnsi="Arial Narrow" w:cs="Arial"/>
                <w:b/>
              </w:rPr>
            </w:pPr>
            <w:r w:rsidRPr="00405CE6">
              <w:rPr>
                <w:rFonts w:ascii="Arial Narrow" w:hAnsi="Arial Narrow" w:cs="Arial"/>
                <w:b/>
              </w:rPr>
              <w:t xml:space="preserve">Were </w:t>
            </w:r>
            <w:r w:rsidRPr="00405CE6">
              <w:rPr>
                <w:rFonts w:ascii="Arial Narrow" w:eastAsiaTheme="minorHAnsi" w:hAnsi="Arial Narrow" w:cs="Arial"/>
                <w:b/>
                <w:noProof/>
                <w:lang w:val="en-ZA"/>
              </w:rPr>
              <w:t>National Treasury and departmental procurement guidelines</w:t>
            </w:r>
            <w:r w:rsidRPr="00405CE6">
              <w:rPr>
                <w:rFonts w:ascii="Arial Narrow" w:hAnsi="Arial Narrow" w:cs="Arial"/>
                <w:b/>
                <w:noProof/>
                <w:lang w:val="en-ZA"/>
              </w:rPr>
              <w:t xml:space="preserve"> followed when awarding the tender?</w:t>
            </w:r>
            <w:r w:rsidRPr="00405CE6">
              <w:rPr>
                <w:rFonts w:ascii="Arial Narrow" w:hAnsi="Arial Narrow" w:cs="Arial"/>
                <w:b/>
              </w:rPr>
              <w:t xml:space="preserve"> </w:t>
            </w:r>
          </w:p>
          <w:p w:rsidR="00296319" w:rsidRPr="00405CE6" w:rsidRDefault="00296319" w:rsidP="006855C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296319" w:rsidRPr="00405CE6" w:rsidRDefault="00296319" w:rsidP="006855C9">
            <w:pPr>
              <w:rPr>
                <w:rFonts w:ascii="Arial Narrow" w:hAnsi="Arial Narrow" w:cs="Arial"/>
                <w:b/>
              </w:rPr>
            </w:pPr>
            <w:r w:rsidRPr="00405CE6">
              <w:rPr>
                <w:rFonts w:ascii="Arial Narrow" w:hAnsi="Arial Narrow" w:cs="Arial"/>
                <w:b/>
              </w:rPr>
              <w:t>Value of the contract</w:t>
            </w:r>
          </w:p>
        </w:tc>
      </w:tr>
      <w:tr w:rsidR="00296319" w:rsidRPr="00F71C69" w:rsidTr="006855C9">
        <w:trPr>
          <w:trHeight w:val="814"/>
        </w:trPr>
        <w:tc>
          <w:tcPr>
            <w:tcW w:w="1986" w:type="dxa"/>
            <w:shd w:val="clear" w:color="auto" w:fill="FFFFFF" w:themeFill="background1"/>
          </w:tcPr>
          <w:p w:rsidR="00296319" w:rsidRPr="00F71C69" w:rsidRDefault="00296319" w:rsidP="006855C9">
            <w:pPr>
              <w:jc w:val="both"/>
              <w:rPr>
                <w:rFonts w:ascii="Arial Narrow" w:hAnsi="Arial Narrow" w:cs="Arial"/>
                <w:noProof/>
              </w:rPr>
            </w:pPr>
            <w:r w:rsidRPr="00F71C69">
              <w:rPr>
                <w:rFonts w:ascii="Arial Narrow" w:hAnsi="Arial Narrow" w:cs="Arial"/>
                <w:noProof/>
              </w:rPr>
              <w:t>Vox Telecommunications</w:t>
            </w:r>
          </w:p>
          <w:p w:rsidR="00296319" w:rsidRPr="00F71C69" w:rsidRDefault="00296319" w:rsidP="006855C9">
            <w:pPr>
              <w:rPr>
                <w:rFonts w:ascii="Arial Narrow" w:hAnsi="Arial Narrow" w:cs="Arial"/>
              </w:rPr>
            </w:pPr>
            <w:r w:rsidRPr="00F71C69">
              <w:rPr>
                <w:rFonts w:ascii="Arial Narrow" w:hAnsi="Arial Narrow" w:cs="Arial"/>
                <w:noProof/>
              </w:rPr>
              <w:t>(2011/000797/07)</w:t>
            </w:r>
          </w:p>
        </w:tc>
        <w:tc>
          <w:tcPr>
            <w:tcW w:w="1275" w:type="dxa"/>
            <w:shd w:val="clear" w:color="auto" w:fill="FFFFFF" w:themeFill="background1"/>
          </w:tcPr>
          <w:p w:rsidR="00296319" w:rsidRPr="00F71C69" w:rsidRDefault="00296319" w:rsidP="006855C9">
            <w:pPr>
              <w:jc w:val="both"/>
              <w:rPr>
                <w:rFonts w:ascii="Arial Narrow" w:hAnsi="Arial Narrow" w:cs="Arial"/>
              </w:rPr>
            </w:pPr>
            <w:r w:rsidRPr="00F71C69">
              <w:rPr>
                <w:rFonts w:ascii="Arial Narrow" w:hAnsi="Arial Narrow" w:cs="Arial"/>
              </w:rPr>
              <w:t xml:space="preserve">Internet and Mail Hosting Solution </w:t>
            </w:r>
          </w:p>
        </w:tc>
        <w:tc>
          <w:tcPr>
            <w:tcW w:w="1418" w:type="dxa"/>
            <w:shd w:val="clear" w:color="auto" w:fill="FFFFFF" w:themeFill="background1"/>
          </w:tcPr>
          <w:p w:rsidR="00296319" w:rsidRPr="00F71C69" w:rsidRDefault="00296319" w:rsidP="006855C9">
            <w:pPr>
              <w:rPr>
                <w:rFonts w:ascii="Arial Narrow" w:eastAsia="Calibri" w:hAnsi="Arial Narrow" w:cs="Arial"/>
                <w:lang w:val="en-ZA"/>
              </w:rPr>
            </w:pPr>
            <w:r w:rsidRPr="00F71C69">
              <w:rPr>
                <w:rFonts w:ascii="Arial Narrow" w:eastAsia="Calibri" w:hAnsi="Arial Narrow" w:cs="Arial"/>
                <w:lang w:val="en-ZA"/>
              </w:rPr>
              <w:t xml:space="preserve">01 December 2016 </w:t>
            </w:r>
          </w:p>
          <w:p w:rsidR="00296319" w:rsidRPr="00F71C69" w:rsidRDefault="00296319" w:rsidP="006855C9">
            <w:pPr>
              <w:rPr>
                <w:rFonts w:ascii="Arial Narrow" w:eastAsia="Calibri" w:hAnsi="Arial Narrow" w:cs="Arial"/>
                <w:lang w:val="en-ZA"/>
              </w:rPr>
            </w:pPr>
          </w:p>
          <w:p w:rsidR="00296319" w:rsidRPr="00F71C69" w:rsidRDefault="00296319" w:rsidP="006855C9">
            <w:pPr>
              <w:rPr>
                <w:rFonts w:ascii="Arial Narrow" w:eastAsia="Calibri" w:hAnsi="Arial Narrow" w:cs="Arial"/>
                <w:lang w:val="en-ZA"/>
              </w:rPr>
            </w:pPr>
            <w:r w:rsidRPr="00F71C69">
              <w:rPr>
                <w:rFonts w:ascii="Arial Narrow" w:eastAsia="Calibri" w:hAnsi="Arial Narrow" w:cs="Arial"/>
                <w:lang w:val="en-ZA"/>
              </w:rPr>
              <w:t xml:space="preserve">until </w:t>
            </w:r>
          </w:p>
          <w:p w:rsidR="00296319" w:rsidRPr="00F71C69" w:rsidRDefault="00296319" w:rsidP="006855C9">
            <w:pPr>
              <w:rPr>
                <w:rFonts w:ascii="Arial Narrow" w:eastAsia="Calibri" w:hAnsi="Arial Narrow" w:cs="Arial"/>
                <w:lang w:val="en-ZA"/>
              </w:rPr>
            </w:pPr>
          </w:p>
          <w:p w:rsidR="00296319" w:rsidRPr="00F71C69" w:rsidRDefault="00296319" w:rsidP="006855C9">
            <w:pPr>
              <w:rPr>
                <w:rFonts w:ascii="Arial Narrow" w:eastAsia="Calibri" w:hAnsi="Arial Narrow" w:cs="Arial"/>
                <w:lang w:val="en-ZA"/>
              </w:rPr>
            </w:pPr>
            <w:r w:rsidRPr="00F71C69">
              <w:rPr>
                <w:rFonts w:ascii="Arial Narrow" w:eastAsia="Calibri" w:hAnsi="Arial Narrow" w:cs="Arial"/>
                <w:lang w:val="en-ZA"/>
              </w:rPr>
              <w:t>30 November 2021</w:t>
            </w:r>
          </w:p>
          <w:p w:rsidR="00296319" w:rsidRPr="00F71C69" w:rsidRDefault="00296319" w:rsidP="006855C9">
            <w:pPr>
              <w:rPr>
                <w:rFonts w:ascii="Arial Narrow" w:eastAsia="Calibri" w:hAnsi="Arial Narrow" w:cs="Arial"/>
                <w:lang w:val="en-ZA"/>
              </w:rPr>
            </w:pPr>
            <w:r w:rsidRPr="00F71C69">
              <w:rPr>
                <w:rFonts w:ascii="Arial Narrow" w:eastAsia="Calibri" w:hAnsi="Arial Narrow" w:cs="Arial"/>
                <w:lang w:val="en-ZA"/>
              </w:rPr>
              <w:t>(Five years)</w:t>
            </w:r>
          </w:p>
          <w:p w:rsidR="00296319" w:rsidRPr="00F71C69" w:rsidRDefault="00296319" w:rsidP="006855C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6319" w:rsidRPr="00F71C69" w:rsidRDefault="00296319" w:rsidP="006855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In line with SACAA procurement processes and policies, the Bid Adjudication Committee, Bid Evaluation Committee, Director </w:t>
            </w:r>
            <w:r>
              <w:rPr>
                <w:rFonts w:ascii="Arial Narrow" w:hAnsi="Arial Narrow" w:cs="Arial"/>
              </w:rPr>
              <w:lastRenderedPageBreak/>
              <w:t xml:space="preserve">of Civil Aviation (CEO), the Board’s Procurement Oversight Committee, and the Board respectively played their part in the approval process.  </w:t>
            </w:r>
          </w:p>
        </w:tc>
        <w:tc>
          <w:tcPr>
            <w:tcW w:w="2552" w:type="dxa"/>
            <w:shd w:val="clear" w:color="auto" w:fill="FFFFFF" w:themeFill="background1"/>
          </w:tcPr>
          <w:p w:rsidR="00296319" w:rsidRPr="00C519C8" w:rsidRDefault="00296319" w:rsidP="006855C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Calibri" w:hAnsi="Arial Narrow" w:cs="Arial"/>
                <w:lang w:val="en-ZA"/>
              </w:rPr>
              <w:lastRenderedPageBreak/>
              <w:t xml:space="preserve">The </w:t>
            </w:r>
            <w:r w:rsidRPr="00C519C8">
              <w:rPr>
                <w:rFonts w:ascii="Arial Narrow" w:eastAsia="Calibri" w:hAnsi="Arial Narrow" w:cs="Arial"/>
                <w:lang w:val="en-ZA"/>
              </w:rPr>
              <w:t xml:space="preserve">SACAA confirms that </w:t>
            </w:r>
            <w:r>
              <w:rPr>
                <w:rFonts w:ascii="Arial Narrow" w:eastAsia="Calibri" w:hAnsi="Arial Narrow" w:cs="Arial"/>
                <w:lang w:val="en-ZA"/>
              </w:rPr>
              <w:t xml:space="preserve">the tender process </w:t>
            </w:r>
            <w:r w:rsidRPr="00C519C8">
              <w:rPr>
                <w:rFonts w:ascii="Arial Narrow" w:eastAsia="Calibri" w:hAnsi="Arial Narrow" w:cs="Arial"/>
                <w:lang w:val="en-ZA"/>
              </w:rPr>
              <w:t>complied with all N</w:t>
            </w:r>
            <w:r>
              <w:rPr>
                <w:rFonts w:ascii="Arial Narrow" w:eastAsia="Calibri" w:hAnsi="Arial Narrow" w:cs="Arial"/>
                <w:lang w:val="en-ZA"/>
              </w:rPr>
              <w:t xml:space="preserve">ational </w:t>
            </w:r>
            <w:r w:rsidRPr="00C519C8">
              <w:rPr>
                <w:rFonts w:ascii="Arial Narrow" w:eastAsia="Calibri" w:hAnsi="Arial Narrow" w:cs="Arial"/>
                <w:lang w:val="en-ZA"/>
              </w:rPr>
              <w:t>T</w:t>
            </w:r>
            <w:r>
              <w:rPr>
                <w:rFonts w:ascii="Arial Narrow" w:eastAsia="Calibri" w:hAnsi="Arial Narrow" w:cs="Arial"/>
                <w:lang w:val="en-ZA"/>
              </w:rPr>
              <w:t>reasury</w:t>
            </w:r>
            <w:r w:rsidRPr="00C519C8">
              <w:rPr>
                <w:rFonts w:ascii="Arial Narrow" w:eastAsia="Calibri" w:hAnsi="Arial Narrow" w:cs="Arial"/>
                <w:lang w:val="en-ZA"/>
              </w:rPr>
              <w:t xml:space="preserve"> and </w:t>
            </w:r>
            <w:r>
              <w:rPr>
                <w:rFonts w:ascii="Arial Narrow" w:eastAsia="Calibri" w:hAnsi="Arial Narrow" w:cs="Arial"/>
                <w:lang w:val="en-ZA"/>
              </w:rPr>
              <w:t xml:space="preserve">organisational procedures and guidelines. </w:t>
            </w:r>
            <w:r w:rsidRPr="00C519C8">
              <w:rPr>
                <w:rFonts w:ascii="Arial Narrow" w:eastAsia="Calibri" w:hAnsi="Arial Narrow" w:cs="Arial"/>
                <w:lang w:val="en-ZA"/>
              </w:rPr>
              <w:t xml:space="preserve">The Tender was also vetted by Internal audit as per </w:t>
            </w:r>
            <w:r w:rsidRPr="00C519C8">
              <w:rPr>
                <w:rFonts w:ascii="Arial Narrow" w:hAnsi="Arial Narrow" w:cs="Arial"/>
              </w:rPr>
              <w:t xml:space="preserve">section 3.5 of the </w:t>
            </w:r>
            <w:r w:rsidRPr="00C519C8">
              <w:rPr>
                <w:rFonts w:ascii="Arial Narrow" w:eastAsia="Calibri" w:hAnsi="Arial Narrow" w:cs="Arial"/>
                <w:lang w:val="en-ZA"/>
              </w:rPr>
              <w:t>N</w:t>
            </w:r>
            <w:r>
              <w:rPr>
                <w:rFonts w:ascii="Arial Narrow" w:eastAsia="Calibri" w:hAnsi="Arial Narrow" w:cs="Arial"/>
                <w:lang w:val="en-ZA"/>
              </w:rPr>
              <w:t xml:space="preserve">ational </w:t>
            </w:r>
            <w:r w:rsidRPr="00C519C8">
              <w:rPr>
                <w:rFonts w:ascii="Arial Narrow" w:eastAsia="Calibri" w:hAnsi="Arial Narrow" w:cs="Arial"/>
                <w:lang w:val="en-ZA"/>
              </w:rPr>
              <w:lastRenderedPageBreak/>
              <w:t>T</w:t>
            </w:r>
            <w:r>
              <w:rPr>
                <w:rFonts w:ascii="Arial Narrow" w:eastAsia="Calibri" w:hAnsi="Arial Narrow" w:cs="Arial"/>
                <w:lang w:val="en-ZA"/>
              </w:rPr>
              <w:t>reasury</w:t>
            </w:r>
            <w:r w:rsidRPr="00C519C8">
              <w:rPr>
                <w:rFonts w:ascii="Arial Narrow" w:eastAsia="Calibri" w:hAnsi="Arial Narrow" w:cs="Arial"/>
                <w:lang w:val="en-ZA"/>
              </w:rPr>
              <w:t xml:space="preserve"> </w:t>
            </w:r>
            <w:r w:rsidRPr="00C519C8">
              <w:rPr>
                <w:rFonts w:ascii="Arial Narrow" w:hAnsi="Arial Narrow" w:cs="Arial"/>
              </w:rPr>
              <w:t>Instruction Note on Enhancing Compliance Monitoring and Improving transparency and accountability in SCM on Auditing of bidding processes for bids in excess of R 10 million (all applicable taxes included).</w:t>
            </w:r>
          </w:p>
        </w:tc>
        <w:tc>
          <w:tcPr>
            <w:tcW w:w="1701" w:type="dxa"/>
            <w:shd w:val="clear" w:color="auto" w:fill="FFFFFF" w:themeFill="background1"/>
          </w:tcPr>
          <w:p w:rsidR="00296319" w:rsidRDefault="00296319" w:rsidP="006855C9">
            <w:pPr>
              <w:jc w:val="both"/>
              <w:rPr>
                <w:rFonts w:ascii="Arial Narrow" w:hAnsi="Arial Narrow" w:cs="Arial"/>
                <w:color w:val="000000"/>
                <w:lang w:val="en-ZA" w:eastAsia="en-ZA"/>
              </w:rPr>
            </w:pPr>
            <w:r w:rsidRPr="00F71C69">
              <w:rPr>
                <w:rFonts w:ascii="Arial Narrow" w:hAnsi="Arial Narrow" w:cs="Arial"/>
                <w:color w:val="000000"/>
                <w:lang w:val="en-ZA" w:eastAsia="en-ZA"/>
              </w:rPr>
              <w:lastRenderedPageBreak/>
              <w:t xml:space="preserve">R17 121 910.46 </w:t>
            </w:r>
          </w:p>
          <w:p w:rsidR="00296319" w:rsidRDefault="00296319" w:rsidP="006855C9">
            <w:pPr>
              <w:jc w:val="both"/>
              <w:rPr>
                <w:rFonts w:ascii="Arial Narrow" w:hAnsi="Arial Narrow" w:cs="Arial"/>
                <w:color w:val="000000"/>
                <w:lang w:val="en-ZA" w:eastAsia="en-ZA"/>
              </w:rPr>
            </w:pPr>
          </w:p>
          <w:p w:rsidR="00296319" w:rsidRPr="00F71C69" w:rsidRDefault="00296319" w:rsidP="006855C9">
            <w:pPr>
              <w:jc w:val="both"/>
              <w:rPr>
                <w:rFonts w:ascii="Arial Narrow" w:hAnsi="Arial Narrow" w:cs="Arial"/>
              </w:rPr>
            </w:pPr>
            <w:r w:rsidRPr="00F71C69">
              <w:rPr>
                <w:rFonts w:ascii="Arial Narrow" w:hAnsi="Arial Narrow" w:cs="Arial"/>
                <w:color w:val="000000"/>
                <w:lang w:val="en-ZA" w:eastAsia="en-ZA"/>
              </w:rPr>
              <w:t xml:space="preserve">(Seventeen million one hundred and </w:t>
            </w:r>
            <w:r w:rsidR="001951CE" w:rsidRPr="00F71C69">
              <w:rPr>
                <w:rFonts w:ascii="Arial Narrow" w:hAnsi="Arial Narrow" w:cs="Arial"/>
                <w:color w:val="000000"/>
                <w:lang w:val="en-ZA" w:eastAsia="en-ZA"/>
              </w:rPr>
              <w:t>twenty-one</w:t>
            </w:r>
            <w:r w:rsidRPr="00F71C69">
              <w:rPr>
                <w:rFonts w:ascii="Arial Narrow" w:hAnsi="Arial Narrow" w:cs="Arial"/>
                <w:color w:val="000000"/>
                <w:lang w:val="en-ZA" w:eastAsia="en-ZA"/>
              </w:rPr>
              <w:t xml:space="preserve"> thousand nine hundred and ten rand and forty six </w:t>
            </w:r>
            <w:r w:rsidRPr="00F71C69">
              <w:rPr>
                <w:rFonts w:ascii="Arial Narrow" w:hAnsi="Arial Narrow" w:cs="Arial"/>
                <w:color w:val="000000"/>
                <w:lang w:val="en-ZA" w:eastAsia="en-ZA"/>
              </w:rPr>
              <w:lastRenderedPageBreak/>
              <w:t>cents)</w:t>
            </w:r>
          </w:p>
        </w:tc>
      </w:tr>
      <w:tr w:rsidR="00296319" w:rsidRPr="00C97C56" w:rsidTr="006855C9">
        <w:trPr>
          <w:trHeight w:val="286"/>
        </w:trPr>
        <w:tc>
          <w:tcPr>
            <w:tcW w:w="9215" w:type="dxa"/>
            <w:gridSpan w:val="5"/>
            <w:shd w:val="clear" w:color="auto" w:fill="FFFFFF" w:themeFill="background1"/>
          </w:tcPr>
          <w:p w:rsidR="00296319" w:rsidRDefault="00296319" w:rsidP="006855C9">
            <w:pPr>
              <w:jc w:val="right"/>
              <w:rPr>
                <w:rFonts w:ascii="Arial Narrow" w:hAnsi="Arial Narrow" w:cs="Arial"/>
                <w:szCs w:val="20"/>
              </w:rPr>
            </w:pPr>
            <w:r w:rsidRPr="00F71C69">
              <w:rPr>
                <w:rFonts w:ascii="Arial Narrow" w:hAnsi="Arial Narrow" w:cs="Arial"/>
              </w:rPr>
              <w:lastRenderedPageBreak/>
              <w:t>Total</w:t>
            </w:r>
          </w:p>
        </w:tc>
        <w:tc>
          <w:tcPr>
            <w:tcW w:w="1701" w:type="dxa"/>
            <w:shd w:val="clear" w:color="auto" w:fill="FFFFFF" w:themeFill="background1"/>
          </w:tcPr>
          <w:p w:rsidR="00296319" w:rsidRPr="00DF20D5" w:rsidRDefault="00296319" w:rsidP="006855C9">
            <w:pPr>
              <w:jc w:val="both"/>
              <w:rPr>
                <w:rFonts w:ascii="Arial Narrow" w:hAnsi="Arial Narrow" w:cs="Arial"/>
                <w:color w:val="000000"/>
                <w:lang w:val="en-ZA" w:eastAsia="en-ZA"/>
              </w:rPr>
            </w:pPr>
            <w:r w:rsidRPr="00F71C69">
              <w:rPr>
                <w:rFonts w:ascii="Arial Narrow" w:hAnsi="Arial Narrow" w:cs="Arial"/>
                <w:color w:val="000000"/>
                <w:lang w:val="en-ZA" w:eastAsia="en-ZA"/>
              </w:rPr>
              <w:t xml:space="preserve">R17 121 910.46 </w:t>
            </w:r>
          </w:p>
        </w:tc>
      </w:tr>
    </w:tbl>
    <w:p w:rsidR="001951CE" w:rsidRDefault="001951CE" w:rsidP="00296319">
      <w:pPr>
        <w:spacing w:after="0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296319" w:rsidRDefault="00296319" w:rsidP="001951C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F97642">
        <w:rPr>
          <w:rFonts w:ascii="Arial" w:eastAsia="Calibri" w:hAnsi="Arial" w:cs="Arial"/>
          <w:b/>
          <w:lang w:val="en-ZA"/>
        </w:rPr>
        <w:t>Cross-Border Road Transport Agency (C-BRTA</w:t>
      </w:r>
      <w:r>
        <w:rPr>
          <w:rFonts w:ascii="Arial" w:eastAsia="Calibri" w:hAnsi="Arial" w:cs="Arial"/>
          <w:b/>
          <w:lang w:val="en-ZA"/>
        </w:rPr>
        <w:t>)</w:t>
      </w:r>
    </w:p>
    <w:p w:rsidR="00296319" w:rsidRDefault="00296319" w:rsidP="001951CE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FF671F">
        <w:rPr>
          <w:rFonts w:ascii="Arial" w:eastAsia="Calibri" w:hAnsi="Arial" w:cs="Arial"/>
          <w:lang w:val="en-ZA"/>
        </w:rPr>
        <w:t>(b) The</w:t>
      </w:r>
      <w:r w:rsidRPr="00F97642">
        <w:rPr>
          <w:rFonts w:ascii="Arial" w:eastAsia="Calibri" w:hAnsi="Arial" w:cs="Arial"/>
          <w:b/>
          <w:lang w:val="en-ZA"/>
        </w:rPr>
        <w:t xml:space="preserve"> </w:t>
      </w:r>
      <w:r w:rsidRPr="002365B6">
        <w:rPr>
          <w:rFonts w:ascii="Arial" w:eastAsia="Calibri" w:hAnsi="Arial" w:cs="Arial"/>
          <w:lang w:val="en-ZA"/>
        </w:rPr>
        <w:t xml:space="preserve">Cross-Border Road Transport Agency </w:t>
      </w:r>
      <w:r>
        <w:rPr>
          <w:rFonts w:ascii="Arial" w:eastAsia="Calibri" w:hAnsi="Arial" w:cs="Arial"/>
          <w:lang w:val="en-ZA"/>
        </w:rPr>
        <w:t xml:space="preserve">awarded a contract to Vox Telecommunications </w:t>
      </w:r>
      <w:r w:rsidR="001951CE">
        <w:rPr>
          <w:rFonts w:ascii="Arial" w:eastAsia="Calibri" w:hAnsi="Arial" w:cs="Arial"/>
          <w:lang w:val="en-ZA"/>
        </w:rPr>
        <w:t>in 2014</w:t>
      </w:r>
      <w:r>
        <w:rPr>
          <w:rFonts w:ascii="Arial" w:eastAsia="Calibri" w:hAnsi="Arial" w:cs="Arial"/>
          <w:lang w:val="en-ZA"/>
        </w:rPr>
        <w:t xml:space="preserve">.  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</w:t>
      </w:r>
      <w:proofErr w:type="spellStart"/>
      <w:r>
        <w:rPr>
          <w:rFonts w:ascii="Arial" w:eastAsia="Calibri" w:hAnsi="Arial" w:cs="Arial"/>
          <w:lang w:val="en-ZA"/>
        </w:rPr>
        <w:t>i</w:t>
      </w:r>
      <w:proofErr w:type="spellEnd"/>
      <w:r>
        <w:rPr>
          <w:rFonts w:ascii="Arial" w:eastAsia="Calibri" w:hAnsi="Arial" w:cs="Arial"/>
          <w:lang w:val="en-ZA"/>
        </w:rPr>
        <w:t>) The service that was provided by Vox Telecommunications to the C-BRTA was for a Right Fax solution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(ii) (aa) The value of the contract was R56 220.24 (bb) The duration of the contract was once off installation in 2014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(iii) The contract was approved by the Chief Financial Officer in line with the C-BRTA’s Supply Chain Management delegations (iv) Yes, the contract was in line with all the National Treasury and C-BRTA procurement guidelines.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1951CE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CD27D9">
        <w:rPr>
          <w:rFonts w:ascii="Arial" w:eastAsia="Calibri" w:hAnsi="Arial" w:cs="Arial"/>
          <w:b/>
          <w:lang w:val="en-ZA"/>
        </w:rPr>
        <w:t>Road Accident Fund (RAF</w:t>
      </w:r>
      <w:r>
        <w:rPr>
          <w:rFonts w:ascii="Arial" w:eastAsia="Calibri" w:hAnsi="Arial" w:cs="Arial"/>
          <w:b/>
          <w:lang w:val="en-ZA"/>
        </w:rPr>
        <w:t>)</w:t>
      </w:r>
    </w:p>
    <w:p w:rsidR="00296319" w:rsidRDefault="00296319" w:rsidP="001951CE">
      <w:pPr>
        <w:spacing w:after="0" w:line="360" w:lineRule="auto"/>
        <w:ind w:left="426" w:hanging="426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(b) </w:t>
      </w:r>
      <w:r>
        <w:rPr>
          <w:rFonts w:ascii="Arial" w:eastAsia="Calibri" w:hAnsi="Arial" w:cs="Arial"/>
          <w:lang w:val="en-ZA"/>
        </w:rPr>
        <w:tab/>
        <w:t xml:space="preserve">The </w:t>
      </w:r>
      <w:r w:rsidRPr="002365B6">
        <w:rPr>
          <w:rFonts w:ascii="Arial" w:eastAsia="Calibri" w:hAnsi="Arial" w:cs="Arial"/>
          <w:lang w:val="en-ZA"/>
        </w:rPr>
        <w:t>Road Accident Fund</w:t>
      </w:r>
      <w:r w:rsidRPr="00CD27D9">
        <w:rPr>
          <w:rFonts w:ascii="Arial" w:eastAsia="Calibri" w:hAnsi="Arial" w:cs="Arial"/>
          <w:b/>
          <w:lang w:val="en-ZA"/>
        </w:rPr>
        <w:t xml:space="preserve"> </w:t>
      </w:r>
      <w:r>
        <w:rPr>
          <w:rFonts w:ascii="Arial" w:eastAsia="Calibri" w:hAnsi="Arial" w:cs="Arial"/>
          <w:lang w:val="en-ZA"/>
        </w:rPr>
        <w:t>awarded contracts and/or tenders to the following companies from 1 January 2009 up to 31 October 2018:</w:t>
      </w:r>
      <w:r w:rsidRPr="00C25BE3">
        <w:rPr>
          <w:rFonts w:ascii="Arial" w:eastAsia="Calibri" w:hAnsi="Arial" w:cs="Arial"/>
          <w:lang w:val="en-ZA"/>
        </w:rPr>
        <w:t xml:space="preserve"> </w:t>
      </w:r>
      <w:r>
        <w:rPr>
          <w:rFonts w:ascii="Arial" w:eastAsia="Calibri" w:hAnsi="Arial" w:cs="Arial"/>
          <w:lang w:val="en-ZA"/>
        </w:rPr>
        <w:t>Vox Telecommunication</w:t>
      </w:r>
    </w:p>
    <w:p w:rsidR="00296319" w:rsidRDefault="00296319" w:rsidP="00296319">
      <w:pPr>
        <w:spacing w:after="0"/>
        <w:ind w:left="426" w:hanging="426"/>
        <w:jc w:val="both"/>
        <w:outlineLvl w:val="0"/>
        <w:rPr>
          <w:rFonts w:ascii="Arial" w:eastAsia="Calibri" w:hAnsi="Arial" w:cs="Arial"/>
          <w:lang w:val="en-ZA"/>
        </w:rPr>
      </w:pPr>
    </w:p>
    <w:tbl>
      <w:tblPr>
        <w:tblStyle w:val="TableGrid"/>
        <w:tblW w:w="9918" w:type="dxa"/>
        <w:tblLook w:val="04A0"/>
      </w:tblPr>
      <w:tblGrid>
        <w:gridCol w:w="1606"/>
        <w:gridCol w:w="1933"/>
        <w:gridCol w:w="1701"/>
        <w:gridCol w:w="1538"/>
        <w:gridCol w:w="3140"/>
      </w:tblGrid>
      <w:tr w:rsidR="00296319" w:rsidTr="006855C9">
        <w:tc>
          <w:tcPr>
            <w:tcW w:w="1606" w:type="dxa"/>
          </w:tcPr>
          <w:p w:rsidR="00296319" w:rsidRPr="00C25BE3" w:rsidRDefault="00296319" w:rsidP="006855C9">
            <w:pPr>
              <w:spacing w:line="276" w:lineRule="auto"/>
              <w:ind w:left="-109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(</w:t>
            </w:r>
            <w:proofErr w:type="spellStart"/>
            <w:r w:rsidRPr="00C25BE3">
              <w:rPr>
                <w:rFonts w:ascii="Arial" w:eastAsia="Calibri" w:hAnsi="Arial" w:cs="Arial"/>
                <w:lang w:val="en-ZA"/>
              </w:rPr>
              <w:t>i</w:t>
            </w:r>
            <w:proofErr w:type="spellEnd"/>
            <w:r w:rsidRPr="00C25BE3">
              <w:rPr>
                <w:rFonts w:ascii="Arial" w:eastAsia="Calibri" w:hAnsi="Arial" w:cs="Arial"/>
                <w:lang w:val="en-ZA"/>
              </w:rPr>
              <w:t xml:space="preserve">) the </w:t>
            </w:r>
            <w:r w:rsidR="001951CE" w:rsidRPr="00C25BE3">
              <w:rPr>
                <w:rFonts w:ascii="Arial" w:eastAsia="Calibri" w:hAnsi="Arial" w:cs="Arial"/>
                <w:lang w:val="en-ZA"/>
              </w:rPr>
              <w:t>service provided</w:t>
            </w:r>
            <w:r w:rsidRPr="00C25BE3">
              <w:rPr>
                <w:rFonts w:ascii="Arial" w:eastAsia="Calibri" w:hAnsi="Arial" w:cs="Arial"/>
                <w:lang w:val="en-ZA"/>
              </w:rPr>
              <w:t xml:space="preserve"> was,</w:t>
            </w:r>
          </w:p>
        </w:tc>
        <w:tc>
          <w:tcPr>
            <w:tcW w:w="1933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(ii) (aa) value of the tender and/or contract was</w:t>
            </w:r>
          </w:p>
        </w:tc>
        <w:tc>
          <w:tcPr>
            <w:tcW w:w="1701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>
              <w:rPr>
                <w:rFonts w:ascii="Arial" w:eastAsia="Calibri" w:hAnsi="Arial" w:cs="Arial"/>
                <w:lang w:val="en-ZA"/>
              </w:rPr>
              <w:t xml:space="preserve">(bb) </w:t>
            </w:r>
            <w:r w:rsidRPr="00C25BE3">
              <w:rPr>
                <w:rFonts w:ascii="Arial" w:eastAsia="Calibri" w:hAnsi="Arial" w:cs="Arial"/>
                <w:lang w:val="en-ZA"/>
              </w:rPr>
              <w:t xml:space="preserve">duration </w:t>
            </w:r>
          </w:p>
        </w:tc>
        <w:tc>
          <w:tcPr>
            <w:tcW w:w="1538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(iii) approved by</w:t>
            </w:r>
          </w:p>
        </w:tc>
        <w:tc>
          <w:tcPr>
            <w:tcW w:w="3140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and (iv) the tender and/or contract was in line with all National Treasury and departmental procurement guidelines</w:t>
            </w:r>
          </w:p>
        </w:tc>
      </w:tr>
      <w:tr w:rsidR="00296319" w:rsidTr="006855C9">
        <w:trPr>
          <w:trHeight w:val="670"/>
        </w:trPr>
        <w:tc>
          <w:tcPr>
            <w:tcW w:w="1606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Right Fax</w:t>
            </w:r>
          </w:p>
        </w:tc>
        <w:tc>
          <w:tcPr>
            <w:tcW w:w="1933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R2 878 090.00</w:t>
            </w:r>
          </w:p>
        </w:tc>
        <w:tc>
          <w:tcPr>
            <w:tcW w:w="1701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3 years</w:t>
            </w:r>
          </w:p>
          <w:p w:rsidR="00296319" w:rsidRPr="00C25BE3" w:rsidRDefault="00296319" w:rsidP="006855C9">
            <w:pPr>
              <w:spacing w:line="276" w:lineRule="auto"/>
              <w:rPr>
                <w:rFonts w:ascii="Arial" w:eastAsiaTheme="minorHAnsi" w:hAnsi="Arial" w:cs="Arial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 xml:space="preserve">Date signed: </w:t>
            </w:r>
            <w:r w:rsidRPr="00C25BE3">
              <w:rPr>
                <w:rFonts w:ascii="Arial" w:hAnsi="Arial" w:cs="Arial"/>
              </w:rPr>
              <w:t xml:space="preserve">2013-03-14 </w:t>
            </w:r>
          </w:p>
        </w:tc>
        <w:tc>
          <w:tcPr>
            <w:tcW w:w="1538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ACEO</w:t>
            </w:r>
          </w:p>
        </w:tc>
        <w:tc>
          <w:tcPr>
            <w:tcW w:w="3140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Yes</w:t>
            </w:r>
          </w:p>
        </w:tc>
      </w:tr>
      <w:tr w:rsidR="00296319" w:rsidTr="006855C9">
        <w:tc>
          <w:tcPr>
            <w:tcW w:w="1606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Right Fax</w:t>
            </w:r>
          </w:p>
        </w:tc>
        <w:tc>
          <w:tcPr>
            <w:tcW w:w="1933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R 1 090 774.80</w:t>
            </w:r>
          </w:p>
        </w:tc>
        <w:tc>
          <w:tcPr>
            <w:tcW w:w="1701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1 Year</w:t>
            </w:r>
          </w:p>
          <w:p w:rsidR="00296319" w:rsidRPr="00C25BE3" w:rsidRDefault="00296319" w:rsidP="006855C9">
            <w:pPr>
              <w:spacing w:line="276" w:lineRule="auto"/>
              <w:rPr>
                <w:rFonts w:ascii="Arial" w:eastAsiaTheme="minorHAnsi" w:hAnsi="Arial" w:cs="Arial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 xml:space="preserve">Date signed: </w:t>
            </w:r>
            <w:r w:rsidRPr="00C25BE3">
              <w:rPr>
                <w:rFonts w:ascii="Arial" w:hAnsi="Arial" w:cs="Arial"/>
              </w:rPr>
              <w:t>2016-09-08  </w:t>
            </w:r>
          </w:p>
        </w:tc>
        <w:tc>
          <w:tcPr>
            <w:tcW w:w="1538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ACEO</w:t>
            </w:r>
          </w:p>
        </w:tc>
        <w:tc>
          <w:tcPr>
            <w:tcW w:w="3140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Yes</w:t>
            </w:r>
          </w:p>
        </w:tc>
      </w:tr>
      <w:tr w:rsidR="00296319" w:rsidTr="006855C9">
        <w:tc>
          <w:tcPr>
            <w:tcW w:w="1606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Fax solution</w:t>
            </w:r>
          </w:p>
        </w:tc>
        <w:tc>
          <w:tcPr>
            <w:tcW w:w="1933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R9 593 996.15</w:t>
            </w:r>
          </w:p>
        </w:tc>
        <w:tc>
          <w:tcPr>
            <w:tcW w:w="1701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5 years</w:t>
            </w:r>
          </w:p>
          <w:p w:rsidR="00296319" w:rsidRPr="00C25BE3" w:rsidRDefault="00296319" w:rsidP="006855C9">
            <w:pPr>
              <w:spacing w:line="276" w:lineRule="auto"/>
              <w:rPr>
                <w:rFonts w:ascii="Arial" w:eastAsiaTheme="minorHAnsi" w:hAnsi="Arial" w:cs="Arial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 xml:space="preserve">Date signed: </w:t>
            </w:r>
            <w:r w:rsidRPr="00C25BE3">
              <w:rPr>
                <w:rFonts w:ascii="Arial" w:hAnsi="Arial" w:cs="Arial"/>
              </w:rPr>
              <w:t>2017-11-20</w:t>
            </w:r>
          </w:p>
        </w:tc>
        <w:tc>
          <w:tcPr>
            <w:tcW w:w="1538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ACEO</w:t>
            </w:r>
          </w:p>
        </w:tc>
        <w:tc>
          <w:tcPr>
            <w:tcW w:w="3140" w:type="dxa"/>
          </w:tcPr>
          <w:p w:rsidR="00296319" w:rsidRPr="00C25BE3" w:rsidRDefault="00296319" w:rsidP="006855C9">
            <w:pPr>
              <w:spacing w:line="276" w:lineRule="auto"/>
              <w:jc w:val="both"/>
              <w:outlineLvl w:val="0"/>
              <w:rPr>
                <w:rFonts w:ascii="Arial" w:eastAsia="Calibri" w:hAnsi="Arial" w:cs="Arial"/>
                <w:lang w:val="en-ZA"/>
              </w:rPr>
            </w:pPr>
            <w:r w:rsidRPr="00C25BE3">
              <w:rPr>
                <w:rFonts w:ascii="Arial" w:eastAsia="Calibri" w:hAnsi="Arial" w:cs="Arial"/>
                <w:lang w:val="en-ZA"/>
              </w:rPr>
              <w:t>Yes</w:t>
            </w:r>
          </w:p>
        </w:tc>
      </w:tr>
    </w:tbl>
    <w:p w:rsidR="00296319" w:rsidRDefault="00296319" w:rsidP="00296319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Road Traffic Management Corporation </w:t>
      </w:r>
      <w:r w:rsidRPr="00F97642">
        <w:rPr>
          <w:rFonts w:ascii="Arial" w:eastAsia="Calibri" w:hAnsi="Arial" w:cs="Arial"/>
          <w:b/>
          <w:lang w:val="en-ZA"/>
        </w:rPr>
        <w:t>(</w:t>
      </w:r>
      <w:r>
        <w:rPr>
          <w:rFonts w:ascii="Arial" w:eastAsia="Calibri" w:hAnsi="Arial" w:cs="Arial"/>
          <w:b/>
          <w:lang w:val="en-ZA"/>
        </w:rPr>
        <w:t>RTMC)</w:t>
      </w:r>
    </w:p>
    <w:p w:rsidR="00296319" w:rsidRDefault="00296319" w:rsidP="001951CE">
      <w:pPr>
        <w:spacing w:after="0" w:line="360" w:lineRule="auto"/>
        <w:ind w:left="720" w:hanging="567"/>
        <w:jc w:val="both"/>
        <w:outlineLvl w:val="0"/>
        <w:rPr>
          <w:rFonts w:ascii="Arial" w:eastAsia="Calibri" w:hAnsi="Arial" w:cs="Arial"/>
          <w:lang w:val="en-ZA"/>
        </w:rPr>
      </w:pPr>
      <w:r w:rsidRPr="00FF671F">
        <w:rPr>
          <w:rFonts w:ascii="Arial" w:eastAsia="Calibri" w:hAnsi="Arial" w:cs="Arial"/>
          <w:lang w:val="en-ZA"/>
        </w:rPr>
        <w:t>(b) The</w:t>
      </w:r>
      <w:r w:rsidRPr="00F97642">
        <w:rPr>
          <w:rFonts w:ascii="Arial" w:eastAsia="Calibri" w:hAnsi="Arial" w:cs="Arial"/>
          <w:b/>
          <w:lang w:val="en-ZA"/>
        </w:rPr>
        <w:t xml:space="preserve"> </w:t>
      </w:r>
      <w:r w:rsidRPr="002365B6">
        <w:rPr>
          <w:rFonts w:ascii="Arial" w:eastAsia="Calibri" w:hAnsi="Arial" w:cs="Arial"/>
          <w:lang w:val="en-ZA"/>
        </w:rPr>
        <w:t>R</w:t>
      </w:r>
      <w:r>
        <w:rPr>
          <w:rFonts w:ascii="Arial" w:eastAsia="Calibri" w:hAnsi="Arial" w:cs="Arial"/>
          <w:lang w:val="en-ZA"/>
        </w:rPr>
        <w:t>oad</w:t>
      </w:r>
      <w:r w:rsidRPr="002365B6">
        <w:rPr>
          <w:rFonts w:ascii="Arial" w:eastAsia="Calibri" w:hAnsi="Arial" w:cs="Arial"/>
          <w:lang w:val="en-ZA"/>
        </w:rPr>
        <w:t xml:space="preserve"> T</w:t>
      </w:r>
      <w:r>
        <w:rPr>
          <w:rFonts w:ascii="Arial" w:eastAsia="Calibri" w:hAnsi="Arial" w:cs="Arial"/>
          <w:lang w:val="en-ZA"/>
        </w:rPr>
        <w:t>raffic</w:t>
      </w:r>
      <w:r w:rsidRPr="002365B6">
        <w:rPr>
          <w:rFonts w:ascii="Arial" w:eastAsia="Calibri" w:hAnsi="Arial" w:cs="Arial"/>
          <w:lang w:val="en-ZA"/>
        </w:rPr>
        <w:t xml:space="preserve"> M</w:t>
      </w:r>
      <w:r>
        <w:rPr>
          <w:rFonts w:ascii="Arial" w:eastAsia="Calibri" w:hAnsi="Arial" w:cs="Arial"/>
          <w:lang w:val="en-ZA"/>
        </w:rPr>
        <w:t>anagement</w:t>
      </w:r>
      <w:r w:rsidRPr="002365B6">
        <w:rPr>
          <w:rFonts w:ascii="Arial" w:eastAsia="Calibri" w:hAnsi="Arial" w:cs="Arial"/>
          <w:lang w:val="en-ZA"/>
        </w:rPr>
        <w:t xml:space="preserve"> C</w:t>
      </w:r>
      <w:r>
        <w:rPr>
          <w:rFonts w:ascii="Arial" w:eastAsia="Calibri" w:hAnsi="Arial" w:cs="Arial"/>
          <w:lang w:val="en-ZA"/>
        </w:rPr>
        <w:t>orporation</w:t>
      </w:r>
      <w:r w:rsidRPr="002365B6">
        <w:rPr>
          <w:rFonts w:ascii="Arial" w:eastAsia="Calibri" w:hAnsi="Arial" w:cs="Arial"/>
          <w:lang w:val="en-ZA"/>
        </w:rPr>
        <w:t xml:space="preserve"> (RTMC) </w:t>
      </w:r>
      <w:r>
        <w:rPr>
          <w:rFonts w:ascii="Arial" w:eastAsia="Calibri" w:hAnsi="Arial" w:cs="Arial"/>
          <w:lang w:val="en-ZA"/>
        </w:rPr>
        <w:t xml:space="preserve">did not awarded a contract and/or tender to Vox Telecommunications </w:t>
      </w:r>
      <w:r w:rsidRPr="008161D8">
        <w:rPr>
          <w:rFonts w:ascii="Arial" w:eastAsiaTheme="minorHAnsi" w:hAnsi="Arial" w:cs="Arial"/>
          <w:noProof/>
          <w:lang w:val="en-ZA"/>
        </w:rPr>
        <w:t>from 1 January 2009 up to date</w:t>
      </w:r>
      <w:r>
        <w:rPr>
          <w:rFonts w:ascii="Arial" w:eastAsia="Calibri" w:hAnsi="Arial" w:cs="Arial"/>
          <w:lang w:val="en-ZA"/>
        </w:rPr>
        <w:t xml:space="preserve">.  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</w:t>
      </w:r>
      <w:proofErr w:type="spellStart"/>
      <w:r>
        <w:rPr>
          <w:rFonts w:ascii="Arial" w:eastAsia="Calibri" w:hAnsi="Arial" w:cs="Arial"/>
          <w:lang w:val="en-ZA"/>
        </w:rPr>
        <w:t>i</w:t>
      </w:r>
      <w:proofErr w:type="spellEnd"/>
      <w:r>
        <w:rPr>
          <w:rFonts w:ascii="Arial" w:eastAsia="Calibri" w:hAnsi="Arial" w:cs="Arial"/>
          <w:lang w:val="en-ZA"/>
        </w:rPr>
        <w:t>) Not applicable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(ii) (aa) (bb) Not applicable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lastRenderedPageBreak/>
        <w:t>(iii) Not applicable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(iv) Not applicable 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Pr="002365B6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b/>
          <w:lang w:val="en-ZA"/>
        </w:rPr>
      </w:pPr>
      <w:r w:rsidRPr="002365B6">
        <w:rPr>
          <w:rFonts w:ascii="Arial" w:eastAsia="Calibri" w:hAnsi="Arial" w:cs="Arial"/>
          <w:b/>
          <w:lang w:val="en-ZA"/>
        </w:rPr>
        <w:t>R</w:t>
      </w:r>
      <w:r>
        <w:rPr>
          <w:rFonts w:ascii="Arial" w:eastAsia="Calibri" w:hAnsi="Arial" w:cs="Arial"/>
          <w:b/>
          <w:lang w:val="en-ZA"/>
        </w:rPr>
        <w:t>oad</w:t>
      </w:r>
      <w:r w:rsidRPr="002365B6">
        <w:rPr>
          <w:rFonts w:ascii="Arial" w:eastAsia="Calibri" w:hAnsi="Arial" w:cs="Arial"/>
          <w:b/>
          <w:lang w:val="en-ZA"/>
        </w:rPr>
        <w:t xml:space="preserve"> T</w:t>
      </w:r>
      <w:r>
        <w:rPr>
          <w:rFonts w:ascii="Arial" w:eastAsia="Calibri" w:hAnsi="Arial" w:cs="Arial"/>
          <w:b/>
          <w:lang w:val="en-ZA"/>
        </w:rPr>
        <w:t>raffic</w:t>
      </w:r>
      <w:r w:rsidRPr="002365B6">
        <w:rPr>
          <w:rFonts w:ascii="Arial" w:eastAsia="Calibri" w:hAnsi="Arial" w:cs="Arial"/>
          <w:b/>
          <w:lang w:val="en-ZA"/>
        </w:rPr>
        <w:t xml:space="preserve"> I</w:t>
      </w:r>
      <w:r>
        <w:rPr>
          <w:rFonts w:ascii="Arial" w:eastAsia="Calibri" w:hAnsi="Arial" w:cs="Arial"/>
          <w:b/>
          <w:lang w:val="en-ZA"/>
        </w:rPr>
        <w:t>nfringement</w:t>
      </w:r>
      <w:r w:rsidRPr="002365B6">
        <w:rPr>
          <w:rFonts w:ascii="Arial" w:eastAsia="Calibri" w:hAnsi="Arial" w:cs="Arial"/>
          <w:b/>
          <w:lang w:val="en-ZA"/>
        </w:rPr>
        <w:t xml:space="preserve"> A</w:t>
      </w:r>
      <w:r>
        <w:rPr>
          <w:rFonts w:ascii="Arial" w:eastAsia="Calibri" w:hAnsi="Arial" w:cs="Arial"/>
          <w:b/>
          <w:lang w:val="en-ZA"/>
        </w:rPr>
        <w:t>gency</w:t>
      </w:r>
      <w:r w:rsidRPr="002365B6">
        <w:rPr>
          <w:rFonts w:ascii="Arial" w:eastAsia="Calibri" w:hAnsi="Arial" w:cs="Arial"/>
          <w:b/>
          <w:lang w:val="en-ZA"/>
        </w:rPr>
        <w:t xml:space="preserve"> (RTIA)</w:t>
      </w:r>
    </w:p>
    <w:p w:rsidR="00296319" w:rsidRDefault="00296319" w:rsidP="001951CE">
      <w:pPr>
        <w:spacing w:after="0" w:line="360" w:lineRule="auto"/>
        <w:ind w:left="567" w:hanging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(b)</w:t>
      </w:r>
      <w:r w:rsidRPr="009237B7">
        <w:rPr>
          <w:rFonts w:ascii="Arial" w:eastAsiaTheme="minorHAnsi" w:hAnsi="Arial" w:cs="Arial"/>
          <w:noProof/>
          <w:lang w:val="af-ZA"/>
        </w:rPr>
        <w:t xml:space="preserve"> </w:t>
      </w:r>
      <w:r w:rsidRPr="00FF671F">
        <w:rPr>
          <w:rFonts w:ascii="Arial" w:eastAsia="Calibri" w:hAnsi="Arial" w:cs="Arial"/>
          <w:lang w:val="en-ZA"/>
        </w:rPr>
        <w:t>The</w:t>
      </w:r>
      <w:r w:rsidRPr="002365B6">
        <w:rPr>
          <w:rFonts w:ascii="Arial" w:eastAsia="Calibri" w:hAnsi="Arial" w:cs="Arial"/>
          <w:lang w:val="en-ZA"/>
        </w:rPr>
        <w:t xml:space="preserve"> R</w:t>
      </w:r>
      <w:r>
        <w:rPr>
          <w:rFonts w:ascii="Arial" w:eastAsia="Calibri" w:hAnsi="Arial" w:cs="Arial"/>
          <w:lang w:val="en-ZA"/>
        </w:rPr>
        <w:t>oad</w:t>
      </w:r>
      <w:r w:rsidRPr="002365B6">
        <w:rPr>
          <w:rFonts w:ascii="Arial" w:eastAsia="Calibri" w:hAnsi="Arial" w:cs="Arial"/>
          <w:lang w:val="en-ZA"/>
        </w:rPr>
        <w:t xml:space="preserve"> T</w:t>
      </w:r>
      <w:r>
        <w:rPr>
          <w:rFonts w:ascii="Arial" w:eastAsia="Calibri" w:hAnsi="Arial" w:cs="Arial"/>
          <w:lang w:val="en-ZA"/>
        </w:rPr>
        <w:t>raffic</w:t>
      </w:r>
      <w:r w:rsidRPr="002365B6">
        <w:rPr>
          <w:rFonts w:ascii="Arial" w:eastAsia="Calibri" w:hAnsi="Arial" w:cs="Arial"/>
          <w:lang w:val="en-ZA"/>
        </w:rPr>
        <w:t xml:space="preserve"> I</w:t>
      </w:r>
      <w:r>
        <w:rPr>
          <w:rFonts w:ascii="Arial" w:eastAsia="Calibri" w:hAnsi="Arial" w:cs="Arial"/>
          <w:lang w:val="en-ZA"/>
        </w:rPr>
        <w:t>nfringement</w:t>
      </w:r>
      <w:r w:rsidRPr="002365B6">
        <w:rPr>
          <w:rFonts w:ascii="Arial" w:eastAsia="Calibri" w:hAnsi="Arial" w:cs="Arial"/>
          <w:lang w:val="en-ZA"/>
        </w:rPr>
        <w:t xml:space="preserve"> A</w:t>
      </w:r>
      <w:r>
        <w:rPr>
          <w:rFonts w:ascii="Arial" w:eastAsia="Calibri" w:hAnsi="Arial" w:cs="Arial"/>
          <w:lang w:val="en-ZA"/>
        </w:rPr>
        <w:t>gency</w:t>
      </w:r>
      <w:r w:rsidRPr="002365B6">
        <w:rPr>
          <w:rFonts w:ascii="Arial" w:eastAsia="Calibri" w:hAnsi="Arial" w:cs="Arial"/>
          <w:lang w:val="en-ZA"/>
        </w:rPr>
        <w:t xml:space="preserve"> (RTIA) </w:t>
      </w:r>
      <w:r>
        <w:rPr>
          <w:rFonts w:ascii="Arial" w:eastAsia="Calibri" w:hAnsi="Arial" w:cs="Arial"/>
          <w:lang w:val="en-ZA"/>
        </w:rPr>
        <w:t xml:space="preserve">did not awarded a contract and/or tender to Vox Telecommunications </w:t>
      </w:r>
      <w:r w:rsidRPr="008161D8">
        <w:rPr>
          <w:rFonts w:ascii="Arial" w:eastAsiaTheme="minorHAnsi" w:hAnsi="Arial" w:cs="Arial"/>
          <w:noProof/>
          <w:lang w:val="en-ZA"/>
        </w:rPr>
        <w:t>from 1 January 2009 up to date</w:t>
      </w:r>
      <w:r>
        <w:rPr>
          <w:rFonts w:ascii="Arial" w:eastAsia="Calibri" w:hAnsi="Arial" w:cs="Arial"/>
          <w:lang w:val="en-ZA"/>
        </w:rPr>
        <w:t xml:space="preserve">.  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</w:t>
      </w:r>
      <w:proofErr w:type="spellStart"/>
      <w:r>
        <w:rPr>
          <w:rFonts w:ascii="Arial" w:eastAsia="Calibri" w:hAnsi="Arial" w:cs="Arial"/>
          <w:lang w:val="en-ZA"/>
        </w:rPr>
        <w:t>i</w:t>
      </w:r>
      <w:proofErr w:type="spellEnd"/>
      <w:r>
        <w:rPr>
          <w:rFonts w:ascii="Arial" w:eastAsia="Calibri" w:hAnsi="Arial" w:cs="Arial"/>
          <w:lang w:val="en-ZA"/>
        </w:rPr>
        <w:t>) Not applicable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(ii) (aa) (bb) Not applicable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(iii) Not applicable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(iv) Not applicable </w:t>
      </w:r>
    </w:p>
    <w:p w:rsidR="00296319" w:rsidRDefault="00296319" w:rsidP="001951CE">
      <w:pPr>
        <w:spacing w:after="0" w:line="360" w:lineRule="auto"/>
        <w:ind w:left="567" w:hanging="567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Pr="002365B6" w:rsidRDefault="00296319" w:rsidP="001951CE">
      <w:pPr>
        <w:spacing w:after="0" w:line="360" w:lineRule="auto"/>
        <w:ind w:left="567" w:hanging="141"/>
        <w:jc w:val="both"/>
        <w:outlineLvl w:val="0"/>
        <w:rPr>
          <w:rFonts w:ascii="Arial" w:eastAsia="Calibri" w:hAnsi="Arial" w:cs="Arial"/>
          <w:b/>
          <w:lang w:val="en-ZA"/>
        </w:rPr>
      </w:pPr>
      <w:r w:rsidRPr="002365B6">
        <w:rPr>
          <w:rFonts w:ascii="Arial" w:eastAsia="Calibri" w:hAnsi="Arial" w:cs="Arial"/>
          <w:b/>
          <w:lang w:val="en-ZA"/>
        </w:rPr>
        <w:t>South African Road Agency Limited (SANRAL)</w:t>
      </w:r>
    </w:p>
    <w:p w:rsidR="00296319" w:rsidRDefault="00296319" w:rsidP="001951CE">
      <w:pPr>
        <w:spacing w:after="0" w:line="360" w:lineRule="auto"/>
        <w:ind w:left="567" w:hanging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(b) </w:t>
      </w:r>
      <w:r w:rsidRPr="00FF671F">
        <w:rPr>
          <w:rFonts w:ascii="Arial" w:eastAsia="Calibri" w:hAnsi="Arial" w:cs="Arial"/>
          <w:lang w:val="en-ZA"/>
        </w:rPr>
        <w:t>The</w:t>
      </w:r>
      <w:r w:rsidRPr="00F97642">
        <w:rPr>
          <w:rFonts w:ascii="Arial" w:eastAsia="Calibri" w:hAnsi="Arial" w:cs="Arial"/>
          <w:b/>
          <w:lang w:val="en-ZA"/>
        </w:rPr>
        <w:t xml:space="preserve"> </w:t>
      </w:r>
      <w:r w:rsidRPr="002365B6">
        <w:rPr>
          <w:rFonts w:ascii="Arial" w:eastAsia="Calibri" w:hAnsi="Arial" w:cs="Arial"/>
          <w:lang w:val="en-ZA"/>
        </w:rPr>
        <w:t>South African Road Agency Limited</w:t>
      </w:r>
      <w:r>
        <w:rPr>
          <w:rFonts w:ascii="Arial" w:eastAsia="Calibri" w:hAnsi="Arial" w:cs="Arial"/>
          <w:lang w:val="en-ZA"/>
        </w:rPr>
        <w:t xml:space="preserve"> did not</w:t>
      </w:r>
      <w:r w:rsidRPr="002365B6">
        <w:rPr>
          <w:rFonts w:ascii="Arial" w:eastAsia="Calibri" w:hAnsi="Arial" w:cs="Arial"/>
          <w:lang w:val="en-ZA"/>
        </w:rPr>
        <w:t xml:space="preserve"> </w:t>
      </w:r>
      <w:r>
        <w:rPr>
          <w:rFonts w:ascii="Arial" w:eastAsia="Calibri" w:hAnsi="Arial" w:cs="Arial"/>
          <w:lang w:val="en-ZA"/>
        </w:rPr>
        <w:t xml:space="preserve">awarded a contract and/or tender to Vox Telecommunications </w:t>
      </w:r>
      <w:r w:rsidRPr="008161D8">
        <w:rPr>
          <w:rFonts w:ascii="Arial" w:eastAsiaTheme="minorHAnsi" w:hAnsi="Arial" w:cs="Arial"/>
          <w:noProof/>
          <w:lang w:val="en-ZA"/>
        </w:rPr>
        <w:t>from 1 January 2009 up to date</w:t>
      </w:r>
      <w:r>
        <w:rPr>
          <w:rFonts w:ascii="Arial" w:eastAsia="Calibri" w:hAnsi="Arial" w:cs="Arial"/>
          <w:lang w:val="en-ZA"/>
        </w:rPr>
        <w:t xml:space="preserve">.  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</w:t>
      </w:r>
      <w:proofErr w:type="spellStart"/>
      <w:r>
        <w:rPr>
          <w:rFonts w:ascii="Arial" w:eastAsia="Calibri" w:hAnsi="Arial" w:cs="Arial"/>
          <w:lang w:val="en-ZA"/>
        </w:rPr>
        <w:t>i</w:t>
      </w:r>
      <w:proofErr w:type="spellEnd"/>
      <w:r>
        <w:rPr>
          <w:rFonts w:ascii="Arial" w:eastAsia="Calibri" w:hAnsi="Arial" w:cs="Arial"/>
          <w:lang w:val="en-ZA"/>
        </w:rPr>
        <w:t>) Not applicable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(ii) (aa) (bb) Not applicable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(iii) Not applicable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(iv) Not applicable </w:t>
      </w:r>
    </w:p>
    <w:p w:rsidR="00296319" w:rsidRDefault="00296319" w:rsidP="001951CE">
      <w:pPr>
        <w:spacing w:after="0" w:line="360" w:lineRule="auto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Pr="00B41BBC" w:rsidRDefault="00296319" w:rsidP="001951CE">
      <w:pPr>
        <w:spacing w:after="0" w:line="360" w:lineRule="auto"/>
        <w:ind w:firstLine="426"/>
        <w:jc w:val="both"/>
        <w:rPr>
          <w:rFonts w:ascii="Arial" w:eastAsiaTheme="minorHAnsi" w:hAnsi="Arial" w:cs="Arial"/>
          <w:b/>
          <w:noProof/>
          <w:lang w:val="af-ZA"/>
        </w:rPr>
      </w:pPr>
      <w:r w:rsidRPr="00B41BBC">
        <w:rPr>
          <w:rFonts w:ascii="Arial" w:eastAsiaTheme="minorHAnsi" w:hAnsi="Arial" w:cs="Arial"/>
          <w:b/>
          <w:noProof/>
          <w:lang w:val="af-ZA"/>
        </w:rPr>
        <w:t>Ports Regulator of South Africa (PRSA)</w:t>
      </w:r>
    </w:p>
    <w:p w:rsidR="00296319" w:rsidRPr="008A378D" w:rsidRDefault="00296319" w:rsidP="001951CE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eastAsiaTheme="minorHAnsi" w:hAnsi="Arial" w:cs="Arial"/>
          <w:noProof/>
          <w:lang w:val="af-ZA"/>
        </w:rPr>
      </w:pPr>
      <w:r w:rsidRPr="008A378D">
        <w:rPr>
          <w:rFonts w:ascii="Arial" w:eastAsiaTheme="minorHAnsi" w:hAnsi="Arial" w:cs="Arial"/>
          <w:noProof/>
          <w:lang w:val="af-ZA"/>
        </w:rPr>
        <w:t xml:space="preserve">The Ports Regulator did not award any contracts/tenders to any company as per the atatched list    </w:t>
      </w:r>
    </w:p>
    <w:p w:rsidR="00296319" w:rsidRPr="008A378D" w:rsidRDefault="00296319" w:rsidP="001951CE">
      <w:pPr>
        <w:pStyle w:val="ListParagraph"/>
        <w:spacing w:after="0" w:line="360" w:lineRule="auto"/>
        <w:ind w:left="360"/>
        <w:jc w:val="both"/>
        <w:rPr>
          <w:rFonts w:ascii="Arial" w:eastAsiaTheme="minorHAnsi" w:hAnsi="Arial" w:cs="Arial"/>
          <w:b/>
          <w:noProof/>
          <w:lang w:val="af-ZA"/>
        </w:rPr>
      </w:pPr>
      <w:r w:rsidRPr="008A378D">
        <w:rPr>
          <w:rFonts w:ascii="Arial" w:eastAsiaTheme="minorHAnsi" w:hAnsi="Arial" w:cs="Arial"/>
          <w:noProof/>
          <w:lang w:val="af-ZA"/>
        </w:rPr>
        <w:t>to the question from 1 January 2009 up to 09 November 2018. (i) N/A, (ii) N/A, (iii) N/A, (iv) N/A</w:t>
      </w:r>
      <w:r>
        <w:rPr>
          <w:rFonts w:ascii="Arial" w:eastAsiaTheme="minorHAnsi" w:hAnsi="Arial" w:cs="Arial"/>
          <w:noProof/>
          <w:lang w:val="af-ZA"/>
        </w:rPr>
        <w:t>.</w:t>
      </w:r>
    </w:p>
    <w:p w:rsidR="00296319" w:rsidRDefault="00296319" w:rsidP="001951CE">
      <w:pPr>
        <w:pStyle w:val="ListParagraph"/>
        <w:spacing w:before="100" w:beforeAutospacing="1" w:after="100" w:afterAutospacing="1" w:line="360" w:lineRule="auto"/>
        <w:ind w:left="360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296319" w:rsidRDefault="00296319" w:rsidP="001951CE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South African Maritime Safety Authority (SAMSA)</w:t>
      </w:r>
    </w:p>
    <w:p w:rsidR="00296319" w:rsidRPr="008A378D" w:rsidRDefault="00296319" w:rsidP="001951CE">
      <w:pPr>
        <w:pStyle w:val="ListParagraph"/>
        <w:spacing w:after="0" w:line="360" w:lineRule="auto"/>
        <w:ind w:left="360"/>
        <w:jc w:val="both"/>
        <w:rPr>
          <w:rFonts w:ascii="Arial" w:eastAsiaTheme="minorHAnsi" w:hAnsi="Arial" w:cs="Arial"/>
          <w:b/>
          <w:noProof/>
          <w:lang w:val="af-ZA"/>
        </w:rPr>
      </w:pPr>
      <w:r w:rsidRPr="008A378D">
        <w:rPr>
          <w:rFonts w:ascii="Arial" w:eastAsiaTheme="minorHAnsi" w:hAnsi="Arial" w:cs="Arial"/>
          <w:noProof/>
          <w:lang w:val="af-ZA"/>
        </w:rPr>
        <w:t xml:space="preserve">The </w:t>
      </w:r>
      <w:r>
        <w:rPr>
          <w:rFonts w:ascii="Arial" w:eastAsiaTheme="minorHAnsi" w:hAnsi="Arial" w:cs="Arial"/>
          <w:noProof/>
          <w:lang w:val="af-ZA"/>
        </w:rPr>
        <w:t xml:space="preserve">South African Maritime Safety Authority </w:t>
      </w:r>
      <w:r w:rsidRPr="008A378D">
        <w:rPr>
          <w:rFonts w:ascii="Arial" w:eastAsiaTheme="minorHAnsi" w:hAnsi="Arial" w:cs="Arial"/>
          <w:noProof/>
          <w:lang w:val="af-ZA"/>
        </w:rPr>
        <w:t xml:space="preserve"> did not award any contracts/tenders to any company as per the atatched list to the question from 1 January 2009 up to 09 November 2018. (i) N/A, (ii) N/A, (iii) N/A, (iv) N/A</w:t>
      </w:r>
      <w:r>
        <w:rPr>
          <w:rFonts w:ascii="Arial" w:eastAsiaTheme="minorHAnsi" w:hAnsi="Arial" w:cs="Arial"/>
          <w:noProof/>
          <w:lang w:val="af-ZA"/>
        </w:rPr>
        <w:t>.</w:t>
      </w:r>
    </w:p>
    <w:p w:rsidR="00296319" w:rsidRDefault="00296319" w:rsidP="00296319">
      <w:pPr>
        <w:pStyle w:val="ListParagraph"/>
        <w:spacing w:before="100" w:beforeAutospacing="1" w:after="100" w:afterAutospacing="1" w:line="360" w:lineRule="auto"/>
        <w:ind w:left="360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296319" w:rsidRDefault="00296319" w:rsidP="00296319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1951CE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Pr="00FF671F" w:rsidRDefault="00296319" w:rsidP="00296319">
      <w:pPr>
        <w:spacing w:after="0"/>
        <w:ind w:left="851" w:hanging="425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Pr="005210B0" w:rsidRDefault="00296319" w:rsidP="0029631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jc w:val="both"/>
        <w:outlineLvl w:val="0"/>
        <w:rPr>
          <w:rFonts w:ascii="Arial" w:eastAsia="Calibri" w:hAnsi="Arial" w:cs="Arial"/>
          <w:lang w:val="en-ZA"/>
        </w:rPr>
        <w:sectPr w:rsidR="00296319" w:rsidSect="00C25BE3">
          <w:pgSz w:w="12240" w:h="15840"/>
          <w:pgMar w:top="568" w:right="900" w:bottom="568" w:left="1440" w:header="720" w:footer="720" w:gutter="0"/>
          <w:cols w:space="720"/>
          <w:docGrid w:linePitch="360"/>
        </w:sectPr>
      </w:pPr>
    </w:p>
    <w:p w:rsidR="00296319" w:rsidRDefault="00296319" w:rsidP="00296319">
      <w:pPr>
        <w:spacing w:after="0" w:line="360" w:lineRule="auto"/>
        <w:ind w:firstLine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b/>
          <w:lang w:val="en-ZA"/>
        </w:rPr>
        <w:lastRenderedPageBreak/>
        <w:t>Railway Safety Regulator (RSR):</w:t>
      </w:r>
    </w:p>
    <w:tbl>
      <w:tblPr>
        <w:tblStyle w:val="TableGrid"/>
        <w:tblW w:w="13042" w:type="dxa"/>
        <w:tblInd w:w="826" w:type="dxa"/>
        <w:tblLook w:val="04A0"/>
      </w:tblPr>
      <w:tblGrid>
        <w:gridCol w:w="3389"/>
        <w:gridCol w:w="1274"/>
        <w:gridCol w:w="1830"/>
        <w:gridCol w:w="1730"/>
        <w:gridCol w:w="1417"/>
        <w:gridCol w:w="1418"/>
        <w:gridCol w:w="1984"/>
      </w:tblGrid>
      <w:tr w:rsidR="00296319" w:rsidRPr="00B91599" w:rsidTr="006855C9">
        <w:trPr>
          <w:tblHeader/>
        </w:trPr>
        <w:tc>
          <w:tcPr>
            <w:tcW w:w="3389" w:type="dxa"/>
            <w:vMerge w:val="restart"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 w:rsidRPr="00B91599">
              <w:rPr>
                <w:rFonts w:ascii="Arial" w:hAnsi="Arial" w:cs="Arial"/>
                <w:b/>
              </w:rPr>
              <w:t>(b)</w:t>
            </w:r>
          </w:p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 w:rsidRPr="00B91599">
              <w:rPr>
                <w:rFonts w:ascii="Arial" w:hAnsi="Arial" w:cs="Arial"/>
                <w:b/>
              </w:rPr>
              <w:t>Name of supplier</w:t>
            </w:r>
          </w:p>
        </w:tc>
        <w:tc>
          <w:tcPr>
            <w:tcW w:w="1274" w:type="dxa"/>
            <w:vMerge w:val="restart"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/ Tender</w:t>
            </w:r>
          </w:p>
        </w:tc>
        <w:tc>
          <w:tcPr>
            <w:tcW w:w="1830" w:type="dxa"/>
            <w:vMerge w:val="restart"/>
            <w:shd w:val="clear" w:color="auto" w:fill="95B3D7" w:themeFill="accent1" w:themeFillTint="99"/>
          </w:tcPr>
          <w:p w:rsidR="0029631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 w:rsidRPr="00B91599"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Provided</w:t>
            </w:r>
          </w:p>
        </w:tc>
        <w:tc>
          <w:tcPr>
            <w:tcW w:w="3147" w:type="dxa"/>
            <w:gridSpan w:val="2"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B91599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B91599">
              <w:rPr>
                <w:rFonts w:ascii="Arial" w:hAnsi="Arial" w:cs="Arial"/>
                <w:b/>
              </w:rPr>
              <w:t>iii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B91599">
              <w:rPr>
                <w:rFonts w:ascii="Arial" w:hAnsi="Arial" w:cs="Arial"/>
                <w:b/>
              </w:rPr>
              <w:t>iv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96319" w:rsidRPr="00B91599" w:rsidTr="006855C9">
        <w:trPr>
          <w:tblHeader/>
        </w:trPr>
        <w:tc>
          <w:tcPr>
            <w:tcW w:w="3389" w:type="dxa"/>
            <w:vMerge/>
            <w:shd w:val="clear" w:color="auto" w:fill="95B3D7" w:themeFill="accent1" w:themeFillTint="99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shd w:val="clear" w:color="auto" w:fill="95B3D7" w:themeFill="accent1" w:themeFillTint="99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shd w:val="clear" w:color="auto" w:fill="95B3D7" w:themeFill="accent1" w:themeFillTint="99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91599">
              <w:rPr>
                <w:rFonts w:ascii="Arial" w:hAnsi="Arial" w:cs="Arial"/>
              </w:rPr>
              <w:t>aa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91599">
              <w:rPr>
                <w:rFonts w:ascii="Arial" w:hAnsi="Arial" w:cs="Arial"/>
              </w:rPr>
              <w:t>bb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Merge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</w:rPr>
            </w:pPr>
          </w:p>
        </w:tc>
      </w:tr>
      <w:tr w:rsidR="00296319" w:rsidRPr="00B91599" w:rsidTr="006855C9">
        <w:tc>
          <w:tcPr>
            <w:tcW w:w="3389" w:type="dxa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  <w:r w:rsidRPr="00B91599">
              <w:rPr>
                <w:rFonts w:ascii="Arial" w:hAnsi="Arial" w:cs="Arial"/>
              </w:rPr>
              <w:t>Vox Tele</w:t>
            </w:r>
            <w:r>
              <w:rPr>
                <w:rFonts w:ascii="Arial" w:hAnsi="Arial" w:cs="Arial"/>
              </w:rPr>
              <w:t>communications (2011/000797/07)</w:t>
            </w:r>
          </w:p>
        </w:tc>
        <w:tc>
          <w:tcPr>
            <w:tcW w:w="1274" w:type="dxa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30" w:type="dxa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  <w:r w:rsidRPr="00B91599">
              <w:rPr>
                <w:rFonts w:ascii="Arial" w:hAnsi="Arial" w:cs="Arial"/>
              </w:rPr>
              <w:t>Provision of maintenance, support and management of wide area network infrastructure</w:t>
            </w:r>
          </w:p>
        </w:tc>
        <w:tc>
          <w:tcPr>
            <w:tcW w:w="1730" w:type="dxa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  <w:r w:rsidRPr="00B91599">
              <w:rPr>
                <w:rFonts w:ascii="Arial" w:hAnsi="Arial" w:cs="Arial"/>
              </w:rPr>
              <w:t>R4</w:t>
            </w:r>
            <w:r>
              <w:rPr>
                <w:rFonts w:ascii="Arial" w:hAnsi="Arial" w:cs="Arial"/>
              </w:rPr>
              <w:t>,</w:t>
            </w:r>
            <w:r w:rsidRPr="00B91599">
              <w:rPr>
                <w:rFonts w:ascii="Arial" w:hAnsi="Arial" w:cs="Arial"/>
              </w:rPr>
              <w:t>184</w:t>
            </w:r>
            <w:r>
              <w:rPr>
                <w:rFonts w:ascii="Arial" w:hAnsi="Arial" w:cs="Arial"/>
              </w:rPr>
              <w:t>,</w:t>
            </w:r>
            <w:r w:rsidRPr="00B91599">
              <w:rPr>
                <w:rFonts w:ascii="Arial" w:hAnsi="Arial" w:cs="Arial"/>
              </w:rPr>
              <w:t>661</w:t>
            </w:r>
            <w:r>
              <w:rPr>
                <w:rFonts w:ascii="Arial" w:hAnsi="Arial" w:cs="Arial"/>
              </w:rPr>
              <w:t>-</w:t>
            </w:r>
            <w:r w:rsidRPr="00B91599">
              <w:rPr>
                <w:rFonts w:ascii="Arial" w:hAnsi="Arial" w:cs="Arial"/>
              </w:rPr>
              <w:t>84</w:t>
            </w:r>
          </w:p>
        </w:tc>
        <w:tc>
          <w:tcPr>
            <w:tcW w:w="1417" w:type="dxa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  <w:r w:rsidRPr="00B91599">
              <w:rPr>
                <w:rFonts w:ascii="Arial" w:hAnsi="Arial" w:cs="Arial"/>
              </w:rPr>
              <w:t>36 months</w:t>
            </w:r>
          </w:p>
        </w:tc>
        <w:tc>
          <w:tcPr>
            <w:tcW w:w="1418" w:type="dxa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  <w:r w:rsidRPr="00B91599">
              <w:rPr>
                <w:rFonts w:ascii="Arial" w:hAnsi="Arial" w:cs="Arial"/>
              </w:rPr>
              <w:t>CEO</w:t>
            </w:r>
          </w:p>
        </w:tc>
        <w:tc>
          <w:tcPr>
            <w:tcW w:w="1984" w:type="dxa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:rsidR="00296319" w:rsidRDefault="00296319" w:rsidP="00296319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296319" w:rsidRDefault="00296319" w:rsidP="00296319">
      <w:pPr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b/>
          <w:lang w:val="en-ZA"/>
        </w:rPr>
        <w:br w:type="page"/>
      </w:r>
      <w:r>
        <w:rPr>
          <w:rFonts w:ascii="Arial" w:eastAsia="Calibri" w:hAnsi="Arial" w:cs="Arial"/>
          <w:b/>
          <w:lang w:val="en-ZA"/>
        </w:rPr>
        <w:lastRenderedPageBreak/>
        <w:t xml:space="preserve">Passenger Rail Agency of South </w:t>
      </w:r>
      <w:proofErr w:type="spellStart"/>
      <w:r>
        <w:rPr>
          <w:rFonts w:ascii="Arial" w:eastAsia="Calibri" w:hAnsi="Arial" w:cs="Arial"/>
          <w:b/>
          <w:lang w:val="en-ZA"/>
        </w:rPr>
        <w:t>Afrcia</w:t>
      </w:r>
      <w:proofErr w:type="spellEnd"/>
      <w:r>
        <w:rPr>
          <w:rFonts w:ascii="Arial" w:eastAsia="Calibri" w:hAnsi="Arial" w:cs="Arial"/>
          <w:b/>
          <w:lang w:val="en-ZA"/>
        </w:rPr>
        <w:t xml:space="preserve"> (PRASA):</w:t>
      </w:r>
    </w:p>
    <w:tbl>
      <w:tblPr>
        <w:tblStyle w:val="TableGrid"/>
        <w:tblW w:w="13042" w:type="dxa"/>
        <w:tblInd w:w="826" w:type="dxa"/>
        <w:tblLook w:val="04A0"/>
      </w:tblPr>
      <w:tblGrid>
        <w:gridCol w:w="3389"/>
        <w:gridCol w:w="1274"/>
        <w:gridCol w:w="1830"/>
        <w:gridCol w:w="1730"/>
        <w:gridCol w:w="1417"/>
        <w:gridCol w:w="1418"/>
        <w:gridCol w:w="1984"/>
      </w:tblGrid>
      <w:tr w:rsidR="00296319" w:rsidRPr="00B91599" w:rsidTr="006855C9">
        <w:trPr>
          <w:tblHeader/>
        </w:trPr>
        <w:tc>
          <w:tcPr>
            <w:tcW w:w="3389" w:type="dxa"/>
            <w:vMerge w:val="restart"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 w:rsidRPr="00B91599">
              <w:rPr>
                <w:rFonts w:ascii="Arial" w:hAnsi="Arial" w:cs="Arial"/>
                <w:b/>
              </w:rPr>
              <w:t>(b)</w:t>
            </w:r>
          </w:p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 w:rsidRPr="00B91599">
              <w:rPr>
                <w:rFonts w:ascii="Arial" w:hAnsi="Arial" w:cs="Arial"/>
                <w:b/>
              </w:rPr>
              <w:t>Name of supplier</w:t>
            </w:r>
          </w:p>
        </w:tc>
        <w:tc>
          <w:tcPr>
            <w:tcW w:w="1274" w:type="dxa"/>
            <w:vMerge w:val="restart"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/ Tender</w:t>
            </w:r>
          </w:p>
        </w:tc>
        <w:tc>
          <w:tcPr>
            <w:tcW w:w="1830" w:type="dxa"/>
            <w:vMerge w:val="restart"/>
            <w:shd w:val="clear" w:color="auto" w:fill="95B3D7" w:themeFill="accent1" w:themeFillTint="99"/>
          </w:tcPr>
          <w:p w:rsidR="0029631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 w:rsidRPr="00B91599"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Provided</w:t>
            </w:r>
          </w:p>
        </w:tc>
        <w:tc>
          <w:tcPr>
            <w:tcW w:w="3147" w:type="dxa"/>
            <w:gridSpan w:val="2"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B91599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B91599">
              <w:rPr>
                <w:rFonts w:ascii="Arial" w:hAnsi="Arial" w:cs="Arial"/>
                <w:b/>
              </w:rPr>
              <w:t>iii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B91599">
              <w:rPr>
                <w:rFonts w:ascii="Arial" w:hAnsi="Arial" w:cs="Arial"/>
                <w:b/>
              </w:rPr>
              <w:t>iv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96319" w:rsidRPr="00B91599" w:rsidTr="006855C9">
        <w:trPr>
          <w:tblHeader/>
        </w:trPr>
        <w:tc>
          <w:tcPr>
            <w:tcW w:w="3389" w:type="dxa"/>
            <w:vMerge/>
            <w:shd w:val="clear" w:color="auto" w:fill="95B3D7" w:themeFill="accent1" w:themeFillTint="99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shd w:val="clear" w:color="auto" w:fill="95B3D7" w:themeFill="accent1" w:themeFillTint="99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Merge/>
            <w:shd w:val="clear" w:color="auto" w:fill="95B3D7" w:themeFill="accent1" w:themeFillTint="99"/>
          </w:tcPr>
          <w:p w:rsidR="00296319" w:rsidRPr="0093408E" w:rsidRDefault="00296319" w:rsidP="006855C9">
            <w:pPr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shd w:val="clear" w:color="auto" w:fill="95B3D7" w:themeFill="accent1" w:themeFillTint="99"/>
          </w:tcPr>
          <w:p w:rsidR="00296319" w:rsidRPr="0093408E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 w:rsidRPr="0093408E">
              <w:rPr>
                <w:rFonts w:ascii="Arial" w:hAnsi="Arial" w:cs="Arial"/>
                <w:b/>
              </w:rPr>
              <w:t>(aa)</w:t>
            </w:r>
          </w:p>
          <w:p w:rsidR="00296319" w:rsidRPr="0093408E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 w:rsidRPr="0093408E">
              <w:rPr>
                <w:rFonts w:ascii="Arial" w:hAnsi="Arial" w:cs="Arial"/>
                <w:b/>
              </w:rPr>
              <w:t>Value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296319" w:rsidRPr="0093408E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 w:rsidRPr="0093408E">
              <w:rPr>
                <w:rFonts w:ascii="Arial" w:hAnsi="Arial" w:cs="Arial"/>
                <w:b/>
              </w:rPr>
              <w:t>(bb)</w:t>
            </w:r>
          </w:p>
          <w:p w:rsidR="00296319" w:rsidRPr="0093408E" w:rsidRDefault="00296319" w:rsidP="006855C9">
            <w:pPr>
              <w:jc w:val="center"/>
              <w:rPr>
                <w:rFonts w:ascii="Arial" w:hAnsi="Arial" w:cs="Arial"/>
                <w:b/>
              </w:rPr>
            </w:pPr>
            <w:r w:rsidRPr="0093408E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418" w:type="dxa"/>
            <w:vMerge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shd w:val="clear" w:color="auto" w:fill="95B3D7" w:themeFill="accent1" w:themeFillTint="99"/>
          </w:tcPr>
          <w:p w:rsidR="00296319" w:rsidRPr="00B91599" w:rsidRDefault="00296319" w:rsidP="006855C9">
            <w:pPr>
              <w:jc w:val="center"/>
              <w:rPr>
                <w:rFonts w:ascii="Arial" w:hAnsi="Arial" w:cs="Arial"/>
              </w:rPr>
            </w:pPr>
          </w:p>
        </w:tc>
      </w:tr>
      <w:tr w:rsidR="00296319" w:rsidRPr="00B91599" w:rsidTr="006855C9">
        <w:tc>
          <w:tcPr>
            <w:tcW w:w="3389" w:type="dxa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  <w:r w:rsidRPr="00B91599">
              <w:rPr>
                <w:rFonts w:ascii="Arial" w:hAnsi="Arial" w:cs="Arial"/>
              </w:rPr>
              <w:t>DCD Group (2006/037611/07)</w:t>
            </w:r>
          </w:p>
        </w:tc>
        <w:tc>
          <w:tcPr>
            <w:tcW w:w="1274" w:type="dxa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30" w:type="dxa"/>
          </w:tcPr>
          <w:p w:rsidR="00296319" w:rsidRDefault="00296319" w:rsidP="00296319">
            <w:pPr>
              <w:pStyle w:val="ListParagraph"/>
              <w:numPr>
                <w:ilvl w:val="0"/>
                <w:numId w:val="31"/>
              </w:numPr>
              <w:ind w:left="210" w:hanging="210"/>
              <w:rPr>
                <w:rFonts w:ascii="Arial" w:hAnsi="Arial" w:cs="Arial"/>
              </w:rPr>
            </w:pPr>
            <w:r w:rsidRPr="0093408E">
              <w:rPr>
                <w:rFonts w:ascii="Arial" w:hAnsi="Arial" w:cs="Arial"/>
              </w:rPr>
              <w:t xml:space="preserve">Supply and </w:t>
            </w:r>
            <w:r>
              <w:rPr>
                <w:rFonts w:ascii="Arial" w:hAnsi="Arial" w:cs="Arial"/>
              </w:rPr>
              <w:t xml:space="preserve">delivery of composition brake blocks for the Metrorail and </w:t>
            </w:r>
            <w:proofErr w:type="spellStart"/>
            <w:r>
              <w:rPr>
                <w:rFonts w:ascii="Arial" w:hAnsi="Arial" w:cs="Arial"/>
              </w:rPr>
              <w:t>Shosholoza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Meyl</w:t>
            </w:r>
            <w:proofErr w:type="spellEnd"/>
            <w:r>
              <w:rPr>
                <w:rFonts w:ascii="Arial" w:hAnsi="Arial" w:cs="Arial"/>
              </w:rPr>
              <w:t xml:space="preserve"> train fleet</w:t>
            </w:r>
          </w:p>
          <w:p w:rsidR="00296319" w:rsidRDefault="00296319" w:rsidP="006855C9">
            <w:pPr>
              <w:pStyle w:val="ListParagraph"/>
              <w:ind w:left="210"/>
              <w:rPr>
                <w:rFonts w:ascii="Arial" w:hAnsi="Arial" w:cs="Arial"/>
              </w:rPr>
            </w:pPr>
          </w:p>
          <w:p w:rsidR="00296319" w:rsidRPr="0093408E" w:rsidRDefault="00296319" w:rsidP="00296319">
            <w:pPr>
              <w:pStyle w:val="ListParagraph"/>
              <w:numPr>
                <w:ilvl w:val="0"/>
                <w:numId w:val="31"/>
              </w:numPr>
              <w:ind w:left="210" w:hanging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Ad-hoc repairs, call out and technical support for </w:t>
            </w:r>
            <w:proofErr w:type="spellStart"/>
            <w:r>
              <w:rPr>
                <w:rFonts w:ascii="Arial" w:hAnsi="Arial" w:cs="Arial"/>
              </w:rPr>
              <w:t>Shosholoza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Meyl</w:t>
            </w:r>
            <w:proofErr w:type="spellEnd"/>
            <w:r>
              <w:rPr>
                <w:rFonts w:ascii="Arial" w:hAnsi="Arial" w:cs="Arial"/>
              </w:rPr>
              <w:t xml:space="preserve"> in Gauteng region</w:t>
            </w:r>
          </w:p>
        </w:tc>
        <w:tc>
          <w:tcPr>
            <w:tcW w:w="1730" w:type="dxa"/>
          </w:tcPr>
          <w:p w:rsidR="00296319" w:rsidRDefault="00296319" w:rsidP="006855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R17,959,667</w:t>
            </w:r>
          </w:p>
          <w:p w:rsidR="00296319" w:rsidRDefault="00296319" w:rsidP="006855C9">
            <w:pPr>
              <w:jc w:val="right"/>
              <w:rPr>
                <w:rFonts w:ascii="Arial" w:hAnsi="Arial" w:cs="Arial"/>
              </w:rPr>
            </w:pPr>
          </w:p>
          <w:p w:rsidR="00296319" w:rsidRDefault="00296319" w:rsidP="006855C9">
            <w:pPr>
              <w:jc w:val="right"/>
              <w:rPr>
                <w:rFonts w:ascii="Arial" w:hAnsi="Arial" w:cs="Arial"/>
              </w:rPr>
            </w:pPr>
          </w:p>
          <w:p w:rsidR="00296319" w:rsidRDefault="00296319" w:rsidP="006855C9">
            <w:pPr>
              <w:jc w:val="right"/>
              <w:rPr>
                <w:rFonts w:ascii="Arial" w:hAnsi="Arial" w:cs="Arial"/>
              </w:rPr>
            </w:pPr>
          </w:p>
          <w:p w:rsidR="00296319" w:rsidRDefault="00296319" w:rsidP="006855C9">
            <w:pPr>
              <w:jc w:val="right"/>
              <w:rPr>
                <w:rFonts w:ascii="Arial" w:hAnsi="Arial" w:cs="Arial"/>
              </w:rPr>
            </w:pPr>
          </w:p>
          <w:p w:rsidR="00296319" w:rsidRDefault="00296319" w:rsidP="006855C9">
            <w:pPr>
              <w:jc w:val="right"/>
              <w:rPr>
                <w:rFonts w:ascii="Arial" w:hAnsi="Arial" w:cs="Arial"/>
              </w:rPr>
            </w:pPr>
          </w:p>
          <w:p w:rsidR="00296319" w:rsidRDefault="00296319" w:rsidP="006855C9">
            <w:pPr>
              <w:jc w:val="right"/>
              <w:rPr>
                <w:rFonts w:ascii="Arial" w:hAnsi="Arial" w:cs="Arial"/>
              </w:rPr>
            </w:pPr>
          </w:p>
          <w:p w:rsidR="00296319" w:rsidRDefault="00296319" w:rsidP="006855C9">
            <w:pPr>
              <w:jc w:val="right"/>
              <w:rPr>
                <w:rFonts w:ascii="Arial" w:hAnsi="Arial" w:cs="Arial"/>
              </w:rPr>
            </w:pPr>
          </w:p>
          <w:p w:rsidR="00296319" w:rsidRDefault="00296319" w:rsidP="006855C9">
            <w:pPr>
              <w:jc w:val="right"/>
              <w:rPr>
                <w:rFonts w:ascii="Arial" w:hAnsi="Arial" w:cs="Arial"/>
              </w:rPr>
            </w:pPr>
          </w:p>
          <w:p w:rsidR="00296319" w:rsidRDefault="00296319" w:rsidP="006855C9">
            <w:pPr>
              <w:jc w:val="right"/>
              <w:rPr>
                <w:rFonts w:ascii="Arial" w:hAnsi="Arial" w:cs="Arial"/>
              </w:rPr>
            </w:pPr>
          </w:p>
          <w:p w:rsidR="00296319" w:rsidRPr="00B91599" w:rsidRDefault="00296319" w:rsidP="006855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R22,000,000</w:t>
            </w:r>
          </w:p>
        </w:tc>
        <w:tc>
          <w:tcPr>
            <w:tcW w:w="1417" w:type="dxa"/>
          </w:tcPr>
          <w:p w:rsidR="00296319" w:rsidRDefault="00296319" w:rsidP="0068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August 2012 to 31 December 2014</w:t>
            </w: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Pr="00B91599" w:rsidRDefault="00296319" w:rsidP="0068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April 2014 to 30 June 2019</w:t>
            </w:r>
          </w:p>
        </w:tc>
        <w:tc>
          <w:tcPr>
            <w:tcW w:w="1418" w:type="dxa"/>
          </w:tcPr>
          <w:p w:rsidR="00296319" w:rsidRDefault="00296319" w:rsidP="0068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 PRASA</w:t>
            </w: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</w:p>
          <w:p w:rsidR="00296319" w:rsidRDefault="00296319" w:rsidP="0068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 PRASA</w:t>
            </w:r>
          </w:p>
          <w:p w:rsidR="00296319" w:rsidRPr="00B91599" w:rsidRDefault="00296319" w:rsidP="0068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(all work relating to ad-hoc suppliers was cancelled on 30 June 2016)</w:t>
            </w:r>
          </w:p>
        </w:tc>
        <w:tc>
          <w:tcPr>
            <w:tcW w:w="1984" w:type="dxa"/>
          </w:tcPr>
          <w:p w:rsidR="00296319" w:rsidRPr="00B91599" w:rsidRDefault="00296319" w:rsidP="00685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ad-hoc contracts were found to be irregular by the Auditor General during the audit of the 2015/16 financial year as they were procured through a confinement process.  The irregular expenditure has since been disclosed in the subsequent financial years ending March 2017 and 2018.  PRASA is busy with and open tender process for this work.</w:t>
            </w:r>
          </w:p>
        </w:tc>
      </w:tr>
    </w:tbl>
    <w:p w:rsidR="00296319" w:rsidRPr="00BA5A50" w:rsidRDefault="00296319" w:rsidP="00296319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296319" w:rsidRDefault="00296319" w:rsidP="00296319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:rsidR="00296319" w:rsidRDefault="00296319" w:rsidP="00296319">
      <w:pPr>
        <w:spacing w:after="0"/>
        <w:jc w:val="both"/>
        <w:outlineLvl w:val="0"/>
        <w:rPr>
          <w:rFonts w:ascii="Arial" w:eastAsia="Calibri" w:hAnsi="Arial" w:cs="Arial"/>
          <w:lang w:val="en-ZA"/>
        </w:rPr>
        <w:sectPr w:rsidR="00296319" w:rsidSect="004D69FA">
          <w:pgSz w:w="15840" w:h="12240" w:orient="landscape"/>
          <w:pgMar w:top="1135" w:right="567" w:bottom="760" w:left="567" w:header="720" w:footer="720" w:gutter="0"/>
          <w:cols w:space="720"/>
          <w:docGrid w:linePitch="360"/>
        </w:sectPr>
      </w:pPr>
      <w:bookmarkStart w:id="0" w:name="_GoBack"/>
      <w:bookmarkEnd w:id="0"/>
    </w:p>
    <w:p w:rsidR="001068D0" w:rsidRPr="00296319" w:rsidRDefault="001068D0" w:rsidP="00296319"/>
    <w:sectPr w:rsidR="001068D0" w:rsidRPr="00296319" w:rsidSect="00D350A8">
      <w:footerReference w:type="default" r:id="rId9"/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A8" w:rsidRDefault="005C62A8" w:rsidP="00DB1508">
      <w:pPr>
        <w:spacing w:after="0" w:line="240" w:lineRule="auto"/>
      </w:pPr>
      <w:r>
        <w:separator/>
      </w:r>
    </w:p>
  </w:endnote>
  <w:endnote w:type="continuationSeparator" w:id="0">
    <w:p w:rsidR="005C62A8" w:rsidRDefault="005C62A8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0A8" w:rsidRDefault="007E5A65">
        <w:pPr>
          <w:pStyle w:val="Footer"/>
          <w:jc w:val="right"/>
        </w:pPr>
        <w:r>
          <w:fldChar w:fldCharType="begin"/>
        </w:r>
        <w:r w:rsidR="00D350A8">
          <w:instrText xml:space="preserve"> PAGE   \* MERGEFORMAT </w:instrText>
        </w:r>
        <w:r>
          <w:fldChar w:fldCharType="separate"/>
        </w:r>
        <w:r w:rsidR="006017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50A8" w:rsidRDefault="00D35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A8" w:rsidRDefault="005C62A8" w:rsidP="00DB1508">
      <w:pPr>
        <w:spacing w:after="0" w:line="240" w:lineRule="auto"/>
      </w:pPr>
      <w:r>
        <w:separator/>
      </w:r>
    </w:p>
  </w:footnote>
  <w:footnote w:type="continuationSeparator" w:id="0">
    <w:p w:rsidR="005C62A8" w:rsidRDefault="005C62A8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654"/>
    <w:multiLevelType w:val="hybridMultilevel"/>
    <w:tmpl w:val="9ADA09AA"/>
    <w:lvl w:ilvl="0" w:tplc="3DA2E15A">
      <w:start w:val="1"/>
      <w:numFmt w:val="lowerLetter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A764B"/>
    <w:multiLevelType w:val="hybridMultilevel"/>
    <w:tmpl w:val="98407D28"/>
    <w:lvl w:ilvl="0" w:tplc="E63C4C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4172"/>
    <w:multiLevelType w:val="hybridMultilevel"/>
    <w:tmpl w:val="DE9C996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3100B"/>
    <w:multiLevelType w:val="hybridMultilevel"/>
    <w:tmpl w:val="67745F92"/>
    <w:lvl w:ilvl="0" w:tplc="24F2C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761A"/>
    <w:multiLevelType w:val="hybridMultilevel"/>
    <w:tmpl w:val="1E8433A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06EE0"/>
    <w:multiLevelType w:val="hybridMultilevel"/>
    <w:tmpl w:val="253CF37E"/>
    <w:lvl w:ilvl="0" w:tplc="85602E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C81170"/>
    <w:multiLevelType w:val="hybridMultilevel"/>
    <w:tmpl w:val="2E28379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20CE24EB"/>
    <w:multiLevelType w:val="hybridMultilevel"/>
    <w:tmpl w:val="478E9F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13FF9"/>
    <w:multiLevelType w:val="hybridMultilevel"/>
    <w:tmpl w:val="AF84E752"/>
    <w:lvl w:ilvl="0" w:tplc="FF6699CE">
      <w:start w:val="1"/>
      <w:numFmt w:val="lowerRoman"/>
      <w:lvlText w:val="(%1)"/>
      <w:lvlJc w:val="left"/>
      <w:pPr>
        <w:ind w:left="1440" w:hanging="720"/>
      </w:pPr>
      <w:rPr>
        <w:rFonts w:ascii="Arial" w:eastAsiaTheme="minorEastAsia" w:hAnsi="Arial" w:cs="Arial"/>
      </w:rPr>
    </w:lvl>
    <w:lvl w:ilvl="1" w:tplc="D99003C0">
      <w:start w:val="1"/>
      <w:numFmt w:val="lowerRoman"/>
      <w:lvlText w:val="(%2)"/>
      <w:lvlJc w:val="left"/>
      <w:pPr>
        <w:ind w:left="1069" w:hanging="360"/>
      </w:pPr>
      <w:rPr>
        <w:rFonts w:ascii="Arial" w:eastAsiaTheme="minorEastAsia" w:hAnsi="Arial" w:cs="Arial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3772E"/>
    <w:multiLevelType w:val="hybridMultilevel"/>
    <w:tmpl w:val="D576993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902269"/>
    <w:multiLevelType w:val="hybridMultilevel"/>
    <w:tmpl w:val="46EE72C4"/>
    <w:lvl w:ilvl="0" w:tplc="6B5E8B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2557D0"/>
    <w:multiLevelType w:val="hybridMultilevel"/>
    <w:tmpl w:val="02BC5E4C"/>
    <w:lvl w:ilvl="0" w:tplc="5E487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34D5"/>
    <w:multiLevelType w:val="hybridMultilevel"/>
    <w:tmpl w:val="D98C807A"/>
    <w:lvl w:ilvl="0" w:tplc="0254C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0E46"/>
    <w:multiLevelType w:val="hybridMultilevel"/>
    <w:tmpl w:val="D6E0CDB0"/>
    <w:lvl w:ilvl="0" w:tplc="2F3C9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947FB"/>
    <w:multiLevelType w:val="hybridMultilevel"/>
    <w:tmpl w:val="4C18B064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>
    <w:nsid w:val="41DB25B6"/>
    <w:multiLevelType w:val="hybridMultilevel"/>
    <w:tmpl w:val="2878E372"/>
    <w:lvl w:ilvl="0" w:tplc="107E0410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467B1287"/>
    <w:multiLevelType w:val="hybridMultilevel"/>
    <w:tmpl w:val="15FC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A725F"/>
    <w:multiLevelType w:val="hybridMultilevel"/>
    <w:tmpl w:val="FB16FEF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A43984"/>
    <w:multiLevelType w:val="hybridMultilevel"/>
    <w:tmpl w:val="CD76DCB8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DF1D14"/>
    <w:multiLevelType w:val="hybridMultilevel"/>
    <w:tmpl w:val="CAFEEA9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540D19"/>
    <w:multiLevelType w:val="hybridMultilevel"/>
    <w:tmpl w:val="685C10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92305E"/>
    <w:multiLevelType w:val="hybridMultilevel"/>
    <w:tmpl w:val="86DC2B42"/>
    <w:lvl w:ilvl="0" w:tplc="0809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56566EAA"/>
    <w:multiLevelType w:val="hybridMultilevel"/>
    <w:tmpl w:val="74B6E19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F2511F"/>
    <w:multiLevelType w:val="hybridMultilevel"/>
    <w:tmpl w:val="A1769D36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>
    <w:nsid w:val="5C712247"/>
    <w:multiLevelType w:val="hybridMultilevel"/>
    <w:tmpl w:val="00FE7956"/>
    <w:lvl w:ilvl="0" w:tplc="0B6A1E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374577"/>
    <w:multiLevelType w:val="hybridMultilevel"/>
    <w:tmpl w:val="521ED10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3D0828"/>
    <w:multiLevelType w:val="hybridMultilevel"/>
    <w:tmpl w:val="1346D8B8"/>
    <w:lvl w:ilvl="0" w:tplc="10562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83026"/>
    <w:multiLevelType w:val="hybridMultilevel"/>
    <w:tmpl w:val="A88A2C4E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8A00FC8"/>
    <w:multiLevelType w:val="hybridMultilevel"/>
    <w:tmpl w:val="A7AC254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C6698F"/>
    <w:multiLevelType w:val="hybridMultilevel"/>
    <w:tmpl w:val="939EBBDC"/>
    <w:lvl w:ilvl="0" w:tplc="373C61A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3438C3"/>
    <w:multiLevelType w:val="hybridMultilevel"/>
    <w:tmpl w:val="A7760596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CC4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45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25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E9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28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A4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6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8A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BB22A1"/>
    <w:multiLevelType w:val="hybridMultilevel"/>
    <w:tmpl w:val="3F527A4C"/>
    <w:lvl w:ilvl="0" w:tplc="E6A872EC">
      <w:start w:val="1"/>
      <w:numFmt w:val="lowerLetter"/>
      <w:lvlText w:val="(%1)"/>
      <w:lvlJc w:val="left"/>
      <w:pPr>
        <w:ind w:left="1028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003" w:hanging="360"/>
      </w:pPr>
    </w:lvl>
    <w:lvl w:ilvl="2" w:tplc="1C09001B" w:tentative="1">
      <w:start w:val="1"/>
      <w:numFmt w:val="lowerRoman"/>
      <w:lvlText w:val="%3."/>
      <w:lvlJc w:val="right"/>
      <w:pPr>
        <w:ind w:left="11723" w:hanging="180"/>
      </w:pPr>
    </w:lvl>
    <w:lvl w:ilvl="3" w:tplc="1C09000F" w:tentative="1">
      <w:start w:val="1"/>
      <w:numFmt w:val="decimal"/>
      <w:lvlText w:val="%4."/>
      <w:lvlJc w:val="left"/>
      <w:pPr>
        <w:ind w:left="12443" w:hanging="360"/>
      </w:pPr>
    </w:lvl>
    <w:lvl w:ilvl="4" w:tplc="1C090019" w:tentative="1">
      <w:start w:val="1"/>
      <w:numFmt w:val="lowerLetter"/>
      <w:lvlText w:val="%5."/>
      <w:lvlJc w:val="left"/>
      <w:pPr>
        <w:ind w:left="13163" w:hanging="360"/>
      </w:pPr>
    </w:lvl>
    <w:lvl w:ilvl="5" w:tplc="1C09001B" w:tentative="1">
      <w:start w:val="1"/>
      <w:numFmt w:val="lowerRoman"/>
      <w:lvlText w:val="%6."/>
      <w:lvlJc w:val="right"/>
      <w:pPr>
        <w:ind w:left="13883" w:hanging="180"/>
      </w:pPr>
    </w:lvl>
    <w:lvl w:ilvl="6" w:tplc="1C09000F" w:tentative="1">
      <w:start w:val="1"/>
      <w:numFmt w:val="decimal"/>
      <w:lvlText w:val="%7."/>
      <w:lvlJc w:val="left"/>
      <w:pPr>
        <w:ind w:left="14603" w:hanging="360"/>
      </w:pPr>
    </w:lvl>
    <w:lvl w:ilvl="7" w:tplc="1C090019" w:tentative="1">
      <w:start w:val="1"/>
      <w:numFmt w:val="lowerLetter"/>
      <w:lvlText w:val="%8."/>
      <w:lvlJc w:val="left"/>
      <w:pPr>
        <w:ind w:left="15323" w:hanging="360"/>
      </w:pPr>
    </w:lvl>
    <w:lvl w:ilvl="8" w:tplc="1C09001B" w:tentative="1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11"/>
  </w:num>
  <w:num w:numId="5">
    <w:abstractNumId w:val="10"/>
  </w:num>
  <w:num w:numId="6">
    <w:abstractNumId w:val="31"/>
  </w:num>
  <w:num w:numId="7">
    <w:abstractNumId w:val="24"/>
  </w:num>
  <w:num w:numId="8">
    <w:abstractNumId w:val="30"/>
  </w:num>
  <w:num w:numId="9">
    <w:abstractNumId w:val="0"/>
  </w:num>
  <w:num w:numId="10">
    <w:abstractNumId w:val="6"/>
  </w:num>
  <w:num w:numId="11">
    <w:abstractNumId w:val="4"/>
  </w:num>
  <w:num w:numId="12">
    <w:abstractNumId w:val="22"/>
  </w:num>
  <w:num w:numId="13">
    <w:abstractNumId w:val="28"/>
  </w:num>
  <w:num w:numId="14">
    <w:abstractNumId w:val="20"/>
  </w:num>
  <w:num w:numId="15">
    <w:abstractNumId w:val="2"/>
  </w:num>
  <w:num w:numId="16">
    <w:abstractNumId w:val="7"/>
  </w:num>
  <w:num w:numId="17">
    <w:abstractNumId w:val="8"/>
  </w:num>
  <w:num w:numId="18">
    <w:abstractNumId w:val="3"/>
  </w:num>
  <w:num w:numId="19">
    <w:abstractNumId w:val="12"/>
  </w:num>
  <w:num w:numId="20">
    <w:abstractNumId w:val="14"/>
  </w:num>
  <w:num w:numId="21">
    <w:abstractNumId w:val="15"/>
  </w:num>
  <w:num w:numId="22">
    <w:abstractNumId w:val="29"/>
  </w:num>
  <w:num w:numId="23">
    <w:abstractNumId w:val="21"/>
  </w:num>
  <w:num w:numId="24">
    <w:abstractNumId w:val="23"/>
  </w:num>
  <w:num w:numId="25">
    <w:abstractNumId w:val="18"/>
  </w:num>
  <w:num w:numId="26">
    <w:abstractNumId w:val="9"/>
  </w:num>
  <w:num w:numId="27">
    <w:abstractNumId w:val="25"/>
  </w:num>
  <w:num w:numId="28">
    <w:abstractNumId w:val="17"/>
  </w:num>
  <w:num w:numId="29">
    <w:abstractNumId w:val="27"/>
  </w:num>
  <w:num w:numId="30">
    <w:abstractNumId w:val="5"/>
  </w:num>
  <w:num w:numId="31">
    <w:abstractNumId w:val="16"/>
  </w:num>
  <w:num w:numId="3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2495"/>
    <w:rsid w:val="00064EEE"/>
    <w:rsid w:val="00065792"/>
    <w:rsid w:val="00066E6C"/>
    <w:rsid w:val="000773B2"/>
    <w:rsid w:val="00080CA6"/>
    <w:rsid w:val="00082A4E"/>
    <w:rsid w:val="0009500E"/>
    <w:rsid w:val="00095CFC"/>
    <w:rsid w:val="000A0DBF"/>
    <w:rsid w:val="000A1A30"/>
    <w:rsid w:val="000A2AA1"/>
    <w:rsid w:val="000A7E2B"/>
    <w:rsid w:val="000B01FF"/>
    <w:rsid w:val="000B3631"/>
    <w:rsid w:val="000C3487"/>
    <w:rsid w:val="000C59FE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5492"/>
    <w:rsid w:val="001479DC"/>
    <w:rsid w:val="00151041"/>
    <w:rsid w:val="00151529"/>
    <w:rsid w:val="0015160D"/>
    <w:rsid w:val="00153AAD"/>
    <w:rsid w:val="00156DFD"/>
    <w:rsid w:val="00162ECA"/>
    <w:rsid w:val="00167E2B"/>
    <w:rsid w:val="001712B4"/>
    <w:rsid w:val="0017189F"/>
    <w:rsid w:val="00173751"/>
    <w:rsid w:val="001823DD"/>
    <w:rsid w:val="001828D3"/>
    <w:rsid w:val="001951CE"/>
    <w:rsid w:val="001A41E7"/>
    <w:rsid w:val="001A7704"/>
    <w:rsid w:val="001B00F5"/>
    <w:rsid w:val="001B0D3B"/>
    <w:rsid w:val="001B2869"/>
    <w:rsid w:val="001B2E53"/>
    <w:rsid w:val="001B4385"/>
    <w:rsid w:val="001B50E1"/>
    <w:rsid w:val="001C283E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6F8A"/>
    <w:rsid w:val="002872F5"/>
    <w:rsid w:val="0028789F"/>
    <w:rsid w:val="00292CB9"/>
    <w:rsid w:val="002956D0"/>
    <w:rsid w:val="00296319"/>
    <w:rsid w:val="00296510"/>
    <w:rsid w:val="002973E8"/>
    <w:rsid w:val="002A1F5E"/>
    <w:rsid w:val="002A3694"/>
    <w:rsid w:val="002A6B00"/>
    <w:rsid w:val="002B08E1"/>
    <w:rsid w:val="002B3082"/>
    <w:rsid w:val="002C0BAB"/>
    <w:rsid w:val="002C441D"/>
    <w:rsid w:val="002C4526"/>
    <w:rsid w:val="002C5A62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17942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6483"/>
    <w:rsid w:val="003A0196"/>
    <w:rsid w:val="003A196A"/>
    <w:rsid w:val="003A4A56"/>
    <w:rsid w:val="003A4F9D"/>
    <w:rsid w:val="003B125C"/>
    <w:rsid w:val="003B15B6"/>
    <w:rsid w:val="003B5402"/>
    <w:rsid w:val="003C2ADA"/>
    <w:rsid w:val="003C53EF"/>
    <w:rsid w:val="003C785A"/>
    <w:rsid w:val="003D44EF"/>
    <w:rsid w:val="003D7ABC"/>
    <w:rsid w:val="003E3224"/>
    <w:rsid w:val="003E4F6B"/>
    <w:rsid w:val="003E5612"/>
    <w:rsid w:val="003E627A"/>
    <w:rsid w:val="003E6E9C"/>
    <w:rsid w:val="003E721F"/>
    <w:rsid w:val="003E7420"/>
    <w:rsid w:val="003F1D7B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44EF"/>
    <w:rsid w:val="004B6139"/>
    <w:rsid w:val="004B6F02"/>
    <w:rsid w:val="004C0992"/>
    <w:rsid w:val="004C44E1"/>
    <w:rsid w:val="004C5509"/>
    <w:rsid w:val="004C5AE9"/>
    <w:rsid w:val="004D17A6"/>
    <w:rsid w:val="004D18C0"/>
    <w:rsid w:val="004D3681"/>
    <w:rsid w:val="004D45EF"/>
    <w:rsid w:val="004E03F1"/>
    <w:rsid w:val="004E13FB"/>
    <w:rsid w:val="004E2149"/>
    <w:rsid w:val="004E2276"/>
    <w:rsid w:val="004E536A"/>
    <w:rsid w:val="004E67DE"/>
    <w:rsid w:val="004E75EB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57920"/>
    <w:rsid w:val="005616AD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BF1"/>
    <w:rsid w:val="005A3668"/>
    <w:rsid w:val="005B2227"/>
    <w:rsid w:val="005B6016"/>
    <w:rsid w:val="005C62A8"/>
    <w:rsid w:val="005C75F9"/>
    <w:rsid w:val="005D4ED3"/>
    <w:rsid w:val="005D5448"/>
    <w:rsid w:val="005E093E"/>
    <w:rsid w:val="005E123E"/>
    <w:rsid w:val="005E1D94"/>
    <w:rsid w:val="005E50A1"/>
    <w:rsid w:val="005E65C1"/>
    <w:rsid w:val="005F20B1"/>
    <w:rsid w:val="005F20BE"/>
    <w:rsid w:val="005F3F35"/>
    <w:rsid w:val="005F630B"/>
    <w:rsid w:val="006009A0"/>
    <w:rsid w:val="00601780"/>
    <w:rsid w:val="00604285"/>
    <w:rsid w:val="00610A40"/>
    <w:rsid w:val="006140CA"/>
    <w:rsid w:val="00617B5C"/>
    <w:rsid w:val="00621AAF"/>
    <w:rsid w:val="006332D1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2A1E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E5A65"/>
    <w:rsid w:val="007F0FBD"/>
    <w:rsid w:val="007F24B0"/>
    <w:rsid w:val="007F5F7B"/>
    <w:rsid w:val="00802076"/>
    <w:rsid w:val="00802DCE"/>
    <w:rsid w:val="00803673"/>
    <w:rsid w:val="008046C7"/>
    <w:rsid w:val="00805E36"/>
    <w:rsid w:val="00806932"/>
    <w:rsid w:val="00810B14"/>
    <w:rsid w:val="00810C99"/>
    <w:rsid w:val="0081425D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22A7"/>
    <w:rsid w:val="009231D3"/>
    <w:rsid w:val="00926370"/>
    <w:rsid w:val="00926938"/>
    <w:rsid w:val="0092795A"/>
    <w:rsid w:val="00930948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8D3"/>
    <w:rsid w:val="009A0286"/>
    <w:rsid w:val="009A468B"/>
    <w:rsid w:val="009A4739"/>
    <w:rsid w:val="009B0431"/>
    <w:rsid w:val="009C0DE1"/>
    <w:rsid w:val="009C160D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2EB0"/>
    <w:rsid w:val="009F3B4B"/>
    <w:rsid w:val="009F7581"/>
    <w:rsid w:val="00A00E4A"/>
    <w:rsid w:val="00A01414"/>
    <w:rsid w:val="00A055D9"/>
    <w:rsid w:val="00A15C63"/>
    <w:rsid w:val="00A16E78"/>
    <w:rsid w:val="00A20540"/>
    <w:rsid w:val="00A20CFB"/>
    <w:rsid w:val="00A21F7F"/>
    <w:rsid w:val="00A22ECB"/>
    <w:rsid w:val="00A2310B"/>
    <w:rsid w:val="00A27DF4"/>
    <w:rsid w:val="00A30756"/>
    <w:rsid w:val="00A33285"/>
    <w:rsid w:val="00A343ED"/>
    <w:rsid w:val="00A36DA6"/>
    <w:rsid w:val="00A40246"/>
    <w:rsid w:val="00A4192C"/>
    <w:rsid w:val="00A44B9A"/>
    <w:rsid w:val="00A45518"/>
    <w:rsid w:val="00A46B71"/>
    <w:rsid w:val="00A46CC2"/>
    <w:rsid w:val="00A51004"/>
    <w:rsid w:val="00A54865"/>
    <w:rsid w:val="00A551B4"/>
    <w:rsid w:val="00A55457"/>
    <w:rsid w:val="00A60D33"/>
    <w:rsid w:val="00A66AA8"/>
    <w:rsid w:val="00A66D53"/>
    <w:rsid w:val="00A7045B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4824"/>
    <w:rsid w:val="00A96DC3"/>
    <w:rsid w:val="00A97DA3"/>
    <w:rsid w:val="00AA4667"/>
    <w:rsid w:val="00AB2A22"/>
    <w:rsid w:val="00AB3558"/>
    <w:rsid w:val="00AB5375"/>
    <w:rsid w:val="00AC0E7A"/>
    <w:rsid w:val="00AC398E"/>
    <w:rsid w:val="00AC671F"/>
    <w:rsid w:val="00AC67FD"/>
    <w:rsid w:val="00AD4B8F"/>
    <w:rsid w:val="00AD61C7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6227"/>
    <w:rsid w:val="00B60B8E"/>
    <w:rsid w:val="00B621B1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530"/>
    <w:rsid w:val="00BA0E64"/>
    <w:rsid w:val="00BA3834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405D"/>
    <w:rsid w:val="00C13733"/>
    <w:rsid w:val="00C15CA4"/>
    <w:rsid w:val="00C202CB"/>
    <w:rsid w:val="00C221EA"/>
    <w:rsid w:val="00C264DC"/>
    <w:rsid w:val="00C33C1E"/>
    <w:rsid w:val="00C41242"/>
    <w:rsid w:val="00C456F7"/>
    <w:rsid w:val="00C50D10"/>
    <w:rsid w:val="00C528C8"/>
    <w:rsid w:val="00C53DE6"/>
    <w:rsid w:val="00C5706C"/>
    <w:rsid w:val="00C602C7"/>
    <w:rsid w:val="00C6207A"/>
    <w:rsid w:val="00C62268"/>
    <w:rsid w:val="00C637C7"/>
    <w:rsid w:val="00C64770"/>
    <w:rsid w:val="00C731ED"/>
    <w:rsid w:val="00C81DAE"/>
    <w:rsid w:val="00C92817"/>
    <w:rsid w:val="00CA3593"/>
    <w:rsid w:val="00CB0E3F"/>
    <w:rsid w:val="00CB3BE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0A8"/>
    <w:rsid w:val="00D35686"/>
    <w:rsid w:val="00D444E5"/>
    <w:rsid w:val="00D477D9"/>
    <w:rsid w:val="00D547D6"/>
    <w:rsid w:val="00D63C47"/>
    <w:rsid w:val="00D66BBB"/>
    <w:rsid w:val="00D7303F"/>
    <w:rsid w:val="00D74AD1"/>
    <w:rsid w:val="00D74D3D"/>
    <w:rsid w:val="00D74FD2"/>
    <w:rsid w:val="00D82AB0"/>
    <w:rsid w:val="00D84122"/>
    <w:rsid w:val="00D91442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0585B"/>
    <w:rsid w:val="00E112D1"/>
    <w:rsid w:val="00E16032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66D8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5695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C000D"/>
    <w:rsid w:val="00FC785D"/>
    <w:rsid w:val="00FD3185"/>
    <w:rsid w:val="00FD4C2F"/>
    <w:rsid w:val="00FD52DB"/>
    <w:rsid w:val="00FD6A97"/>
    <w:rsid w:val="00FD7E9F"/>
    <w:rsid w:val="00FE1757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aliases w:val="Rep Body 2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aliases w:val="Rep Body 2 Char"/>
    <w:link w:val="ListParagraph"/>
    <w:uiPriority w:val="34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table" w:customStyle="1" w:styleId="TableGrid21">
    <w:name w:val="Table Grid21"/>
    <w:basedOn w:val="TableNormal"/>
    <w:next w:val="TableGrid"/>
    <w:uiPriority w:val="39"/>
    <w:rsid w:val="00D63C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350A8"/>
  </w:style>
  <w:style w:type="table" w:customStyle="1" w:styleId="GridTable41">
    <w:name w:val="Grid Table 41"/>
    <w:basedOn w:val="TableNormal"/>
    <w:uiPriority w:val="49"/>
    <w:rsid w:val="00D35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1081-31D2-4942-81A3-51302E29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2018-03-19T09:22:00Z</cp:lastPrinted>
  <dcterms:created xsi:type="dcterms:W3CDTF">2019-02-22T10:39:00Z</dcterms:created>
  <dcterms:modified xsi:type="dcterms:W3CDTF">2019-02-22T10:39:00Z</dcterms:modified>
</cp:coreProperties>
</file>