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8E" w:rsidRPr="001B0917" w:rsidRDefault="003F318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3F318E" w:rsidRPr="001B0917" w:rsidRDefault="003F318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3F318E" w:rsidRPr="00FC2BE3" w:rsidRDefault="003F318E"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FC2BE3">
        <w:rPr>
          <w:rFonts w:ascii="Arial" w:hAnsi="Arial" w:cs="Arial"/>
          <w:b/>
          <w:sz w:val="22"/>
          <w:szCs w:val="22"/>
        </w:rPr>
        <w:t>33</w:t>
      </w:r>
      <w:r>
        <w:rPr>
          <w:rFonts w:ascii="Arial" w:hAnsi="Arial" w:cs="Arial"/>
          <w:b/>
          <w:sz w:val="22"/>
          <w:szCs w:val="22"/>
        </w:rPr>
        <w:t>20</w:t>
      </w:r>
      <w:r w:rsidRPr="00FC2BE3">
        <w:rPr>
          <w:rFonts w:ascii="Arial" w:hAnsi="Arial" w:cs="Arial"/>
          <w:b/>
          <w:sz w:val="22"/>
          <w:szCs w:val="22"/>
        </w:rPr>
        <w:t xml:space="preserve"> [NW</w:t>
      </w:r>
      <w:r>
        <w:rPr>
          <w:rFonts w:ascii="Arial" w:hAnsi="Arial" w:cs="Arial"/>
          <w:b/>
          <w:sz w:val="22"/>
          <w:szCs w:val="22"/>
        </w:rPr>
        <w:t>3857</w:t>
      </w:r>
      <w:r w:rsidRPr="00FC2BE3">
        <w:rPr>
          <w:rFonts w:ascii="Arial" w:hAnsi="Arial" w:cs="Arial"/>
          <w:b/>
          <w:sz w:val="22"/>
          <w:szCs w:val="22"/>
        </w:rPr>
        <w:t>E]</w:t>
      </w:r>
    </w:p>
    <w:p w:rsidR="003F318E" w:rsidRPr="00FC2BE3" w:rsidRDefault="003F318E" w:rsidP="001B0917">
      <w:pPr>
        <w:tabs>
          <w:tab w:val="left" w:pos="432"/>
          <w:tab w:val="left" w:pos="864"/>
        </w:tabs>
        <w:spacing w:line="276" w:lineRule="auto"/>
        <w:jc w:val="center"/>
        <w:rPr>
          <w:rFonts w:ascii="Arial" w:hAnsi="Arial" w:cs="Arial"/>
          <w:b/>
          <w:sz w:val="22"/>
          <w:szCs w:val="22"/>
        </w:rPr>
      </w:pPr>
      <w:r w:rsidRPr="00FC2BE3">
        <w:rPr>
          <w:rFonts w:ascii="Arial" w:hAnsi="Arial" w:cs="Arial"/>
          <w:b/>
          <w:sz w:val="22"/>
          <w:szCs w:val="22"/>
        </w:rPr>
        <w:t>DATE OF PUBLICATION: 4 SEPTEMBER 2015</w:t>
      </w:r>
    </w:p>
    <w:p w:rsidR="003F318E" w:rsidRDefault="003F318E" w:rsidP="00FC2BE3">
      <w:pPr>
        <w:ind w:left="709" w:hanging="709"/>
        <w:jc w:val="both"/>
        <w:rPr>
          <w:b/>
          <w:lang w:val="en-GB"/>
        </w:rPr>
      </w:pPr>
    </w:p>
    <w:p w:rsidR="003F318E" w:rsidRPr="005E4B98" w:rsidRDefault="003F318E" w:rsidP="005E4B98">
      <w:pPr>
        <w:spacing w:line="276" w:lineRule="auto"/>
        <w:ind w:left="709" w:hanging="709"/>
        <w:jc w:val="both"/>
        <w:rPr>
          <w:rFonts w:ascii="Arial" w:hAnsi="Arial" w:cs="Arial"/>
          <w:sz w:val="22"/>
          <w:szCs w:val="22"/>
          <w:lang w:val="en-GB"/>
        </w:rPr>
      </w:pPr>
      <w:r w:rsidRPr="005E4B98">
        <w:rPr>
          <w:rFonts w:ascii="Arial" w:hAnsi="Arial" w:cs="Arial"/>
          <w:b/>
          <w:sz w:val="22"/>
          <w:szCs w:val="22"/>
          <w:lang w:val="en-GB"/>
        </w:rPr>
        <w:t>3320.</w:t>
      </w:r>
      <w:r w:rsidRPr="005E4B98">
        <w:rPr>
          <w:rFonts w:ascii="Arial" w:hAnsi="Arial" w:cs="Arial"/>
          <w:b/>
          <w:sz w:val="22"/>
          <w:szCs w:val="22"/>
          <w:lang w:val="en-GB"/>
        </w:rPr>
        <w:tab/>
        <w:t>Mr N F Shivambu (EFF) to ask the Minister of Finance:</w:t>
      </w:r>
      <w:r w:rsidRPr="005E4B98">
        <w:rPr>
          <w:rFonts w:ascii="Arial" w:hAnsi="Arial" w:cs="Arial"/>
          <w:b/>
          <w:sz w:val="22"/>
          <w:szCs w:val="22"/>
          <w:lang w:val="af-ZA"/>
        </w:rPr>
        <w:t xml:space="preserve"> </w:t>
      </w:r>
    </w:p>
    <w:p w:rsidR="003F318E" w:rsidRDefault="003F318E" w:rsidP="005E4B98">
      <w:pPr>
        <w:spacing w:before="100" w:beforeAutospacing="1" w:after="100" w:afterAutospacing="1" w:line="276" w:lineRule="auto"/>
        <w:ind w:left="709"/>
        <w:jc w:val="both"/>
        <w:rPr>
          <w:rFonts w:ascii="Arial" w:hAnsi="Arial" w:cs="Arial"/>
          <w:sz w:val="22"/>
          <w:szCs w:val="22"/>
          <w:lang w:val="en-ZA" w:eastAsia="en-ZA"/>
        </w:rPr>
      </w:pPr>
      <w:r w:rsidRPr="005E4B98">
        <w:rPr>
          <w:rFonts w:ascii="Arial" w:hAnsi="Arial" w:cs="Arial"/>
          <w:sz w:val="22"/>
          <w:szCs w:val="22"/>
          <w:lang w:val="en-ZA" w:eastAsia="en-ZA"/>
        </w:rPr>
        <w:t>(a) How many transactions under all categories applicable to BOPCUS non-resident rand outward payments were recorded from all authorised foreign currency dealers in (i) 2013 and (ii) 2014 and (b) what are the (i) names of the countries and (ii) relevant amounts in each specified case?</w:t>
      </w:r>
      <w:r w:rsidRPr="005E4B98">
        <w:rPr>
          <w:rFonts w:ascii="Arial" w:hAnsi="Arial" w:cs="Arial"/>
          <w:sz w:val="22"/>
          <w:szCs w:val="22"/>
          <w:lang w:val="en-ZA" w:eastAsia="en-ZA"/>
        </w:rPr>
        <w:tab/>
      </w:r>
      <w:r w:rsidRPr="005E4B98">
        <w:rPr>
          <w:rFonts w:ascii="Arial" w:hAnsi="Arial" w:cs="Arial"/>
          <w:sz w:val="22"/>
          <w:szCs w:val="22"/>
          <w:lang w:val="en-ZA" w:eastAsia="en-ZA"/>
        </w:rPr>
        <w:tab/>
      </w:r>
    </w:p>
    <w:p w:rsidR="003F318E" w:rsidRPr="005E4B98" w:rsidRDefault="003F318E" w:rsidP="005E4B98">
      <w:pPr>
        <w:spacing w:before="100" w:beforeAutospacing="1" w:after="100" w:afterAutospacing="1" w:line="276" w:lineRule="auto"/>
        <w:ind w:left="7189" w:firstLine="11"/>
        <w:jc w:val="both"/>
        <w:rPr>
          <w:rFonts w:ascii="Arial" w:hAnsi="Arial" w:cs="Arial"/>
          <w:sz w:val="22"/>
          <w:szCs w:val="22"/>
          <w:lang w:val="en-ZA" w:eastAsia="en-ZA"/>
        </w:rPr>
      </w:pPr>
      <w:r w:rsidRPr="005E4B98">
        <w:rPr>
          <w:rFonts w:ascii="Arial" w:hAnsi="Arial" w:cs="Arial"/>
          <w:sz w:val="22"/>
          <w:szCs w:val="22"/>
          <w:lang w:val="en-ZA" w:eastAsia="en-ZA"/>
        </w:rPr>
        <w:t>NW3857E</w:t>
      </w:r>
    </w:p>
    <w:p w:rsidR="003F318E" w:rsidRPr="001B0917" w:rsidRDefault="003F318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3F318E" w:rsidRPr="00562B2C" w:rsidRDefault="003F318E" w:rsidP="00EC2D61">
      <w:pPr>
        <w:rPr>
          <w:lang w:val="en-ZA"/>
        </w:rPr>
      </w:pPr>
    </w:p>
    <w:p w:rsidR="003F318E" w:rsidRDefault="003F318E" w:rsidP="00832440">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information requested by the Honorable Member is an element that forms part of the more aggregated figure </w:t>
      </w:r>
      <w:r>
        <w:rPr>
          <w:rFonts w:ascii="Arial" w:hAnsi="Arial" w:cs="Arial"/>
          <w:sz w:val="22"/>
        </w:rPr>
        <w:t>used to prepare the regular reports on the current account and on the financial account, both of which are published in the Reserve Bank Quarterly Bulletin.</w:t>
      </w:r>
      <w:r>
        <w:rPr>
          <w:rFonts w:ascii="Arial" w:hAnsi="Arial" w:cs="Arial"/>
          <w:sz w:val="22"/>
          <w:szCs w:val="22"/>
        </w:rPr>
        <w:t xml:space="preserve"> </w:t>
      </w:r>
    </w:p>
    <w:p w:rsidR="003F318E" w:rsidRDefault="003F318E" w:rsidP="00832440">
      <w:pPr>
        <w:tabs>
          <w:tab w:val="left" w:pos="432"/>
          <w:tab w:val="left" w:pos="864"/>
        </w:tabs>
        <w:spacing w:line="276" w:lineRule="auto"/>
        <w:jc w:val="both"/>
        <w:rPr>
          <w:rFonts w:ascii="Arial" w:hAnsi="Arial" w:cs="Arial"/>
          <w:sz w:val="22"/>
          <w:szCs w:val="22"/>
        </w:rPr>
      </w:pPr>
    </w:p>
    <w:p w:rsidR="003F318E" w:rsidRDefault="003F318E" w:rsidP="00832440">
      <w:pPr>
        <w:tabs>
          <w:tab w:val="left" w:pos="432"/>
          <w:tab w:val="left" w:pos="864"/>
        </w:tabs>
        <w:spacing w:line="276" w:lineRule="auto"/>
        <w:jc w:val="both"/>
        <w:rPr>
          <w:rFonts w:ascii="Arial" w:hAnsi="Arial" w:cs="Arial"/>
          <w:sz w:val="22"/>
        </w:rPr>
      </w:pPr>
      <w:r w:rsidRPr="00562B2C">
        <w:rPr>
          <w:rFonts w:ascii="Arial" w:hAnsi="Arial" w:cs="Arial"/>
          <w:sz w:val="22"/>
          <w:szCs w:val="22"/>
        </w:rPr>
        <w:t>The South African Reserve Bank (“SARB”) records all inward and outward transactions for goods and services, for residents and non-residents through, “BOPCUS” - the “Balance of Payments Customer Transaction Reporting Electronic Message System”. Authorised Dealers in foreign exchange report all</w:t>
      </w:r>
      <w:r>
        <w:rPr>
          <w:rFonts w:ascii="Arial" w:hAnsi="Arial" w:cs="Arial"/>
          <w:sz w:val="22"/>
          <w:szCs w:val="22"/>
        </w:rPr>
        <w:t xml:space="preserve"> such </w:t>
      </w:r>
      <w:r w:rsidRPr="00562B2C">
        <w:rPr>
          <w:rFonts w:ascii="Arial" w:hAnsi="Arial" w:cs="Arial"/>
          <w:sz w:val="22"/>
          <w:szCs w:val="22"/>
        </w:rPr>
        <w:t xml:space="preserve">transactions to SARB via the BOPCUS system, </w:t>
      </w:r>
      <w:r w:rsidRPr="00562B2C">
        <w:rPr>
          <w:rFonts w:ascii="Arial" w:hAnsi="Arial" w:cs="Arial"/>
          <w:sz w:val="22"/>
        </w:rPr>
        <w:t>according to balance</w:t>
      </w:r>
      <w:r>
        <w:rPr>
          <w:rFonts w:ascii="Arial" w:hAnsi="Arial" w:cs="Arial"/>
          <w:sz w:val="22"/>
        </w:rPr>
        <w:t xml:space="preserve"> of payments categories. </w:t>
      </w:r>
    </w:p>
    <w:p w:rsidR="003F318E" w:rsidRDefault="003F318E" w:rsidP="00832440">
      <w:pPr>
        <w:tabs>
          <w:tab w:val="left" w:pos="432"/>
          <w:tab w:val="left" w:pos="864"/>
        </w:tabs>
        <w:spacing w:line="276" w:lineRule="auto"/>
        <w:jc w:val="both"/>
        <w:rPr>
          <w:rFonts w:ascii="Arial" w:hAnsi="Arial" w:cs="Arial"/>
          <w:sz w:val="22"/>
        </w:rPr>
      </w:pPr>
    </w:p>
    <w:p w:rsidR="003F318E" w:rsidRDefault="003F318E" w:rsidP="00AD5019">
      <w:pPr>
        <w:tabs>
          <w:tab w:val="left" w:pos="432"/>
          <w:tab w:val="left" w:pos="864"/>
        </w:tabs>
        <w:spacing w:line="276" w:lineRule="auto"/>
        <w:jc w:val="both"/>
        <w:rPr>
          <w:rFonts w:ascii="Arial" w:hAnsi="Arial" w:cs="Arial"/>
          <w:sz w:val="22"/>
        </w:rPr>
      </w:pPr>
      <w:r>
        <w:rPr>
          <w:rFonts w:ascii="Arial" w:hAnsi="Arial" w:cs="Arial"/>
          <w:sz w:val="22"/>
        </w:rPr>
        <w:t xml:space="preserve">The most recent SARB Quarterly Bulletin </w:t>
      </w:r>
      <w:r w:rsidRPr="009A0D99">
        <w:rPr>
          <w:rFonts w:ascii="Arial" w:hAnsi="Arial" w:cs="Arial"/>
          <w:sz w:val="22"/>
        </w:rPr>
        <w:t xml:space="preserve">published </w:t>
      </w:r>
      <w:r w:rsidRPr="00D05469">
        <w:rPr>
          <w:rFonts w:ascii="Arial" w:hAnsi="Arial" w:cs="Arial"/>
          <w:sz w:val="22"/>
        </w:rPr>
        <w:t>(</w:t>
      </w:r>
      <w:r>
        <w:rPr>
          <w:rFonts w:ascii="Arial" w:hAnsi="Arial" w:cs="Arial"/>
          <w:sz w:val="22"/>
        </w:rPr>
        <w:t xml:space="preserve">in </w:t>
      </w:r>
      <w:r w:rsidRPr="009A0D99">
        <w:rPr>
          <w:rFonts w:ascii="Arial" w:hAnsi="Arial" w:cs="Arial"/>
          <w:sz w:val="22"/>
        </w:rPr>
        <w:t>September</w:t>
      </w:r>
      <w:r>
        <w:rPr>
          <w:rFonts w:ascii="Arial" w:hAnsi="Arial" w:cs="Arial"/>
          <w:sz w:val="22"/>
        </w:rPr>
        <w:t xml:space="preserve"> 2015) published the following figures for the first two quarters for 2015 (Table; page 34</w:t>
      </w:r>
      <w:r w:rsidRPr="009A0D99">
        <w:rPr>
          <w:rFonts w:ascii="Arial" w:hAnsi="Arial" w:cs="Arial"/>
          <w:sz w:val="22"/>
        </w:rPr>
        <w:t>)</w:t>
      </w:r>
      <w:r w:rsidRPr="00D05469">
        <w:rPr>
          <w:rFonts w:ascii="Arial" w:hAnsi="Arial" w:cs="Arial"/>
          <w:sz w:val="22"/>
        </w:rPr>
        <w:t>.</w:t>
      </w:r>
    </w:p>
    <w:p w:rsidR="003F318E" w:rsidRDefault="003F318E" w:rsidP="00AD5019">
      <w:pPr>
        <w:tabs>
          <w:tab w:val="left" w:pos="432"/>
          <w:tab w:val="left" w:pos="864"/>
        </w:tabs>
        <w:spacing w:line="276" w:lineRule="auto"/>
        <w:jc w:val="both"/>
        <w:rPr>
          <w:rFonts w:ascii="Arial" w:hAnsi="Arial" w:cs="Arial"/>
          <w:sz w:val="22"/>
        </w:rPr>
      </w:pPr>
    </w:p>
    <w:p w:rsidR="003F318E" w:rsidRDefault="003F318E" w:rsidP="00AD5019">
      <w:pPr>
        <w:tabs>
          <w:tab w:val="left" w:pos="432"/>
          <w:tab w:val="left" w:pos="864"/>
        </w:tabs>
        <w:spacing w:line="276" w:lineRule="auto"/>
        <w:jc w:val="both"/>
        <w:rPr>
          <w:rFonts w:ascii="Arial" w:hAnsi="Arial" w:cs="Arial"/>
          <w:sz w:val="22"/>
        </w:rPr>
      </w:pPr>
      <w:r w:rsidRPr="00912C82">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94pt;height:2in;visibility:visible">
            <v:imagedata r:id="rId7" o:title=""/>
          </v:shape>
        </w:pict>
      </w:r>
    </w:p>
    <w:p w:rsidR="003F318E" w:rsidRDefault="003F318E" w:rsidP="00AD5019">
      <w:pPr>
        <w:tabs>
          <w:tab w:val="left" w:pos="432"/>
          <w:tab w:val="left" w:pos="864"/>
        </w:tabs>
        <w:spacing w:line="276" w:lineRule="auto"/>
        <w:jc w:val="both"/>
        <w:rPr>
          <w:rFonts w:ascii="Arial" w:hAnsi="Arial" w:cs="Arial"/>
          <w:sz w:val="22"/>
        </w:rPr>
      </w:pPr>
    </w:p>
    <w:p w:rsidR="003F318E" w:rsidRDefault="003F318E" w:rsidP="00AD5019">
      <w:pPr>
        <w:tabs>
          <w:tab w:val="left" w:pos="432"/>
          <w:tab w:val="left" w:pos="864"/>
        </w:tabs>
        <w:spacing w:line="276" w:lineRule="auto"/>
        <w:jc w:val="both"/>
        <w:rPr>
          <w:rFonts w:ascii="Arial" w:hAnsi="Arial" w:cs="Arial"/>
          <w:sz w:val="22"/>
          <w:szCs w:val="22"/>
        </w:rPr>
      </w:pPr>
      <w:r>
        <w:rPr>
          <w:rFonts w:ascii="Arial" w:hAnsi="Arial" w:cs="Arial"/>
          <w:sz w:val="22"/>
          <w:szCs w:val="22"/>
        </w:rPr>
        <w:t>At the aggregated level, this shows the total outflow on the ‘net service, income and current transfer payments’ account of R138 billion on a seasonally adjusted and annualised basis. These are flows on the current account that are not related to trade flows. Indeed, the trade balance recorded a small (R14 billion) surplus on a seasonally adjusted and annualized basis.</w:t>
      </w:r>
    </w:p>
    <w:p w:rsidR="003F318E" w:rsidRDefault="003F318E" w:rsidP="004E001F">
      <w:pPr>
        <w:tabs>
          <w:tab w:val="left" w:pos="432"/>
          <w:tab w:val="left" w:pos="864"/>
        </w:tabs>
        <w:spacing w:line="276" w:lineRule="auto"/>
        <w:jc w:val="both"/>
        <w:rPr>
          <w:rFonts w:ascii="Arial" w:hAnsi="Arial" w:cs="Arial"/>
          <w:sz w:val="22"/>
          <w:szCs w:val="22"/>
        </w:rPr>
      </w:pPr>
      <w:r>
        <w:rPr>
          <w:rFonts w:ascii="Arial" w:hAnsi="Arial" w:cs="Arial"/>
          <w:sz w:val="22"/>
          <w:szCs w:val="22"/>
        </w:rPr>
        <w:t>Taken together with the services, income and current transfer payments, the balance on the current account has improved every quarter since 2014Q2; and now stands at 3.1 per cent of GDP.</w:t>
      </w:r>
    </w:p>
    <w:p w:rsidR="003F318E" w:rsidRDefault="003F318E" w:rsidP="004E001F">
      <w:pPr>
        <w:tabs>
          <w:tab w:val="left" w:pos="432"/>
          <w:tab w:val="left" w:pos="864"/>
        </w:tabs>
        <w:spacing w:line="276" w:lineRule="auto"/>
        <w:jc w:val="both"/>
        <w:rPr>
          <w:rFonts w:ascii="Arial" w:hAnsi="Arial" w:cs="Arial"/>
          <w:sz w:val="22"/>
          <w:szCs w:val="22"/>
        </w:rPr>
      </w:pPr>
    </w:p>
    <w:p w:rsidR="003F318E" w:rsidRPr="009A0D99" w:rsidRDefault="003F318E" w:rsidP="009A0D99">
      <w:pPr>
        <w:tabs>
          <w:tab w:val="left" w:pos="432"/>
          <w:tab w:val="left" w:pos="864"/>
        </w:tabs>
        <w:spacing w:line="276" w:lineRule="auto"/>
        <w:jc w:val="both"/>
        <w:rPr>
          <w:rFonts w:ascii="Arial" w:hAnsi="Arial" w:cs="Arial"/>
          <w:sz w:val="22"/>
          <w:szCs w:val="22"/>
        </w:rPr>
      </w:pPr>
      <w:r w:rsidRPr="009A0D99">
        <w:rPr>
          <w:rFonts w:ascii="Arial" w:hAnsi="Arial" w:cs="Arial"/>
          <w:sz w:val="22"/>
          <w:szCs w:val="22"/>
        </w:rPr>
        <w:t xml:space="preserve">On the financial account, however, financial inflows reached 2.9 per cent of GDP in the first half of 2015 from 5.9 per cent in 2014, as net outflows in ‘foreign direct investment’ and ‘other investment’ rose. Net portfolio inflows far exceeded total 2014 inflows of R49.5 billion, with demand for equities particularly robust. </w:t>
      </w:r>
    </w:p>
    <w:p w:rsidR="003F318E" w:rsidRDefault="003F318E" w:rsidP="00AD5019">
      <w:pPr>
        <w:tabs>
          <w:tab w:val="left" w:pos="432"/>
          <w:tab w:val="left" w:pos="864"/>
        </w:tabs>
        <w:spacing w:line="276" w:lineRule="auto"/>
        <w:jc w:val="both"/>
        <w:rPr>
          <w:rFonts w:ascii="Arial" w:hAnsi="Arial" w:cs="Arial"/>
          <w:sz w:val="22"/>
          <w:szCs w:val="22"/>
        </w:rPr>
      </w:pPr>
    </w:p>
    <w:p w:rsidR="003F318E" w:rsidRPr="00697801" w:rsidRDefault="003F318E" w:rsidP="00697801">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(i) (ii)</w:t>
      </w:r>
      <w:r>
        <w:rPr>
          <w:rFonts w:ascii="Arial" w:hAnsi="Arial" w:cs="Arial"/>
          <w:sz w:val="22"/>
          <w:szCs w:val="22"/>
        </w:rPr>
        <w:tab/>
      </w:r>
      <w:r w:rsidRPr="00697801">
        <w:rPr>
          <w:rFonts w:ascii="Arial" w:hAnsi="Arial" w:cs="Arial"/>
          <w:sz w:val="22"/>
          <w:szCs w:val="22"/>
        </w:rPr>
        <w:t>According to the information provided to me by the Reserve Bank, outward cross-border payments from non-resident rand accounts totalled</w:t>
      </w:r>
      <w:r w:rsidRPr="00697801">
        <w:rPr>
          <w:rFonts w:ascii="Arial" w:hAnsi="Arial" w:cs="Arial"/>
          <w:sz w:val="22"/>
          <w:szCs w:val="22"/>
          <w:lang w:val="en-ZA"/>
        </w:rPr>
        <w:t xml:space="preserve"> </w:t>
      </w:r>
      <w:r w:rsidRPr="00697801">
        <w:rPr>
          <w:rFonts w:ascii="Arial" w:hAnsi="Arial" w:cs="Arial"/>
          <w:sz w:val="22"/>
          <w:szCs w:val="22"/>
        </w:rPr>
        <w:t>52,000 transactions</w:t>
      </w:r>
      <w:r w:rsidRPr="00697801">
        <w:rPr>
          <w:rFonts w:ascii="Arial" w:hAnsi="Arial" w:cs="Arial"/>
          <w:sz w:val="22"/>
          <w:szCs w:val="22"/>
          <w:lang w:val="en-ZA"/>
        </w:rPr>
        <w:t xml:space="preserve"> amounting to </w:t>
      </w:r>
      <w:r w:rsidRPr="00697801">
        <w:rPr>
          <w:rFonts w:ascii="Arial" w:hAnsi="Arial" w:cs="Arial"/>
          <w:sz w:val="22"/>
          <w:szCs w:val="22"/>
        </w:rPr>
        <w:t xml:space="preserve">R30 billion in 2013 (all figures are rounded off in this response); and </w:t>
      </w:r>
      <w:r w:rsidRPr="00697801">
        <w:rPr>
          <w:rFonts w:ascii="Arial" w:hAnsi="Arial" w:cs="Arial"/>
          <w:sz w:val="22"/>
          <w:szCs w:val="22"/>
          <w:lang w:val="en-ZA"/>
        </w:rPr>
        <w:t>47,000 transactions amounting to R144 billion in 2014. These outflows were transferred to 161 countries in 2013 and to 138 countries in 2014.</w:t>
      </w:r>
      <w:r w:rsidRPr="00697801">
        <w:rPr>
          <w:rFonts w:ascii="Arial" w:hAnsi="Arial" w:cs="Arial"/>
          <w:sz w:val="22"/>
          <w:szCs w:val="22"/>
        </w:rPr>
        <w:t xml:space="preserve"> The average transaction value for 2013 was R586,000 and R3 million in 2014.</w:t>
      </w:r>
    </w:p>
    <w:p w:rsidR="003F318E" w:rsidRDefault="003F318E" w:rsidP="00AD5019">
      <w:pPr>
        <w:tabs>
          <w:tab w:val="left" w:pos="432"/>
          <w:tab w:val="left" w:pos="864"/>
        </w:tabs>
        <w:spacing w:line="276" w:lineRule="auto"/>
        <w:jc w:val="both"/>
        <w:rPr>
          <w:rFonts w:ascii="Arial" w:hAnsi="Arial" w:cs="Arial"/>
          <w:sz w:val="22"/>
          <w:szCs w:val="22"/>
        </w:rPr>
      </w:pPr>
    </w:p>
    <w:p w:rsidR="003F318E" w:rsidRDefault="003F318E" w:rsidP="00AD5019">
      <w:pPr>
        <w:tabs>
          <w:tab w:val="left" w:pos="432"/>
          <w:tab w:val="left" w:pos="864"/>
        </w:tabs>
        <w:spacing w:line="276" w:lineRule="auto"/>
        <w:jc w:val="both"/>
        <w:rPr>
          <w:rFonts w:ascii="Arial" w:hAnsi="Arial" w:cs="Arial"/>
          <w:sz w:val="22"/>
          <w:szCs w:val="22"/>
        </w:rPr>
      </w:pPr>
      <w:r>
        <w:rPr>
          <w:rFonts w:ascii="Arial" w:hAnsi="Arial" w:cs="Arial"/>
          <w:sz w:val="22"/>
          <w:szCs w:val="22"/>
        </w:rPr>
        <w:t>The Honourable Member should note that this should be compared to inward cross-border receipts, as they are linked in the sense that no inward flows are possible unless outward flows are allowed. I</w:t>
      </w:r>
      <w:r w:rsidRPr="002137FB">
        <w:rPr>
          <w:rFonts w:ascii="Arial" w:hAnsi="Arial" w:cs="Arial"/>
          <w:sz w:val="22"/>
          <w:szCs w:val="22"/>
        </w:rPr>
        <w:t>nward cross-border receipts into non-resident rand accounts</w:t>
      </w:r>
      <w:r>
        <w:rPr>
          <w:rFonts w:ascii="Arial" w:hAnsi="Arial" w:cs="Arial"/>
          <w:sz w:val="22"/>
          <w:szCs w:val="22"/>
        </w:rPr>
        <w:t xml:space="preserve"> totaled</w:t>
      </w:r>
      <w:r w:rsidRPr="00731B3F">
        <w:rPr>
          <w:rFonts w:ascii="Arial" w:hAnsi="Arial" w:cs="Arial"/>
          <w:sz w:val="22"/>
          <w:szCs w:val="22"/>
          <w:lang w:val="en-ZA"/>
        </w:rPr>
        <w:t xml:space="preserve"> </w:t>
      </w:r>
      <w:r>
        <w:rPr>
          <w:rFonts w:ascii="Arial" w:hAnsi="Arial" w:cs="Arial"/>
          <w:sz w:val="22"/>
          <w:szCs w:val="22"/>
          <w:lang w:val="en-ZA"/>
        </w:rPr>
        <w:t xml:space="preserve">42,000 </w:t>
      </w:r>
      <w:r w:rsidRPr="00731B3F">
        <w:rPr>
          <w:rFonts w:ascii="Arial" w:hAnsi="Arial" w:cs="Arial"/>
          <w:sz w:val="22"/>
          <w:szCs w:val="22"/>
        </w:rPr>
        <w:t>transactions</w:t>
      </w:r>
      <w:r>
        <w:rPr>
          <w:rFonts w:ascii="Arial" w:hAnsi="Arial" w:cs="Arial"/>
          <w:sz w:val="22"/>
          <w:szCs w:val="22"/>
          <w:lang w:val="en-ZA"/>
        </w:rPr>
        <w:t xml:space="preserve">, </w:t>
      </w:r>
      <w:r w:rsidRPr="00731B3F">
        <w:rPr>
          <w:rFonts w:ascii="Arial" w:hAnsi="Arial" w:cs="Arial"/>
          <w:sz w:val="22"/>
          <w:szCs w:val="22"/>
          <w:lang w:val="en-ZA"/>
        </w:rPr>
        <w:t xml:space="preserve">amounting to </w:t>
      </w:r>
      <w:r>
        <w:rPr>
          <w:rFonts w:ascii="Arial" w:hAnsi="Arial" w:cs="Arial"/>
          <w:sz w:val="22"/>
          <w:szCs w:val="22"/>
        </w:rPr>
        <w:t xml:space="preserve">R93 </w:t>
      </w:r>
      <w:r w:rsidRPr="00731B3F">
        <w:rPr>
          <w:rFonts w:ascii="Arial" w:hAnsi="Arial" w:cs="Arial"/>
          <w:sz w:val="22"/>
          <w:szCs w:val="22"/>
        </w:rPr>
        <w:t>billion in 2013</w:t>
      </w:r>
      <w:r>
        <w:rPr>
          <w:rFonts w:ascii="Arial" w:hAnsi="Arial" w:cs="Arial"/>
          <w:sz w:val="22"/>
          <w:szCs w:val="22"/>
        </w:rPr>
        <w:t xml:space="preserve"> and 40,000 </w:t>
      </w:r>
      <w:r w:rsidRPr="00731B3F">
        <w:rPr>
          <w:rFonts w:ascii="Arial" w:hAnsi="Arial" w:cs="Arial"/>
          <w:sz w:val="22"/>
          <w:szCs w:val="22"/>
        </w:rPr>
        <w:t>transactions</w:t>
      </w:r>
      <w:r w:rsidRPr="00731B3F">
        <w:rPr>
          <w:rFonts w:ascii="Arial" w:hAnsi="Arial" w:cs="Arial"/>
          <w:sz w:val="22"/>
          <w:szCs w:val="22"/>
          <w:lang w:val="en-ZA"/>
        </w:rPr>
        <w:t xml:space="preserve"> amounting to </w:t>
      </w:r>
      <w:r>
        <w:rPr>
          <w:rFonts w:ascii="Arial" w:hAnsi="Arial" w:cs="Arial"/>
          <w:sz w:val="22"/>
          <w:szCs w:val="22"/>
        </w:rPr>
        <w:t xml:space="preserve">R194 </w:t>
      </w:r>
      <w:r w:rsidRPr="00731B3F">
        <w:rPr>
          <w:rFonts w:ascii="Arial" w:hAnsi="Arial" w:cs="Arial"/>
          <w:sz w:val="22"/>
          <w:szCs w:val="22"/>
        </w:rPr>
        <w:t>billion in 201</w:t>
      </w:r>
      <w:r>
        <w:rPr>
          <w:rFonts w:ascii="Arial" w:hAnsi="Arial" w:cs="Arial"/>
          <w:sz w:val="22"/>
          <w:szCs w:val="22"/>
        </w:rPr>
        <w:t>4; averaging R2 million and R5 million per transaction respectively.</w:t>
      </w:r>
    </w:p>
    <w:p w:rsidR="003F318E" w:rsidRDefault="003F318E" w:rsidP="00AD5019">
      <w:pPr>
        <w:tabs>
          <w:tab w:val="left" w:pos="432"/>
          <w:tab w:val="left" w:pos="864"/>
        </w:tabs>
        <w:spacing w:line="276" w:lineRule="auto"/>
        <w:jc w:val="both"/>
        <w:rPr>
          <w:rFonts w:ascii="Arial" w:hAnsi="Arial" w:cs="Arial"/>
          <w:sz w:val="22"/>
          <w:szCs w:val="22"/>
        </w:rPr>
      </w:pPr>
    </w:p>
    <w:p w:rsidR="003F318E" w:rsidRPr="00697801" w:rsidRDefault="003F318E" w:rsidP="00697801">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 (ii) </w:t>
      </w:r>
      <w:r w:rsidRPr="00697801">
        <w:rPr>
          <w:rFonts w:ascii="Arial" w:hAnsi="Arial" w:cs="Arial"/>
          <w:sz w:val="22"/>
          <w:szCs w:val="22"/>
        </w:rPr>
        <w:t>Table 1 sets out the highlights for the top 7 destination countries for transactions over R1 billion per annum.</w:t>
      </w:r>
    </w:p>
    <w:p w:rsidR="003F318E" w:rsidRDefault="003F318E" w:rsidP="001A3B57">
      <w:pPr>
        <w:tabs>
          <w:tab w:val="left" w:pos="432"/>
          <w:tab w:val="left" w:pos="864"/>
        </w:tabs>
        <w:spacing w:line="276" w:lineRule="auto"/>
        <w:jc w:val="both"/>
        <w:rPr>
          <w:rFonts w:ascii="Arial" w:hAnsi="Arial" w:cs="Arial"/>
          <w:sz w:val="22"/>
          <w:szCs w:val="22"/>
        </w:rPr>
      </w:pPr>
    </w:p>
    <w:p w:rsidR="003F318E" w:rsidRDefault="003F318E" w:rsidP="001A3B57">
      <w:pPr>
        <w:tabs>
          <w:tab w:val="left" w:pos="432"/>
          <w:tab w:val="left" w:pos="864"/>
        </w:tabs>
        <w:spacing w:line="276" w:lineRule="auto"/>
        <w:jc w:val="both"/>
        <w:rPr>
          <w:rFonts w:ascii="Arial" w:hAnsi="Arial" w:cs="Arial"/>
          <w:sz w:val="22"/>
          <w:szCs w:val="22"/>
        </w:rPr>
      </w:pPr>
      <w:r>
        <w:rPr>
          <w:rFonts w:ascii="Arial" w:hAnsi="Arial" w:cs="Arial"/>
          <w:sz w:val="22"/>
          <w:szCs w:val="22"/>
        </w:rPr>
        <w:t>In</w:t>
      </w:r>
      <w:r w:rsidRPr="001A3B57">
        <w:rPr>
          <w:rFonts w:ascii="Arial" w:hAnsi="Arial" w:cs="Arial"/>
          <w:sz w:val="22"/>
          <w:szCs w:val="22"/>
        </w:rPr>
        <w:t xml:space="preserve"> 201</w:t>
      </w:r>
      <w:r>
        <w:rPr>
          <w:rFonts w:ascii="Arial" w:hAnsi="Arial" w:cs="Arial"/>
          <w:sz w:val="22"/>
          <w:szCs w:val="22"/>
        </w:rPr>
        <w:t>3</w:t>
      </w:r>
      <w:r w:rsidRPr="001A3B57">
        <w:rPr>
          <w:rFonts w:ascii="Arial" w:hAnsi="Arial" w:cs="Arial"/>
          <w:sz w:val="22"/>
          <w:szCs w:val="22"/>
        </w:rPr>
        <w:t xml:space="preserve">, the </w:t>
      </w:r>
      <w:r>
        <w:rPr>
          <w:rFonts w:ascii="Arial" w:hAnsi="Arial" w:cs="Arial"/>
          <w:sz w:val="22"/>
          <w:szCs w:val="22"/>
        </w:rPr>
        <w:t>top 7 destination countries represented</w:t>
      </w:r>
      <w:r w:rsidRPr="001A3B57">
        <w:rPr>
          <w:rFonts w:ascii="Arial" w:hAnsi="Arial" w:cs="Arial"/>
          <w:sz w:val="22"/>
          <w:szCs w:val="22"/>
        </w:rPr>
        <w:t xml:space="preserve"> </w:t>
      </w:r>
      <w:r>
        <w:rPr>
          <w:rFonts w:ascii="Arial" w:hAnsi="Arial" w:cs="Arial"/>
          <w:sz w:val="22"/>
          <w:szCs w:val="22"/>
        </w:rPr>
        <w:t>8</w:t>
      </w:r>
      <w:r w:rsidRPr="001A3B57">
        <w:rPr>
          <w:rFonts w:ascii="Arial" w:hAnsi="Arial" w:cs="Arial"/>
          <w:sz w:val="22"/>
          <w:szCs w:val="22"/>
        </w:rPr>
        <w:t xml:space="preserve">6% </w:t>
      </w:r>
      <w:r>
        <w:rPr>
          <w:rFonts w:ascii="Arial" w:hAnsi="Arial" w:cs="Arial"/>
          <w:sz w:val="22"/>
          <w:szCs w:val="22"/>
        </w:rPr>
        <w:t xml:space="preserve">of the total transaction value, </w:t>
      </w:r>
      <w:r w:rsidRPr="001A3B57">
        <w:rPr>
          <w:rFonts w:ascii="Arial" w:hAnsi="Arial" w:cs="Arial"/>
          <w:sz w:val="22"/>
          <w:szCs w:val="22"/>
        </w:rPr>
        <w:t>R</w:t>
      </w:r>
      <w:r>
        <w:rPr>
          <w:rFonts w:ascii="Arial" w:hAnsi="Arial" w:cs="Arial"/>
          <w:sz w:val="22"/>
          <w:szCs w:val="22"/>
        </w:rPr>
        <w:t>26</w:t>
      </w:r>
      <w:r w:rsidRPr="001A3B57">
        <w:rPr>
          <w:rFonts w:ascii="Arial" w:hAnsi="Arial" w:cs="Arial"/>
          <w:sz w:val="22"/>
          <w:szCs w:val="22"/>
        </w:rPr>
        <w:t xml:space="preserve"> billion</w:t>
      </w:r>
      <w:r>
        <w:rPr>
          <w:rFonts w:ascii="Arial" w:hAnsi="Arial" w:cs="Arial"/>
          <w:sz w:val="22"/>
          <w:szCs w:val="22"/>
        </w:rPr>
        <w:t>, through 33 thousand</w:t>
      </w:r>
      <w:r w:rsidRPr="001A3B57">
        <w:rPr>
          <w:rFonts w:ascii="Arial" w:hAnsi="Arial" w:cs="Arial"/>
          <w:sz w:val="22"/>
          <w:szCs w:val="22"/>
        </w:rPr>
        <w:t xml:space="preserve"> transactions, a</w:t>
      </w:r>
      <w:r>
        <w:rPr>
          <w:rFonts w:ascii="Arial" w:hAnsi="Arial" w:cs="Arial"/>
          <w:sz w:val="22"/>
          <w:szCs w:val="22"/>
        </w:rPr>
        <w:t xml:space="preserve">veraging </w:t>
      </w:r>
      <w:r w:rsidRPr="001A3B57">
        <w:rPr>
          <w:rFonts w:ascii="Arial" w:hAnsi="Arial" w:cs="Arial"/>
          <w:sz w:val="22"/>
          <w:szCs w:val="22"/>
        </w:rPr>
        <w:t>R</w:t>
      </w:r>
      <w:r>
        <w:rPr>
          <w:rFonts w:ascii="Arial" w:hAnsi="Arial" w:cs="Arial"/>
          <w:sz w:val="22"/>
          <w:szCs w:val="22"/>
        </w:rPr>
        <w:t>778 000 per transaction. In</w:t>
      </w:r>
      <w:r w:rsidRPr="001A3B57">
        <w:rPr>
          <w:rFonts w:ascii="Arial" w:hAnsi="Arial" w:cs="Arial"/>
          <w:sz w:val="22"/>
          <w:szCs w:val="22"/>
        </w:rPr>
        <w:t xml:space="preserve"> 2014, the </w:t>
      </w:r>
      <w:r>
        <w:rPr>
          <w:rFonts w:ascii="Arial" w:hAnsi="Arial" w:cs="Arial"/>
          <w:sz w:val="22"/>
          <w:szCs w:val="22"/>
        </w:rPr>
        <w:t>top 7 destination countries represented</w:t>
      </w:r>
      <w:r w:rsidRPr="001A3B57">
        <w:rPr>
          <w:rFonts w:ascii="Arial" w:hAnsi="Arial" w:cs="Arial"/>
          <w:sz w:val="22"/>
          <w:szCs w:val="22"/>
        </w:rPr>
        <w:t xml:space="preserve"> 96% </w:t>
      </w:r>
      <w:r>
        <w:rPr>
          <w:rFonts w:ascii="Arial" w:hAnsi="Arial" w:cs="Arial"/>
          <w:sz w:val="22"/>
          <w:szCs w:val="22"/>
        </w:rPr>
        <w:t xml:space="preserve">of the total transaction value, </w:t>
      </w:r>
      <w:r w:rsidRPr="001A3B57">
        <w:rPr>
          <w:rFonts w:ascii="Arial" w:hAnsi="Arial" w:cs="Arial"/>
          <w:sz w:val="22"/>
          <w:szCs w:val="22"/>
        </w:rPr>
        <w:t>R1</w:t>
      </w:r>
      <w:r>
        <w:rPr>
          <w:rFonts w:ascii="Arial" w:hAnsi="Arial" w:cs="Arial"/>
          <w:sz w:val="22"/>
          <w:szCs w:val="22"/>
        </w:rPr>
        <w:t>39</w:t>
      </w:r>
      <w:r w:rsidRPr="001A3B57">
        <w:rPr>
          <w:rFonts w:ascii="Arial" w:hAnsi="Arial" w:cs="Arial"/>
          <w:sz w:val="22"/>
          <w:szCs w:val="22"/>
        </w:rPr>
        <w:t xml:space="preserve"> billion</w:t>
      </w:r>
      <w:r>
        <w:rPr>
          <w:rFonts w:ascii="Arial" w:hAnsi="Arial" w:cs="Arial"/>
          <w:sz w:val="22"/>
          <w:szCs w:val="22"/>
        </w:rPr>
        <w:t xml:space="preserve"> through 31 000 </w:t>
      </w:r>
      <w:r w:rsidRPr="001A3B57">
        <w:rPr>
          <w:rFonts w:ascii="Arial" w:hAnsi="Arial" w:cs="Arial"/>
          <w:sz w:val="22"/>
          <w:szCs w:val="22"/>
        </w:rPr>
        <w:t>transactions, averag</w:t>
      </w:r>
      <w:r>
        <w:rPr>
          <w:rFonts w:ascii="Arial" w:hAnsi="Arial" w:cs="Arial"/>
          <w:sz w:val="22"/>
          <w:szCs w:val="22"/>
        </w:rPr>
        <w:t xml:space="preserve">ing </w:t>
      </w:r>
      <w:r w:rsidRPr="001A3B57">
        <w:rPr>
          <w:rFonts w:ascii="Arial" w:hAnsi="Arial" w:cs="Arial"/>
          <w:sz w:val="22"/>
          <w:szCs w:val="22"/>
        </w:rPr>
        <w:t>R</w:t>
      </w:r>
      <w:r>
        <w:rPr>
          <w:rFonts w:ascii="Arial" w:hAnsi="Arial" w:cs="Arial"/>
          <w:sz w:val="22"/>
          <w:szCs w:val="22"/>
        </w:rPr>
        <w:t>4</w:t>
      </w:r>
      <w:r w:rsidRPr="001A3B57">
        <w:rPr>
          <w:rFonts w:ascii="Arial" w:hAnsi="Arial" w:cs="Arial"/>
          <w:sz w:val="22"/>
          <w:szCs w:val="22"/>
        </w:rPr>
        <w:t>,</w:t>
      </w:r>
      <w:r>
        <w:rPr>
          <w:rFonts w:ascii="Arial" w:hAnsi="Arial" w:cs="Arial"/>
          <w:sz w:val="22"/>
          <w:szCs w:val="22"/>
        </w:rPr>
        <w:t>5</w:t>
      </w:r>
      <w:r w:rsidRPr="001A3B57">
        <w:rPr>
          <w:rFonts w:ascii="Arial" w:hAnsi="Arial" w:cs="Arial"/>
          <w:sz w:val="22"/>
          <w:szCs w:val="22"/>
        </w:rPr>
        <w:t xml:space="preserve"> million</w:t>
      </w:r>
      <w:r>
        <w:rPr>
          <w:rFonts w:ascii="Arial" w:hAnsi="Arial" w:cs="Arial"/>
          <w:sz w:val="22"/>
          <w:szCs w:val="22"/>
        </w:rPr>
        <w:t xml:space="preserve"> per transaction.</w:t>
      </w:r>
    </w:p>
    <w:p w:rsidR="003F318E" w:rsidRDefault="003F318E" w:rsidP="001A3B57">
      <w:pPr>
        <w:tabs>
          <w:tab w:val="left" w:pos="432"/>
          <w:tab w:val="left" w:pos="864"/>
        </w:tabs>
        <w:spacing w:line="276" w:lineRule="auto"/>
        <w:jc w:val="both"/>
        <w:rPr>
          <w:rFonts w:ascii="Arial" w:hAnsi="Arial" w:cs="Arial"/>
          <w:sz w:val="22"/>
          <w:szCs w:val="22"/>
        </w:rPr>
      </w:pPr>
    </w:p>
    <w:p w:rsidR="003F318E" w:rsidRDefault="003F318E" w:rsidP="001A3B57">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 </w:t>
      </w:r>
      <w:r w:rsidRPr="001A3B57">
        <w:rPr>
          <w:rFonts w:ascii="Arial" w:hAnsi="Arial" w:cs="Arial"/>
          <w:sz w:val="22"/>
          <w:szCs w:val="22"/>
        </w:rPr>
        <w:t xml:space="preserve"> </w:t>
      </w:r>
    </w:p>
    <w:p w:rsidR="003F318E" w:rsidRDefault="003F318E" w:rsidP="001A3B57">
      <w:pPr>
        <w:tabs>
          <w:tab w:val="left" w:pos="432"/>
          <w:tab w:val="left" w:pos="864"/>
        </w:tabs>
        <w:spacing w:line="276" w:lineRule="auto"/>
        <w:jc w:val="both"/>
        <w:rPr>
          <w:rFonts w:ascii="Arial" w:hAnsi="Arial" w:cs="Arial"/>
          <w:sz w:val="22"/>
          <w:szCs w:val="22"/>
        </w:rPr>
      </w:pPr>
    </w:p>
    <w:p w:rsidR="003F318E" w:rsidRDefault="003F318E">
      <w:pPr>
        <w:rPr>
          <w:rFonts w:ascii="Arial" w:hAnsi="Arial" w:cs="Arial"/>
          <w:b/>
          <w:bCs/>
          <w:sz w:val="22"/>
          <w:szCs w:val="22"/>
          <w:u w:val="single"/>
        </w:rPr>
      </w:pPr>
      <w:r>
        <w:rPr>
          <w:rFonts w:ascii="Arial" w:hAnsi="Arial" w:cs="Arial"/>
          <w:b/>
          <w:bCs/>
          <w:sz w:val="22"/>
          <w:szCs w:val="22"/>
          <w:u w:val="single"/>
        </w:rPr>
        <w:br w:type="page"/>
      </w:r>
    </w:p>
    <w:p w:rsidR="003F318E" w:rsidRPr="00B66075" w:rsidRDefault="003F318E" w:rsidP="001A3B57">
      <w:pPr>
        <w:jc w:val="both"/>
        <w:rPr>
          <w:rFonts w:ascii="Arial" w:hAnsi="Arial" w:cs="Arial"/>
          <w:b/>
          <w:bCs/>
          <w:sz w:val="22"/>
          <w:szCs w:val="22"/>
          <w:u w:val="single"/>
        </w:rPr>
      </w:pPr>
      <w:r w:rsidRPr="00B66075">
        <w:rPr>
          <w:rFonts w:ascii="Arial" w:hAnsi="Arial" w:cs="Arial"/>
          <w:b/>
          <w:bCs/>
          <w:sz w:val="22"/>
          <w:szCs w:val="22"/>
          <w:u w:val="single"/>
        </w:rPr>
        <w:t>Table 1</w:t>
      </w:r>
    </w:p>
    <w:p w:rsidR="003F318E" w:rsidRPr="00B66075" w:rsidRDefault="003F318E" w:rsidP="001A3B57">
      <w:pPr>
        <w:jc w:val="both"/>
        <w:rPr>
          <w:rFonts w:ascii="Arial" w:hAnsi="Arial" w:cs="Arial"/>
          <w:b/>
          <w:bCs/>
          <w:sz w:val="22"/>
          <w:szCs w:val="22"/>
          <w:u w:val="single"/>
        </w:rPr>
      </w:pPr>
    </w:p>
    <w:p w:rsidR="003F318E" w:rsidRPr="00B66075" w:rsidRDefault="003F318E" w:rsidP="001A3B57">
      <w:pPr>
        <w:jc w:val="both"/>
        <w:rPr>
          <w:rFonts w:ascii="Arial" w:hAnsi="Arial" w:cs="Arial"/>
          <w:b/>
          <w:bCs/>
          <w:sz w:val="22"/>
          <w:szCs w:val="22"/>
          <w:u w:val="single"/>
        </w:rPr>
      </w:pPr>
      <w:r w:rsidRPr="00B66075">
        <w:rPr>
          <w:rFonts w:ascii="Arial" w:hAnsi="Arial" w:cs="Arial"/>
          <w:b/>
          <w:bCs/>
          <w:sz w:val="22"/>
          <w:szCs w:val="22"/>
          <w:u w:val="single"/>
        </w:rPr>
        <w:t xml:space="preserve">Outward Cross-Border </w:t>
      </w:r>
      <w:r>
        <w:rPr>
          <w:rFonts w:ascii="Arial" w:hAnsi="Arial" w:cs="Arial"/>
          <w:b/>
          <w:bCs/>
          <w:sz w:val="22"/>
          <w:szCs w:val="22"/>
          <w:u w:val="single"/>
        </w:rPr>
        <w:t>t</w:t>
      </w:r>
      <w:r w:rsidRPr="00B66075">
        <w:rPr>
          <w:rFonts w:ascii="Arial" w:hAnsi="Arial" w:cs="Arial"/>
          <w:b/>
          <w:bCs/>
          <w:sz w:val="22"/>
          <w:szCs w:val="22"/>
          <w:u w:val="single"/>
        </w:rPr>
        <w:t xml:space="preserve">ransactions over R1 </w:t>
      </w:r>
      <w:r>
        <w:rPr>
          <w:rFonts w:ascii="Arial" w:hAnsi="Arial" w:cs="Arial"/>
          <w:b/>
          <w:bCs/>
          <w:sz w:val="22"/>
          <w:szCs w:val="22"/>
          <w:u w:val="single"/>
        </w:rPr>
        <w:t>b</w:t>
      </w:r>
      <w:r w:rsidRPr="00B66075">
        <w:rPr>
          <w:rFonts w:ascii="Arial" w:hAnsi="Arial" w:cs="Arial"/>
          <w:b/>
          <w:bCs/>
          <w:sz w:val="22"/>
          <w:szCs w:val="22"/>
          <w:u w:val="single"/>
        </w:rPr>
        <w:t xml:space="preserve">illion from Non-Resident Rand Accounts </w:t>
      </w:r>
      <w:r>
        <w:rPr>
          <w:rFonts w:ascii="Arial" w:hAnsi="Arial" w:cs="Arial"/>
          <w:b/>
          <w:bCs/>
          <w:sz w:val="22"/>
          <w:szCs w:val="22"/>
          <w:u w:val="single"/>
        </w:rPr>
        <w:t>i</w:t>
      </w:r>
      <w:r w:rsidRPr="00B66075">
        <w:rPr>
          <w:rFonts w:ascii="Arial" w:hAnsi="Arial" w:cs="Arial"/>
          <w:b/>
          <w:bCs/>
          <w:sz w:val="22"/>
          <w:szCs w:val="22"/>
          <w:u w:val="single"/>
        </w:rPr>
        <w:t xml:space="preserve">n </w:t>
      </w:r>
      <w:r>
        <w:rPr>
          <w:rFonts w:ascii="Arial" w:hAnsi="Arial" w:cs="Arial"/>
          <w:b/>
          <w:bCs/>
          <w:sz w:val="22"/>
          <w:szCs w:val="22"/>
          <w:u w:val="single"/>
        </w:rPr>
        <w:t>t</w:t>
      </w:r>
      <w:r w:rsidRPr="00B66075">
        <w:rPr>
          <w:rFonts w:ascii="Arial" w:hAnsi="Arial" w:cs="Arial"/>
          <w:b/>
          <w:bCs/>
          <w:sz w:val="22"/>
          <w:szCs w:val="22"/>
          <w:u w:val="single"/>
        </w:rPr>
        <w:t xml:space="preserve">op 7 </w:t>
      </w:r>
      <w:r>
        <w:rPr>
          <w:rFonts w:ascii="Arial" w:hAnsi="Arial" w:cs="Arial"/>
          <w:b/>
          <w:bCs/>
          <w:sz w:val="22"/>
          <w:szCs w:val="22"/>
          <w:u w:val="single"/>
        </w:rPr>
        <w:t>c</w:t>
      </w:r>
      <w:r w:rsidRPr="00B66075">
        <w:rPr>
          <w:rFonts w:ascii="Arial" w:hAnsi="Arial" w:cs="Arial"/>
          <w:b/>
          <w:bCs/>
          <w:sz w:val="22"/>
          <w:szCs w:val="22"/>
          <w:u w:val="single"/>
        </w:rPr>
        <w:t>ountries</w:t>
      </w:r>
    </w:p>
    <w:p w:rsidR="003F318E" w:rsidRPr="001A3B57" w:rsidRDefault="003F318E" w:rsidP="001A3B57">
      <w:pPr>
        <w:jc w:val="both"/>
        <w:rPr>
          <w:rFonts w:ascii="Calibri" w:hAnsi="Calibri" w:cs="Arial"/>
          <w:b/>
          <w:sz w:val="18"/>
          <w:szCs w:val="20"/>
          <w:u w:val="single"/>
          <w:lang w:val="en-ZA"/>
        </w:rPr>
      </w:pPr>
    </w:p>
    <w:tbl>
      <w:tblPr>
        <w:tblpPr w:leftFromText="180" w:rightFromText="180" w:vertAnchor="text" w:tblpY="1"/>
        <w:tblOverlap w:val="never"/>
        <w:tblW w:w="7181" w:type="dxa"/>
        <w:tblInd w:w="93" w:type="dxa"/>
        <w:tblLook w:val="00A0"/>
      </w:tblPr>
      <w:tblGrid>
        <w:gridCol w:w="1823"/>
        <w:gridCol w:w="969"/>
        <w:gridCol w:w="1710"/>
        <w:gridCol w:w="969"/>
        <w:gridCol w:w="1710"/>
      </w:tblGrid>
      <w:tr w:rsidR="003F318E" w:rsidRPr="007577AA" w:rsidTr="00F937F2">
        <w:trPr>
          <w:trHeight w:val="300"/>
        </w:trPr>
        <w:tc>
          <w:tcPr>
            <w:tcW w:w="1823" w:type="dxa"/>
            <w:tcBorders>
              <w:top w:val="single" w:sz="4" w:space="0" w:color="auto"/>
              <w:left w:val="single" w:sz="4" w:space="0" w:color="auto"/>
              <w:bottom w:val="single" w:sz="4" w:space="0" w:color="auto"/>
              <w:right w:val="single" w:sz="4" w:space="0" w:color="auto"/>
            </w:tcBorders>
            <w:noWrap/>
            <w:vAlign w:val="bottom"/>
          </w:tcPr>
          <w:p w:rsidR="003F318E" w:rsidRPr="001A73A6" w:rsidRDefault="003F318E" w:rsidP="00F937F2">
            <w:pPr>
              <w:rPr>
                <w:rFonts w:ascii="Arial" w:hAnsi="Arial" w:cs="Arial"/>
                <w:b/>
                <w:color w:val="000000"/>
                <w:sz w:val="20"/>
                <w:szCs w:val="20"/>
              </w:rPr>
            </w:pPr>
            <w:r w:rsidRPr="001A73A6">
              <w:rPr>
                <w:rFonts w:ascii="Arial" w:hAnsi="Arial" w:cs="Arial"/>
                <w:b/>
                <w:color w:val="000000"/>
                <w:sz w:val="20"/>
                <w:szCs w:val="20"/>
              </w:rPr>
              <w:t> </w:t>
            </w:r>
          </w:p>
        </w:tc>
        <w:tc>
          <w:tcPr>
            <w:tcW w:w="2679" w:type="dxa"/>
            <w:gridSpan w:val="2"/>
            <w:tcBorders>
              <w:top w:val="single" w:sz="4" w:space="0" w:color="auto"/>
              <w:left w:val="nil"/>
              <w:bottom w:val="single" w:sz="4" w:space="0" w:color="auto"/>
              <w:right w:val="single" w:sz="4" w:space="0" w:color="auto"/>
            </w:tcBorders>
            <w:noWrap/>
            <w:vAlign w:val="bottom"/>
          </w:tcPr>
          <w:p w:rsidR="003F318E" w:rsidRPr="001A73A6" w:rsidRDefault="003F318E" w:rsidP="00F937F2">
            <w:pPr>
              <w:jc w:val="center"/>
              <w:rPr>
                <w:rFonts w:ascii="Arial" w:hAnsi="Arial" w:cs="Arial"/>
                <w:b/>
                <w:color w:val="000000"/>
                <w:sz w:val="20"/>
                <w:szCs w:val="20"/>
              </w:rPr>
            </w:pPr>
            <w:r w:rsidRPr="001A73A6">
              <w:rPr>
                <w:rFonts w:ascii="Arial" w:hAnsi="Arial" w:cs="Arial"/>
                <w:b/>
                <w:color w:val="000000"/>
                <w:sz w:val="20"/>
                <w:szCs w:val="20"/>
              </w:rPr>
              <w:t>2013</w:t>
            </w:r>
          </w:p>
        </w:tc>
        <w:tc>
          <w:tcPr>
            <w:tcW w:w="2679" w:type="dxa"/>
            <w:gridSpan w:val="2"/>
            <w:tcBorders>
              <w:top w:val="single" w:sz="4" w:space="0" w:color="auto"/>
              <w:left w:val="nil"/>
              <w:bottom w:val="single" w:sz="4" w:space="0" w:color="auto"/>
              <w:right w:val="single" w:sz="4" w:space="0" w:color="auto"/>
            </w:tcBorders>
            <w:noWrap/>
            <w:vAlign w:val="bottom"/>
          </w:tcPr>
          <w:p w:rsidR="003F318E" w:rsidRPr="001A73A6" w:rsidRDefault="003F318E" w:rsidP="00F937F2">
            <w:pPr>
              <w:jc w:val="center"/>
              <w:rPr>
                <w:rFonts w:ascii="Arial" w:hAnsi="Arial" w:cs="Arial"/>
                <w:b/>
                <w:color w:val="000000"/>
                <w:sz w:val="20"/>
                <w:szCs w:val="20"/>
              </w:rPr>
            </w:pPr>
            <w:r w:rsidRPr="001A73A6">
              <w:rPr>
                <w:rFonts w:ascii="Arial" w:hAnsi="Arial" w:cs="Arial"/>
                <w:b/>
                <w:color w:val="000000"/>
                <w:sz w:val="20"/>
                <w:szCs w:val="20"/>
              </w:rPr>
              <w:t>2014</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bottom"/>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 </w:t>
            </w:r>
          </w:p>
        </w:tc>
        <w:tc>
          <w:tcPr>
            <w:tcW w:w="969" w:type="dxa"/>
            <w:tcBorders>
              <w:top w:val="nil"/>
              <w:left w:val="nil"/>
              <w:bottom w:val="single" w:sz="4" w:space="0" w:color="auto"/>
              <w:right w:val="single" w:sz="4" w:space="0" w:color="auto"/>
            </w:tcBorders>
            <w:noWrap/>
            <w:vAlign w:val="bottom"/>
          </w:tcPr>
          <w:p w:rsidR="003F318E" w:rsidRPr="001A73A6" w:rsidRDefault="003F318E" w:rsidP="001A73A6">
            <w:pPr>
              <w:rPr>
                <w:rFonts w:ascii="Arial" w:hAnsi="Arial" w:cs="Arial"/>
                <w:color w:val="000000"/>
                <w:sz w:val="20"/>
                <w:szCs w:val="20"/>
              </w:rPr>
            </w:pPr>
            <w:r w:rsidRPr="001A73A6">
              <w:rPr>
                <w:rFonts w:ascii="Arial" w:hAnsi="Arial" w:cs="Arial"/>
                <w:color w:val="000000"/>
                <w:sz w:val="20"/>
                <w:szCs w:val="20"/>
              </w:rPr>
              <w:t>R</w:t>
            </w:r>
            <w:r>
              <w:rPr>
                <w:rFonts w:ascii="Arial" w:hAnsi="Arial" w:cs="Arial"/>
                <w:color w:val="000000"/>
                <w:sz w:val="20"/>
                <w:szCs w:val="20"/>
              </w:rPr>
              <w:t xml:space="preserve"> </w:t>
            </w:r>
            <w:r w:rsidRPr="001A73A6">
              <w:rPr>
                <w:rFonts w:ascii="Arial" w:hAnsi="Arial" w:cs="Arial"/>
                <w:color w:val="000000"/>
                <w:sz w:val="20"/>
                <w:szCs w:val="20"/>
              </w:rPr>
              <w:t>billion</w:t>
            </w:r>
          </w:p>
        </w:tc>
        <w:tc>
          <w:tcPr>
            <w:tcW w:w="1710" w:type="dxa"/>
            <w:tcBorders>
              <w:top w:val="nil"/>
              <w:left w:val="nil"/>
              <w:bottom w:val="single" w:sz="4" w:space="0" w:color="auto"/>
              <w:right w:val="single" w:sz="4" w:space="0" w:color="auto"/>
            </w:tcBorders>
            <w:noWrap/>
            <w:vAlign w:val="bottom"/>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No</w:t>
            </w:r>
            <w:r>
              <w:rPr>
                <w:rFonts w:ascii="Arial" w:hAnsi="Arial" w:cs="Arial"/>
                <w:color w:val="000000"/>
                <w:sz w:val="20"/>
                <w:szCs w:val="20"/>
              </w:rPr>
              <w:t>.</w:t>
            </w:r>
            <w:r w:rsidRPr="001A73A6">
              <w:rPr>
                <w:rFonts w:ascii="Arial" w:hAnsi="Arial" w:cs="Arial"/>
                <w:color w:val="000000"/>
                <w:sz w:val="20"/>
                <w:szCs w:val="20"/>
              </w:rPr>
              <w:t xml:space="preserve"> of transactions</w:t>
            </w:r>
          </w:p>
        </w:tc>
        <w:tc>
          <w:tcPr>
            <w:tcW w:w="969" w:type="dxa"/>
            <w:tcBorders>
              <w:top w:val="nil"/>
              <w:left w:val="nil"/>
              <w:bottom w:val="single" w:sz="4" w:space="0" w:color="auto"/>
              <w:right w:val="single" w:sz="4" w:space="0" w:color="auto"/>
            </w:tcBorders>
            <w:noWrap/>
            <w:vAlign w:val="bottom"/>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R billion</w:t>
            </w:r>
          </w:p>
        </w:tc>
        <w:tc>
          <w:tcPr>
            <w:tcW w:w="1710" w:type="dxa"/>
            <w:tcBorders>
              <w:top w:val="nil"/>
              <w:left w:val="nil"/>
              <w:bottom w:val="single" w:sz="4" w:space="0" w:color="auto"/>
              <w:right w:val="single" w:sz="4" w:space="0" w:color="auto"/>
            </w:tcBorders>
            <w:noWrap/>
            <w:vAlign w:val="bottom"/>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No</w:t>
            </w:r>
            <w:r>
              <w:rPr>
                <w:rFonts w:ascii="Arial" w:hAnsi="Arial" w:cs="Arial"/>
                <w:color w:val="000000"/>
                <w:sz w:val="20"/>
                <w:szCs w:val="20"/>
              </w:rPr>
              <w:t>.</w:t>
            </w:r>
            <w:r w:rsidRPr="001A73A6">
              <w:rPr>
                <w:rFonts w:ascii="Arial" w:hAnsi="Arial" w:cs="Arial"/>
                <w:color w:val="000000"/>
                <w:sz w:val="20"/>
                <w:szCs w:val="20"/>
              </w:rPr>
              <w:t xml:space="preserve"> of transactions</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20"/>
                <w:szCs w:val="20"/>
              </w:rPr>
            </w:pPr>
            <w:r w:rsidRPr="001A73A6">
              <w:rPr>
                <w:rFonts w:ascii="Arial" w:hAnsi="Arial" w:cs="Arial"/>
                <w:color w:val="000000"/>
                <w:sz w:val="20"/>
                <w:szCs w:val="20"/>
              </w:rPr>
              <w:t>United Kingdom</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16,3</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17,319</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 xml:space="preserve">102,6 </w:t>
            </w:r>
            <w:r w:rsidRPr="001A73A6">
              <w:rPr>
                <w:rFonts w:ascii="Arial" w:hAnsi="Arial" w:cs="Arial"/>
                <w:b/>
                <w:color w:val="000000"/>
                <w:sz w:val="20"/>
                <w:szCs w:val="20"/>
              </w:rPr>
              <w:t>*</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16,686</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20"/>
                <w:szCs w:val="20"/>
              </w:rPr>
            </w:pPr>
            <w:r w:rsidRPr="001A73A6">
              <w:rPr>
                <w:rFonts w:ascii="Arial" w:hAnsi="Arial" w:cs="Arial"/>
                <w:color w:val="000000"/>
                <w:sz w:val="20"/>
                <w:szCs w:val="20"/>
              </w:rPr>
              <w:t>United States</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1,3</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4,124</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27,0</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3,643</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Germany</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4,0</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2,266</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1,7</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1,958</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Switzerland</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2,0</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456</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2,0</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293</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Australia</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0,83</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8,297</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2,7</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7,102</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Thailand</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0,2</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82</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1,1</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84</w:t>
            </w:r>
          </w:p>
        </w:tc>
      </w:tr>
      <w:tr w:rsidR="003F318E" w:rsidTr="00F937F2">
        <w:trPr>
          <w:trHeight w:val="300"/>
        </w:trPr>
        <w:tc>
          <w:tcPr>
            <w:tcW w:w="1823" w:type="dxa"/>
            <w:tcBorders>
              <w:top w:val="nil"/>
              <w:left w:val="single" w:sz="4" w:space="0" w:color="auto"/>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Ireland</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1,1</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698</w:t>
            </w:r>
          </w:p>
        </w:tc>
        <w:tc>
          <w:tcPr>
            <w:tcW w:w="969" w:type="dxa"/>
            <w:tcBorders>
              <w:top w:val="nil"/>
              <w:left w:val="nil"/>
              <w:bottom w:val="single" w:sz="4" w:space="0" w:color="auto"/>
              <w:right w:val="single" w:sz="4" w:space="0" w:color="auto"/>
            </w:tcBorders>
            <w:noWrap/>
            <w:vAlign w:val="center"/>
          </w:tcPr>
          <w:p w:rsidR="003F318E" w:rsidRPr="001A73A6" w:rsidRDefault="003F318E" w:rsidP="00F937F2">
            <w:pPr>
              <w:rPr>
                <w:rFonts w:ascii="Arial" w:hAnsi="Arial" w:cs="Arial"/>
                <w:color w:val="000000"/>
                <w:sz w:val="20"/>
                <w:szCs w:val="20"/>
              </w:rPr>
            </w:pPr>
            <w:r w:rsidRPr="001A73A6">
              <w:rPr>
                <w:rFonts w:ascii="Arial" w:hAnsi="Arial" w:cs="Arial"/>
                <w:color w:val="000000"/>
                <w:sz w:val="20"/>
                <w:szCs w:val="20"/>
              </w:rPr>
              <w:t>1,7</w:t>
            </w:r>
          </w:p>
        </w:tc>
        <w:tc>
          <w:tcPr>
            <w:tcW w:w="1710" w:type="dxa"/>
            <w:tcBorders>
              <w:top w:val="nil"/>
              <w:left w:val="nil"/>
              <w:bottom w:val="single" w:sz="4" w:space="0" w:color="auto"/>
              <w:right w:val="single" w:sz="4" w:space="0" w:color="auto"/>
            </w:tcBorders>
            <w:noWrap/>
            <w:vAlign w:val="center"/>
          </w:tcPr>
          <w:p w:rsidR="003F318E" w:rsidRPr="001A73A6" w:rsidRDefault="003F318E" w:rsidP="00F937F2">
            <w:pPr>
              <w:jc w:val="right"/>
              <w:rPr>
                <w:rFonts w:ascii="Arial" w:hAnsi="Arial" w:cs="Arial"/>
                <w:color w:val="000000"/>
                <w:sz w:val="20"/>
                <w:szCs w:val="20"/>
              </w:rPr>
            </w:pPr>
            <w:r w:rsidRPr="001A73A6">
              <w:rPr>
                <w:rFonts w:ascii="Arial" w:hAnsi="Arial" w:cs="Arial"/>
                <w:color w:val="000000"/>
                <w:sz w:val="20"/>
                <w:szCs w:val="20"/>
              </w:rPr>
              <w:t>871</w:t>
            </w:r>
          </w:p>
        </w:tc>
      </w:tr>
      <w:tr w:rsidR="003F318E" w:rsidRPr="006B7A41" w:rsidTr="00F937F2">
        <w:trPr>
          <w:trHeight w:val="300"/>
        </w:trPr>
        <w:tc>
          <w:tcPr>
            <w:tcW w:w="1823" w:type="dxa"/>
            <w:tcBorders>
              <w:top w:val="nil"/>
              <w:left w:val="single" w:sz="4" w:space="0" w:color="auto"/>
              <w:bottom w:val="single" w:sz="4" w:space="0" w:color="auto"/>
              <w:right w:val="single" w:sz="4" w:space="0" w:color="auto"/>
            </w:tcBorders>
            <w:noWrap/>
            <w:vAlign w:val="bottom"/>
          </w:tcPr>
          <w:p w:rsidR="003F318E" w:rsidRPr="001A73A6" w:rsidRDefault="003F318E" w:rsidP="00193E9F">
            <w:pPr>
              <w:rPr>
                <w:rFonts w:ascii="Arial" w:hAnsi="Arial" w:cs="Arial"/>
                <w:b/>
                <w:color w:val="000000"/>
                <w:sz w:val="20"/>
                <w:szCs w:val="20"/>
              </w:rPr>
            </w:pPr>
            <w:r w:rsidRPr="001A73A6">
              <w:rPr>
                <w:rFonts w:ascii="Arial" w:hAnsi="Arial" w:cs="Arial"/>
                <w:b/>
                <w:color w:val="000000"/>
                <w:sz w:val="20"/>
                <w:szCs w:val="20"/>
              </w:rPr>
              <w:t>Total</w:t>
            </w:r>
          </w:p>
        </w:tc>
        <w:tc>
          <w:tcPr>
            <w:tcW w:w="969" w:type="dxa"/>
            <w:tcBorders>
              <w:top w:val="nil"/>
              <w:left w:val="nil"/>
              <w:bottom w:val="single" w:sz="4" w:space="0" w:color="auto"/>
              <w:right w:val="single" w:sz="4" w:space="0" w:color="auto"/>
            </w:tcBorders>
            <w:noWrap/>
            <w:vAlign w:val="bottom"/>
          </w:tcPr>
          <w:p w:rsidR="003F318E" w:rsidRPr="001A73A6" w:rsidRDefault="003F318E" w:rsidP="00F937F2">
            <w:pPr>
              <w:rPr>
                <w:rFonts w:ascii="Arial" w:hAnsi="Arial" w:cs="Arial"/>
                <w:b/>
                <w:color w:val="000000"/>
                <w:sz w:val="20"/>
                <w:szCs w:val="20"/>
              </w:rPr>
            </w:pPr>
            <w:r w:rsidRPr="001A73A6">
              <w:rPr>
                <w:rFonts w:ascii="Arial" w:hAnsi="Arial" w:cs="Arial"/>
                <w:b/>
                <w:color w:val="000000"/>
                <w:sz w:val="20"/>
                <w:szCs w:val="20"/>
              </w:rPr>
              <w:t>25,7</w:t>
            </w:r>
          </w:p>
        </w:tc>
        <w:tc>
          <w:tcPr>
            <w:tcW w:w="1710" w:type="dxa"/>
            <w:tcBorders>
              <w:top w:val="nil"/>
              <w:left w:val="nil"/>
              <w:bottom w:val="single" w:sz="4" w:space="0" w:color="auto"/>
              <w:right w:val="single" w:sz="4" w:space="0" w:color="auto"/>
            </w:tcBorders>
            <w:noWrap/>
            <w:vAlign w:val="bottom"/>
          </w:tcPr>
          <w:p w:rsidR="003F318E" w:rsidRPr="001A73A6" w:rsidRDefault="003F318E" w:rsidP="00F937F2">
            <w:pPr>
              <w:jc w:val="right"/>
              <w:rPr>
                <w:rFonts w:ascii="Arial" w:hAnsi="Arial" w:cs="Arial"/>
                <w:b/>
                <w:color w:val="000000"/>
                <w:sz w:val="20"/>
                <w:szCs w:val="20"/>
              </w:rPr>
            </w:pPr>
            <w:r w:rsidRPr="001A73A6">
              <w:rPr>
                <w:rFonts w:ascii="Arial" w:hAnsi="Arial" w:cs="Arial"/>
                <w:b/>
                <w:color w:val="000000"/>
                <w:sz w:val="20"/>
                <w:szCs w:val="20"/>
              </w:rPr>
              <w:t>33,242</w:t>
            </w:r>
          </w:p>
        </w:tc>
        <w:tc>
          <w:tcPr>
            <w:tcW w:w="969" w:type="dxa"/>
            <w:tcBorders>
              <w:top w:val="nil"/>
              <w:left w:val="nil"/>
              <w:bottom w:val="single" w:sz="4" w:space="0" w:color="auto"/>
              <w:right w:val="single" w:sz="4" w:space="0" w:color="auto"/>
            </w:tcBorders>
            <w:noWrap/>
            <w:vAlign w:val="bottom"/>
          </w:tcPr>
          <w:p w:rsidR="003F318E" w:rsidRPr="001A73A6" w:rsidRDefault="003F318E" w:rsidP="00F937F2">
            <w:pPr>
              <w:rPr>
                <w:rFonts w:ascii="Arial" w:hAnsi="Arial" w:cs="Arial"/>
                <w:b/>
                <w:color w:val="000000"/>
                <w:sz w:val="20"/>
                <w:szCs w:val="20"/>
              </w:rPr>
            </w:pPr>
            <w:r w:rsidRPr="001A73A6">
              <w:rPr>
                <w:rFonts w:ascii="Arial" w:hAnsi="Arial" w:cs="Arial"/>
                <w:b/>
                <w:color w:val="000000"/>
                <w:sz w:val="20"/>
                <w:szCs w:val="20"/>
              </w:rPr>
              <w:t>138,7</w:t>
            </w:r>
          </w:p>
        </w:tc>
        <w:tc>
          <w:tcPr>
            <w:tcW w:w="1710" w:type="dxa"/>
            <w:tcBorders>
              <w:top w:val="nil"/>
              <w:left w:val="nil"/>
              <w:bottom w:val="single" w:sz="4" w:space="0" w:color="auto"/>
              <w:right w:val="single" w:sz="4" w:space="0" w:color="auto"/>
            </w:tcBorders>
            <w:noWrap/>
            <w:vAlign w:val="bottom"/>
          </w:tcPr>
          <w:p w:rsidR="003F318E" w:rsidRPr="001A73A6" w:rsidRDefault="003F318E" w:rsidP="00F937F2">
            <w:pPr>
              <w:jc w:val="right"/>
              <w:rPr>
                <w:rFonts w:ascii="Arial" w:hAnsi="Arial" w:cs="Arial"/>
                <w:b/>
                <w:color w:val="000000"/>
                <w:sz w:val="20"/>
                <w:szCs w:val="20"/>
              </w:rPr>
            </w:pPr>
            <w:r w:rsidRPr="001A73A6">
              <w:rPr>
                <w:rFonts w:ascii="Arial" w:hAnsi="Arial" w:cs="Arial"/>
                <w:b/>
                <w:color w:val="000000"/>
                <w:sz w:val="20"/>
                <w:szCs w:val="20"/>
              </w:rPr>
              <w:t>30,637</w:t>
            </w:r>
          </w:p>
        </w:tc>
      </w:tr>
    </w:tbl>
    <w:p w:rsidR="003F318E" w:rsidRDefault="003F318E" w:rsidP="001A3B57">
      <w:pPr>
        <w:jc w:val="both"/>
        <w:rPr>
          <w:rFonts w:ascii="Arial" w:hAnsi="Arial" w:cs="Arial"/>
          <w:sz w:val="22"/>
          <w:szCs w:val="22"/>
          <w:lang w:val="en-ZA"/>
        </w:rPr>
      </w:pPr>
      <w:r>
        <w:rPr>
          <w:rFonts w:ascii="Arial" w:hAnsi="Arial" w:cs="Arial"/>
          <w:b/>
          <w:bCs/>
          <w:sz w:val="22"/>
          <w:szCs w:val="20"/>
          <w:u w:val="single"/>
        </w:rPr>
        <w:br w:type="textWrapping" w:clear="all"/>
      </w:r>
    </w:p>
    <w:p w:rsidR="003F318E" w:rsidRPr="00F257CB" w:rsidRDefault="003F318E" w:rsidP="00F257CB">
      <w:pPr>
        <w:jc w:val="both"/>
        <w:rPr>
          <w:rFonts w:ascii="Arial" w:hAnsi="Arial" w:cs="Arial"/>
          <w:b/>
          <w:bCs/>
          <w:sz w:val="22"/>
          <w:szCs w:val="20"/>
          <w:u w:val="single"/>
        </w:rPr>
      </w:pPr>
      <w:r w:rsidRPr="001A73A6">
        <w:rPr>
          <w:rFonts w:ascii="Arial" w:hAnsi="Arial" w:cs="Arial"/>
          <w:b/>
          <w:sz w:val="22"/>
          <w:szCs w:val="22"/>
          <w:lang w:val="en-ZA"/>
        </w:rPr>
        <w:t>*</w:t>
      </w:r>
      <w:r>
        <w:rPr>
          <w:rFonts w:ascii="Arial" w:hAnsi="Arial" w:cs="Arial"/>
          <w:sz w:val="22"/>
          <w:szCs w:val="22"/>
          <w:lang w:val="en-ZA"/>
        </w:rPr>
        <w:t xml:space="preserve"> </w:t>
      </w:r>
      <w:r w:rsidRPr="00F257CB">
        <w:rPr>
          <w:rFonts w:ascii="Arial" w:hAnsi="Arial" w:cs="Arial"/>
          <w:sz w:val="22"/>
          <w:szCs w:val="22"/>
          <w:lang w:val="en-ZA"/>
        </w:rPr>
        <w:t xml:space="preserve">A sharp increase in outflows during 2014 was due to increased transfers to the UK resulting from </w:t>
      </w:r>
      <w:r>
        <w:rPr>
          <w:rFonts w:ascii="Arial" w:hAnsi="Arial" w:cs="Arial"/>
          <w:sz w:val="22"/>
          <w:szCs w:val="22"/>
          <w:lang w:val="en-ZA"/>
        </w:rPr>
        <w:t xml:space="preserve">the </w:t>
      </w:r>
      <w:r w:rsidRPr="00F257CB">
        <w:rPr>
          <w:rFonts w:ascii="Arial" w:hAnsi="Arial" w:cs="Arial"/>
          <w:i/>
          <w:sz w:val="22"/>
          <w:szCs w:val="22"/>
          <w:lang w:val="en-ZA"/>
        </w:rPr>
        <w:t>“</w:t>
      </w:r>
      <w:r w:rsidRPr="00F257CB">
        <w:rPr>
          <w:rFonts w:ascii="Arial" w:hAnsi="Arial" w:cs="Arial"/>
          <w:i/>
          <w:sz w:val="22"/>
          <w:szCs w:val="23"/>
        </w:rPr>
        <w:t xml:space="preserve">Disinvestment of money market instruments by a non-resident” </w:t>
      </w:r>
      <w:r w:rsidRPr="00F257CB">
        <w:rPr>
          <w:rFonts w:ascii="Arial" w:hAnsi="Arial" w:cs="Arial"/>
          <w:sz w:val="22"/>
          <w:szCs w:val="23"/>
        </w:rPr>
        <w:t>category</w:t>
      </w:r>
      <w:r>
        <w:rPr>
          <w:rFonts w:ascii="Arial" w:hAnsi="Arial" w:cs="Arial"/>
          <w:sz w:val="22"/>
          <w:szCs w:val="23"/>
        </w:rPr>
        <w:t>.</w:t>
      </w:r>
    </w:p>
    <w:p w:rsidR="003F318E" w:rsidRDefault="003F318E" w:rsidP="001A3B57">
      <w:pPr>
        <w:jc w:val="both"/>
        <w:rPr>
          <w:rFonts w:ascii="Arial" w:hAnsi="Arial" w:cs="Arial"/>
          <w:b/>
          <w:bCs/>
          <w:sz w:val="22"/>
          <w:szCs w:val="20"/>
          <w:u w:val="single"/>
        </w:rPr>
      </w:pPr>
    </w:p>
    <w:p w:rsidR="003F318E" w:rsidRPr="001A3B57" w:rsidRDefault="003F318E" w:rsidP="001A3B57">
      <w:pPr>
        <w:jc w:val="both"/>
        <w:rPr>
          <w:rFonts w:ascii="Arial" w:hAnsi="Arial" w:cs="Arial"/>
          <w:b/>
          <w:bCs/>
          <w:sz w:val="22"/>
          <w:szCs w:val="20"/>
          <w:u w:val="single"/>
        </w:rPr>
      </w:pPr>
      <w:r w:rsidRPr="001A3B57">
        <w:rPr>
          <w:rFonts w:ascii="Arial" w:hAnsi="Arial" w:cs="Arial"/>
          <w:b/>
          <w:bCs/>
          <w:sz w:val="22"/>
          <w:szCs w:val="20"/>
          <w:u w:val="single"/>
        </w:rPr>
        <w:t>Table 2</w:t>
      </w:r>
    </w:p>
    <w:p w:rsidR="003F318E" w:rsidRDefault="003F318E">
      <w:pPr>
        <w:rPr>
          <w:rFonts w:ascii="Arial" w:hAnsi="Arial" w:cs="Arial"/>
          <w:b/>
          <w:bCs/>
          <w:sz w:val="22"/>
          <w:szCs w:val="20"/>
          <w:u w:val="single"/>
        </w:rPr>
      </w:pPr>
    </w:p>
    <w:p w:rsidR="003F318E" w:rsidRPr="001A3B57" w:rsidRDefault="003F318E" w:rsidP="001A3B57">
      <w:pPr>
        <w:jc w:val="both"/>
        <w:rPr>
          <w:rFonts w:ascii="Arial" w:hAnsi="Arial" w:cs="Arial"/>
          <w:b/>
          <w:sz w:val="22"/>
          <w:szCs w:val="20"/>
          <w:u w:val="single"/>
          <w:lang w:val="en-ZA"/>
        </w:rPr>
      </w:pPr>
      <w:r w:rsidRPr="001A3B57">
        <w:rPr>
          <w:rFonts w:ascii="Arial" w:hAnsi="Arial" w:cs="Arial"/>
          <w:b/>
          <w:bCs/>
          <w:sz w:val="22"/>
          <w:szCs w:val="20"/>
          <w:u w:val="single"/>
        </w:rPr>
        <w:t xml:space="preserve">Outward </w:t>
      </w:r>
      <w:r>
        <w:rPr>
          <w:rFonts w:ascii="Arial" w:hAnsi="Arial" w:cs="Arial"/>
          <w:b/>
          <w:bCs/>
          <w:sz w:val="22"/>
          <w:szCs w:val="20"/>
          <w:u w:val="single"/>
        </w:rPr>
        <w:t xml:space="preserve">transactions over </w:t>
      </w:r>
      <w:r w:rsidRPr="001A3B57">
        <w:rPr>
          <w:rFonts w:ascii="Arial" w:hAnsi="Arial" w:cs="Arial"/>
          <w:b/>
          <w:bCs/>
          <w:sz w:val="22"/>
          <w:szCs w:val="20"/>
          <w:u w:val="single"/>
        </w:rPr>
        <w:t xml:space="preserve">R1 </w:t>
      </w:r>
      <w:r>
        <w:rPr>
          <w:rFonts w:ascii="Arial" w:hAnsi="Arial" w:cs="Arial"/>
          <w:b/>
          <w:bCs/>
          <w:sz w:val="22"/>
          <w:szCs w:val="20"/>
          <w:u w:val="single"/>
        </w:rPr>
        <w:t>b</w:t>
      </w:r>
      <w:r w:rsidRPr="001A3B57">
        <w:rPr>
          <w:rFonts w:ascii="Arial" w:hAnsi="Arial" w:cs="Arial"/>
          <w:b/>
          <w:bCs/>
          <w:sz w:val="22"/>
          <w:szCs w:val="20"/>
          <w:u w:val="single"/>
        </w:rPr>
        <w:t>illion from Non-Resident Rand Accounts in</w:t>
      </w:r>
      <w:r>
        <w:rPr>
          <w:rFonts w:ascii="Arial" w:hAnsi="Arial" w:cs="Arial"/>
          <w:b/>
          <w:bCs/>
          <w:sz w:val="22"/>
          <w:szCs w:val="20"/>
          <w:u w:val="single"/>
        </w:rPr>
        <w:t xml:space="preserve"> 25 countries with the most </w:t>
      </w:r>
      <w:r w:rsidRPr="001A3B57">
        <w:rPr>
          <w:rFonts w:ascii="Arial" w:hAnsi="Arial" w:cs="Arial"/>
          <w:b/>
          <w:bCs/>
          <w:sz w:val="22"/>
          <w:szCs w:val="20"/>
          <w:u w:val="single"/>
        </w:rPr>
        <w:t>transactions per annum</w:t>
      </w:r>
    </w:p>
    <w:p w:rsidR="003F318E" w:rsidRDefault="003F318E" w:rsidP="001A3B57">
      <w:pPr>
        <w:jc w:val="both"/>
        <w:rPr>
          <w:rFonts w:ascii="Arial" w:hAnsi="Arial" w:cs="Arial"/>
          <w:sz w:val="22"/>
          <w:szCs w:val="20"/>
          <w:lang w:val="en-ZA"/>
        </w:rPr>
      </w:pPr>
    </w:p>
    <w:p w:rsidR="003F318E" w:rsidRDefault="003F318E" w:rsidP="000A14DE">
      <w:pPr>
        <w:tabs>
          <w:tab w:val="left" w:pos="6460"/>
        </w:tabs>
        <w:jc w:val="both"/>
        <w:rPr>
          <w:rFonts w:ascii="Arial" w:hAnsi="Arial" w:cs="Arial"/>
          <w:sz w:val="22"/>
          <w:szCs w:val="20"/>
          <w:lang w:val="en-ZA"/>
        </w:rPr>
      </w:pPr>
      <w:r>
        <w:rPr>
          <w:rFonts w:ascii="Arial" w:hAnsi="Arial" w:cs="Arial"/>
          <w:sz w:val="22"/>
          <w:szCs w:val="20"/>
          <w:lang w:val="en-ZA"/>
        </w:rPr>
        <w:t>Table 2 reflects a further breakdown by the most active continents, i.e. Africa, Asia and Europe. Together with the top seven destination countries listed in table 1, in</w:t>
      </w:r>
      <w:r w:rsidRPr="001A3B57">
        <w:rPr>
          <w:rFonts w:ascii="Arial" w:hAnsi="Arial" w:cs="Arial"/>
          <w:sz w:val="22"/>
          <w:szCs w:val="20"/>
          <w:lang w:val="en-ZA"/>
        </w:rPr>
        <w:t xml:space="preserve"> 2014, the </w:t>
      </w:r>
      <w:r>
        <w:rPr>
          <w:rFonts w:ascii="Arial" w:hAnsi="Arial" w:cs="Arial"/>
          <w:sz w:val="22"/>
          <w:szCs w:val="20"/>
          <w:lang w:val="en-ZA"/>
        </w:rPr>
        <w:t>transactions</w:t>
      </w:r>
      <w:r w:rsidRPr="001A3B57">
        <w:rPr>
          <w:rFonts w:ascii="Arial" w:hAnsi="Arial" w:cs="Arial"/>
          <w:sz w:val="22"/>
          <w:szCs w:val="20"/>
          <w:lang w:val="en-ZA"/>
        </w:rPr>
        <w:t xml:space="preserve"> comprise 98%</w:t>
      </w:r>
      <w:r>
        <w:rPr>
          <w:rFonts w:ascii="Arial" w:hAnsi="Arial" w:cs="Arial"/>
          <w:sz w:val="22"/>
          <w:szCs w:val="20"/>
          <w:lang w:val="en-ZA"/>
        </w:rPr>
        <w:t xml:space="preserve"> of the total</w:t>
      </w:r>
      <w:r w:rsidRPr="001A3B57">
        <w:rPr>
          <w:rFonts w:ascii="Arial" w:hAnsi="Arial" w:cs="Arial"/>
          <w:sz w:val="22"/>
          <w:szCs w:val="20"/>
          <w:lang w:val="en-ZA"/>
        </w:rPr>
        <w:t xml:space="preserve"> </w:t>
      </w:r>
      <w:r>
        <w:rPr>
          <w:rFonts w:ascii="Arial" w:hAnsi="Arial" w:cs="Arial"/>
          <w:sz w:val="22"/>
          <w:szCs w:val="20"/>
          <w:lang w:val="en-ZA"/>
        </w:rPr>
        <w:t xml:space="preserve">transaction value </w:t>
      </w:r>
      <w:r w:rsidRPr="001A3B57">
        <w:rPr>
          <w:rFonts w:ascii="Arial" w:hAnsi="Arial" w:cs="Arial"/>
          <w:sz w:val="22"/>
          <w:szCs w:val="20"/>
          <w:lang w:val="en-ZA"/>
        </w:rPr>
        <w:t>(20</w:t>
      </w:r>
      <w:r>
        <w:rPr>
          <w:rFonts w:ascii="Arial" w:hAnsi="Arial" w:cs="Arial"/>
          <w:sz w:val="22"/>
          <w:szCs w:val="20"/>
          <w:lang w:val="en-ZA"/>
        </w:rPr>
        <w:t>13: 94%).</w:t>
      </w:r>
    </w:p>
    <w:p w:rsidR="003F318E" w:rsidRDefault="003F318E" w:rsidP="001A3B57">
      <w:pPr>
        <w:jc w:val="both"/>
        <w:rPr>
          <w:rFonts w:ascii="Arial" w:hAnsi="Arial" w:cs="Arial"/>
          <w:sz w:val="22"/>
          <w:szCs w:val="20"/>
          <w:lang w:val="en-ZA"/>
        </w:rPr>
      </w:pPr>
    </w:p>
    <w:tbl>
      <w:tblPr>
        <w:tblW w:w="8208" w:type="dxa"/>
        <w:tblInd w:w="93" w:type="dxa"/>
        <w:tblLook w:val="00A0"/>
      </w:tblPr>
      <w:tblGrid>
        <w:gridCol w:w="1532"/>
        <w:gridCol w:w="671"/>
        <w:gridCol w:w="1806"/>
        <w:gridCol w:w="810"/>
        <w:gridCol w:w="1806"/>
        <w:gridCol w:w="1583"/>
      </w:tblGrid>
      <w:tr w:rsidR="003F318E" w:rsidRPr="001A73A6" w:rsidTr="00AE5930">
        <w:trPr>
          <w:trHeight w:val="300"/>
        </w:trPr>
        <w:tc>
          <w:tcPr>
            <w:tcW w:w="1532" w:type="dxa"/>
            <w:tcBorders>
              <w:top w:val="single" w:sz="4" w:space="0" w:color="auto"/>
              <w:left w:val="single" w:sz="4" w:space="0" w:color="auto"/>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2477" w:type="dxa"/>
            <w:gridSpan w:val="2"/>
            <w:tcBorders>
              <w:top w:val="single" w:sz="4" w:space="0" w:color="auto"/>
              <w:left w:val="nil"/>
              <w:bottom w:val="single" w:sz="4" w:space="0" w:color="auto"/>
              <w:right w:val="single" w:sz="4" w:space="0" w:color="auto"/>
            </w:tcBorders>
            <w:noWrap/>
            <w:vAlign w:val="center"/>
          </w:tcPr>
          <w:p w:rsidR="003F318E" w:rsidRPr="001A73A6" w:rsidRDefault="003F318E">
            <w:pPr>
              <w:jc w:val="center"/>
              <w:rPr>
                <w:rFonts w:ascii="Arial" w:hAnsi="Arial" w:cs="Arial"/>
                <w:b/>
                <w:bCs/>
                <w:color w:val="000000"/>
                <w:sz w:val="18"/>
                <w:szCs w:val="22"/>
              </w:rPr>
            </w:pPr>
            <w:r w:rsidRPr="001A73A6">
              <w:rPr>
                <w:rFonts w:ascii="Arial" w:hAnsi="Arial" w:cs="Arial"/>
                <w:b/>
                <w:bCs/>
                <w:color w:val="000000"/>
                <w:sz w:val="18"/>
                <w:szCs w:val="22"/>
              </w:rPr>
              <w:t>2013</w:t>
            </w:r>
          </w:p>
        </w:tc>
        <w:tc>
          <w:tcPr>
            <w:tcW w:w="2616" w:type="dxa"/>
            <w:gridSpan w:val="2"/>
            <w:tcBorders>
              <w:top w:val="single" w:sz="4" w:space="0" w:color="auto"/>
              <w:left w:val="nil"/>
              <w:bottom w:val="single" w:sz="4" w:space="0" w:color="auto"/>
              <w:right w:val="single" w:sz="4" w:space="0" w:color="auto"/>
            </w:tcBorders>
            <w:noWrap/>
            <w:vAlign w:val="center"/>
          </w:tcPr>
          <w:p w:rsidR="003F318E" w:rsidRPr="001A73A6" w:rsidRDefault="003F318E">
            <w:pPr>
              <w:jc w:val="center"/>
              <w:rPr>
                <w:rFonts w:ascii="Arial" w:hAnsi="Arial" w:cs="Arial"/>
                <w:b/>
                <w:bCs/>
                <w:color w:val="000000"/>
                <w:sz w:val="18"/>
                <w:szCs w:val="22"/>
              </w:rPr>
            </w:pPr>
            <w:r w:rsidRPr="001A73A6">
              <w:rPr>
                <w:rFonts w:ascii="Arial" w:hAnsi="Arial" w:cs="Arial"/>
                <w:b/>
                <w:bCs/>
                <w:color w:val="000000"/>
                <w:sz w:val="18"/>
                <w:szCs w:val="22"/>
              </w:rPr>
              <w:t>2014</w:t>
            </w:r>
          </w:p>
        </w:tc>
        <w:tc>
          <w:tcPr>
            <w:tcW w:w="1583"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Africa</w:t>
            </w:r>
          </w:p>
        </w:tc>
        <w:tc>
          <w:tcPr>
            <w:tcW w:w="671" w:type="dxa"/>
            <w:tcBorders>
              <w:top w:val="nil"/>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Rm</w:t>
            </w:r>
          </w:p>
        </w:tc>
        <w:tc>
          <w:tcPr>
            <w:tcW w:w="1806" w:type="dxa"/>
            <w:tcBorders>
              <w:top w:val="nil"/>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xml:space="preserve"> No. of transactions </w:t>
            </w:r>
          </w:p>
        </w:tc>
        <w:tc>
          <w:tcPr>
            <w:tcW w:w="810" w:type="dxa"/>
            <w:tcBorders>
              <w:top w:val="nil"/>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Rm</w:t>
            </w:r>
          </w:p>
        </w:tc>
        <w:tc>
          <w:tcPr>
            <w:tcW w:w="1806" w:type="dxa"/>
            <w:tcBorders>
              <w:top w:val="nil"/>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xml:space="preserve"> No. of transactions </w:t>
            </w:r>
          </w:p>
        </w:tc>
        <w:tc>
          <w:tcPr>
            <w:tcW w:w="1583" w:type="dxa"/>
            <w:tcBorders>
              <w:top w:val="nil"/>
              <w:left w:val="nil"/>
              <w:bottom w:val="single" w:sz="4" w:space="0" w:color="auto"/>
              <w:right w:val="single" w:sz="4" w:space="0" w:color="auto"/>
            </w:tcBorders>
            <w:noWrap/>
            <w:vAlign w:val="bottom"/>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2Y average R'000</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Malawi</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73</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94</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39</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Zimbabwe</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85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762</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48.8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486</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106</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Namibia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36</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260</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109.6</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213</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327</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Swaziland</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57</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101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11.5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90</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346</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Botswana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488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782</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122.2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229</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579</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Mauritius</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273</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225</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342.5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193</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1495</w:t>
            </w:r>
          </w:p>
        </w:tc>
      </w:tr>
      <w:tr w:rsidR="003F318E" w:rsidRPr="001A73A6" w:rsidTr="00AC4D13">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Mozambique</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439</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198</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513.7</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208</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2343</w:t>
            </w:r>
          </w:p>
        </w:tc>
      </w:tr>
      <w:tr w:rsidR="003F318E" w:rsidRPr="001A73A6" w:rsidTr="00AC4D13">
        <w:trPr>
          <w:trHeight w:val="300"/>
        </w:trPr>
        <w:tc>
          <w:tcPr>
            <w:tcW w:w="1532" w:type="dxa"/>
            <w:tcBorders>
              <w:top w:val="single" w:sz="4" w:space="0" w:color="auto"/>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Total</w:t>
            </w:r>
          </w:p>
        </w:tc>
        <w:tc>
          <w:tcPr>
            <w:tcW w:w="671" w:type="dxa"/>
            <w:tcBorders>
              <w:top w:val="single" w:sz="4" w:space="0" w:color="auto"/>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1380</w:t>
            </w:r>
          </w:p>
        </w:tc>
        <w:tc>
          <w:tcPr>
            <w:tcW w:w="1806" w:type="dxa"/>
            <w:tcBorders>
              <w:top w:val="single" w:sz="4" w:space="0" w:color="auto"/>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2,401</w:t>
            </w:r>
          </w:p>
        </w:tc>
        <w:tc>
          <w:tcPr>
            <w:tcW w:w="810" w:type="dxa"/>
            <w:tcBorders>
              <w:top w:val="single" w:sz="4" w:space="0" w:color="auto"/>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1153.5</w:t>
            </w:r>
          </w:p>
        </w:tc>
        <w:tc>
          <w:tcPr>
            <w:tcW w:w="1806" w:type="dxa"/>
            <w:tcBorders>
              <w:top w:val="single" w:sz="4" w:space="0" w:color="auto"/>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1,513</w:t>
            </w:r>
          </w:p>
        </w:tc>
        <w:tc>
          <w:tcPr>
            <w:tcW w:w="1583" w:type="dxa"/>
            <w:tcBorders>
              <w:top w:val="single" w:sz="4" w:space="0" w:color="auto"/>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5234</w:t>
            </w:r>
          </w:p>
        </w:tc>
      </w:tr>
      <w:tr w:rsidR="003F318E" w:rsidRPr="001A73A6" w:rsidTr="00AC4D13">
        <w:trPr>
          <w:trHeight w:val="300"/>
        </w:trPr>
        <w:tc>
          <w:tcPr>
            <w:tcW w:w="1532" w:type="dxa"/>
            <w:tcBorders>
              <w:top w:val="single" w:sz="4" w:space="0" w:color="auto"/>
            </w:tcBorders>
            <w:noWrap/>
            <w:vAlign w:val="center"/>
          </w:tcPr>
          <w:p w:rsidR="003F318E" w:rsidRPr="001A73A6" w:rsidRDefault="003F318E">
            <w:pPr>
              <w:jc w:val="center"/>
              <w:rPr>
                <w:rFonts w:ascii="Arial" w:hAnsi="Arial" w:cs="Arial"/>
                <w:color w:val="000000"/>
                <w:sz w:val="18"/>
                <w:szCs w:val="22"/>
              </w:rPr>
            </w:pPr>
            <w:r w:rsidRPr="001A73A6">
              <w:rPr>
                <w:rFonts w:ascii="Arial" w:hAnsi="Arial" w:cs="Arial"/>
                <w:color w:val="000000"/>
                <w:sz w:val="18"/>
                <w:szCs w:val="22"/>
              </w:rPr>
              <w:t> </w:t>
            </w:r>
          </w:p>
        </w:tc>
        <w:tc>
          <w:tcPr>
            <w:tcW w:w="671" w:type="dxa"/>
            <w:tcBorders>
              <w:top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806" w:type="dxa"/>
            <w:tcBorders>
              <w:top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810" w:type="dxa"/>
            <w:tcBorders>
              <w:top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806" w:type="dxa"/>
            <w:tcBorders>
              <w:top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583" w:type="dxa"/>
            <w:tcBorders>
              <w:top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r>
    </w:tbl>
    <w:p w:rsidR="003F318E" w:rsidRDefault="003F318E">
      <w:r>
        <w:br w:type="page"/>
      </w:r>
    </w:p>
    <w:tbl>
      <w:tblPr>
        <w:tblW w:w="8208" w:type="dxa"/>
        <w:tblInd w:w="93" w:type="dxa"/>
        <w:tblLook w:val="00A0"/>
      </w:tblPr>
      <w:tblGrid>
        <w:gridCol w:w="1532"/>
        <w:gridCol w:w="671"/>
        <w:gridCol w:w="1806"/>
        <w:gridCol w:w="810"/>
        <w:gridCol w:w="1806"/>
        <w:gridCol w:w="1583"/>
      </w:tblGrid>
      <w:tr w:rsidR="003F318E" w:rsidRPr="001A73A6" w:rsidTr="00AC4D13">
        <w:trPr>
          <w:trHeight w:val="300"/>
        </w:trPr>
        <w:tc>
          <w:tcPr>
            <w:tcW w:w="1532" w:type="dxa"/>
            <w:tcBorders>
              <w:top w:val="single" w:sz="4" w:space="0" w:color="auto"/>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Asia</w:t>
            </w:r>
          </w:p>
        </w:tc>
        <w:tc>
          <w:tcPr>
            <w:tcW w:w="671"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806"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810"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806"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c>
          <w:tcPr>
            <w:tcW w:w="1583"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 </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India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81</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584</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82.2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393</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174</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Taiwan</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94</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433</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China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36</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278</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157.5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148</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597</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Singapore</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53</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115</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329.0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90</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2059</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jc w:val="both"/>
              <w:rPr>
                <w:rFonts w:ascii="Arial" w:hAnsi="Arial" w:cs="Arial"/>
                <w:b/>
                <w:bCs/>
                <w:color w:val="000000"/>
                <w:sz w:val="18"/>
                <w:szCs w:val="22"/>
              </w:rPr>
            </w:pPr>
            <w:r w:rsidRPr="001A73A6">
              <w:rPr>
                <w:rFonts w:ascii="Arial" w:hAnsi="Arial" w:cs="Arial"/>
                <w:b/>
                <w:bCs/>
                <w:color w:val="000000"/>
                <w:sz w:val="18"/>
                <w:szCs w:val="22"/>
              </w:rPr>
              <w:t>Total</w:t>
            </w:r>
          </w:p>
        </w:tc>
        <w:tc>
          <w:tcPr>
            <w:tcW w:w="671"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186</w:t>
            </w:r>
          </w:p>
        </w:tc>
        <w:tc>
          <w:tcPr>
            <w:tcW w:w="1806"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999</w:t>
            </w:r>
          </w:p>
        </w:tc>
        <w:tc>
          <w:tcPr>
            <w:tcW w:w="810"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585.6</w:t>
            </w:r>
          </w:p>
        </w:tc>
        <w:tc>
          <w:tcPr>
            <w:tcW w:w="1806"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725</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3263</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jc w:val="both"/>
              <w:rPr>
                <w:rFonts w:ascii="Arial" w:hAnsi="Arial" w:cs="Arial"/>
                <w:b/>
                <w:bCs/>
                <w:color w:val="000000"/>
                <w:sz w:val="18"/>
                <w:szCs w:val="22"/>
              </w:rPr>
            </w:pPr>
          </w:p>
        </w:tc>
        <w:tc>
          <w:tcPr>
            <w:tcW w:w="671"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p>
        </w:tc>
        <w:tc>
          <w:tcPr>
            <w:tcW w:w="1806"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p>
        </w:tc>
        <w:tc>
          <w:tcPr>
            <w:tcW w:w="810"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p>
        </w:tc>
        <w:tc>
          <w:tcPr>
            <w:tcW w:w="1806"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b/>
                <w:bCs/>
                <w:color w:val="000000"/>
                <w:sz w:val="18"/>
                <w:szCs w:val="22"/>
              </w:rPr>
            </w:pPr>
          </w:p>
        </w:tc>
      </w:tr>
      <w:tr w:rsidR="003F318E" w:rsidRPr="001A73A6" w:rsidTr="003560B7">
        <w:trPr>
          <w:trHeight w:val="300"/>
        </w:trPr>
        <w:tc>
          <w:tcPr>
            <w:tcW w:w="1532" w:type="dxa"/>
            <w:tcBorders>
              <w:top w:val="single" w:sz="4" w:space="0" w:color="auto"/>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Europe</w:t>
            </w:r>
          </w:p>
        </w:tc>
        <w:tc>
          <w:tcPr>
            <w:tcW w:w="671" w:type="dxa"/>
            <w:tcBorders>
              <w:top w:val="single" w:sz="4" w:space="0" w:color="auto"/>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c>
          <w:tcPr>
            <w:tcW w:w="1806" w:type="dxa"/>
            <w:tcBorders>
              <w:top w:val="single" w:sz="4" w:space="0" w:color="auto"/>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c>
          <w:tcPr>
            <w:tcW w:w="810" w:type="dxa"/>
            <w:tcBorders>
              <w:top w:val="single" w:sz="4" w:space="0" w:color="auto"/>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c>
          <w:tcPr>
            <w:tcW w:w="1806" w:type="dxa"/>
            <w:tcBorders>
              <w:top w:val="single" w:sz="4" w:space="0" w:color="auto"/>
              <w:left w:val="nil"/>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c>
          <w:tcPr>
            <w:tcW w:w="1583" w:type="dxa"/>
            <w:tcBorders>
              <w:top w:val="single" w:sz="4" w:space="0" w:color="auto"/>
              <w:left w:val="nil"/>
              <w:bottom w:val="single" w:sz="4" w:space="0" w:color="auto"/>
              <w:right w:val="single" w:sz="4" w:space="0" w:color="auto"/>
            </w:tcBorders>
            <w:noWrap/>
            <w:vAlign w:val="bottom"/>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 </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Poland</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151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172</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14</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Portugal</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2,130</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42.4</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2,272</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16</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Czech Republic</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111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129</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20</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New Zealand</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160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4,024</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209.0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3,693</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48</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Canada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140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2,561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119.7</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2,471</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52</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Israel</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69</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738</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99.6</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657</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123</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Spain</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226</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38.9</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260</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129</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Italy</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86</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439</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30.1</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425</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134</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Greece</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132</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49.8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163</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172</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France</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431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109.1</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469</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183</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Austria</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58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161</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49.9</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144</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352</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color w:val="000000"/>
                <w:sz w:val="18"/>
                <w:szCs w:val="22"/>
              </w:rPr>
            </w:pPr>
            <w:r w:rsidRPr="001A73A6">
              <w:rPr>
                <w:rFonts w:ascii="Arial" w:hAnsi="Arial" w:cs="Arial"/>
                <w:color w:val="000000"/>
                <w:sz w:val="18"/>
                <w:szCs w:val="22"/>
              </w:rPr>
              <w:t>Netherlands</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200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922</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985.5</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907</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651</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Sweden</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133</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164</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176.9</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109</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1218</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rsidP="00193E9F">
            <w:pPr>
              <w:rPr>
                <w:rFonts w:ascii="Arial" w:hAnsi="Arial" w:cs="Arial"/>
                <w:color w:val="000000"/>
                <w:sz w:val="18"/>
                <w:szCs w:val="22"/>
              </w:rPr>
            </w:pPr>
            <w:r w:rsidRPr="001A73A6">
              <w:rPr>
                <w:rFonts w:ascii="Arial" w:hAnsi="Arial" w:cs="Arial"/>
                <w:color w:val="000000"/>
                <w:sz w:val="18"/>
                <w:szCs w:val="22"/>
              </w:rPr>
              <w:t>Jersey C.I</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320</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119</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69.8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98</w:t>
            </w:r>
          </w:p>
        </w:tc>
        <w:tc>
          <w:tcPr>
            <w:tcW w:w="1583" w:type="dxa"/>
            <w:tcBorders>
              <w:top w:val="nil"/>
              <w:left w:val="nil"/>
              <w:bottom w:val="single" w:sz="4" w:space="0" w:color="auto"/>
              <w:right w:val="single" w:sz="4" w:space="0" w:color="auto"/>
            </w:tcBorders>
            <w:noWrap/>
            <w:vAlign w:val="bottom"/>
          </w:tcPr>
          <w:p w:rsidR="003F318E" w:rsidRPr="001A73A6" w:rsidRDefault="003F318E">
            <w:pPr>
              <w:jc w:val="right"/>
              <w:rPr>
                <w:rFonts w:ascii="Arial" w:hAnsi="Arial" w:cs="Arial"/>
                <w:color w:val="000000"/>
                <w:sz w:val="18"/>
                <w:szCs w:val="22"/>
              </w:rPr>
            </w:pPr>
            <w:r w:rsidRPr="001A73A6">
              <w:rPr>
                <w:rFonts w:ascii="Arial" w:hAnsi="Arial" w:cs="Arial"/>
                <w:color w:val="000000"/>
                <w:sz w:val="18"/>
                <w:szCs w:val="22"/>
              </w:rPr>
              <w:t>1703</w:t>
            </w:r>
          </w:p>
        </w:tc>
      </w:tr>
      <w:tr w:rsidR="003F318E" w:rsidRPr="001A73A6" w:rsidTr="00AE5930">
        <w:trPr>
          <w:trHeight w:val="300"/>
        </w:trPr>
        <w:tc>
          <w:tcPr>
            <w:tcW w:w="1532" w:type="dxa"/>
            <w:tcBorders>
              <w:top w:val="nil"/>
              <w:left w:val="single" w:sz="4" w:space="0" w:color="auto"/>
              <w:bottom w:val="single" w:sz="4" w:space="0" w:color="auto"/>
              <w:right w:val="single" w:sz="4" w:space="0" w:color="auto"/>
            </w:tcBorders>
            <w:noWrap/>
            <w:vAlign w:val="center"/>
          </w:tcPr>
          <w:p w:rsidR="003F318E" w:rsidRPr="001A73A6" w:rsidRDefault="003F318E">
            <w:pPr>
              <w:rPr>
                <w:rFonts w:ascii="Arial" w:hAnsi="Arial" w:cs="Arial"/>
                <w:b/>
                <w:bCs/>
                <w:color w:val="000000"/>
                <w:sz w:val="18"/>
                <w:szCs w:val="22"/>
              </w:rPr>
            </w:pPr>
            <w:r w:rsidRPr="001A73A6">
              <w:rPr>
                <w:rFonts w:ascii="Arial" w:hAnsi="Arial" w:cs="Arial"/>
                <w:b/>
                <w:bCs/>
                <w:color w:val="000000"/>
                <w:sz w:val="18"/>
                <w:szCs w:val="22"/>
              </w:rPr>
              <w:t>Total</w:t>
            </w:r>
          </w:p>
        </w:tc>
        <w:tc>
          <w:tcPr>
            <w:tcW w:w="671"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1288</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12,309</w:t>
            </w:r>
          </w:p>
        </w:tc>
        <w:tc>
          <w:tcPr>
            <w:tcW w:w="810"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1986.4</w:t>
            </w:r>
          </w:p>
        </w:tc>
        <w:tc>
          <w:tcPr>
            <w:tcW w:w="1806"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11,969</w:t>
            </w:r>
          </w:p>
        </w:tc>
        <w:tc>
          <w:tcPr>
            <w:tcW w:w="1583" w:type="dxa"/>
            <w:tcBorders>
              <w:top w:val="nil"/>
              <w:left w:val="nil"/>
              <w:bottom w:val="single" w:sz="4" w:space="0" w:color="auto"/>
              <w:right w:val="single" w:sz="4" w:space="0" w:color="auto"/>
            </w:tcBorders>
            <w:noWrap/>
            <w:vAlign w:val="center"/>
          </w:tcPr>
          <w:p w:rsidR="003F318E" w:rsidRPr="001A73A6" w:rsidRDefault="003F318E">
            <w:pPr>
              <w:jc w:val="right"/>
              <w:rPr>
                <w:rFonts w:ascii="Arial" w:hAnsi="Arial" w:cs="Arial"/>
                <w:b/>
                <w:bCs/>
                <w:color w:val="000000"/>
                <w:sz w:val="18"/>
                <w:szCs w:val="22"/>
              </w:rPr>
            </w:pPr>
            <w:r w:rsidRPr="001A73A6">
              <w:rPr>
                <w:rFonts w:ascii="Arial" w:hAnsi="Arial" w:cs="Arial"/>
                <w:b/>
                <w:bCs/>
                <w:color w:val="000000"/>
                <w:sz w:val="18"/>
                <w:szCs w:val="22"/>
              </w:rPr>
              <w:t>4815</w:t>
            </w:r>
          </w:p>
        </w:tc>
      </w:tr>
    </w:tbl>
    <w:p w:rsidR="003F318E" w:rsidRDefault="003F318E" w:rsidP="001A3B57">
      <w:pPr>
        <w:jc w:val="both"/>
        <w:rPr>
          <w:rFonts w:ascii="Arial" w:hAnsi="Arial" w:cs="Arial"/>
          <w:sz w:val="22"/>
          <w:szCs w:val="20"/>
          <w:lang w:val="en-ZA"/>
        </w:rPr>
      </w:pPr>
    </w:p>
    <w:p w:rsidR="003F318E" w:rsidRDefault="003F318E" w:rsidP="001B0917">
      <w:pPr>
        <w:tabs>
          <w:tab w:val="left" w:pos="432"/>
          <w:tab w:val="left" w:pos="864"/>
        </w:tabs>
        <w:spacing w:line="276" w:lineRule="auto"/>
        <w:rPr>
          <w:rFonts w:ascii="Arial" w:hAnsi="Arial" w:cs="Arial"/>
          <w:b/>
          <w:sz w:val="22"/>
          <w:szCs w:val="22"/>
          <w:u w:val="single"/>
        </w:rPr>
      </w:pPr>
    </w:p>
    <w:p w:rsidR="003F318E" w:rsidRPr="001B0917" w:rsidRDefault="003F318E" w:rsidP="005E1FCC">
      <w:pPr>
        <w:rPr>
          <w:rFonts w:ascii="Arial" w:hAnsi="Arial" w:cs="Arial"/>
          <w:b/>
          <w:sz w:val="22"/>
          <w:szCs w:val="22"/>
        </w:rPr>
      </w:pPr>
      <w:bookmarkStart w:id="0" w:name="_GoBack"/>
      <w:bookmarkEnd w:id="0"/>
    </w:p>
    <w:sectPr w:rsidR="003F318E" w:rsidRPr="001B0917" w:rsidSect="00AD5C9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8E" w:rsidRDefault="003F318E" w:rsidP="00F937F2">
      <w:r>
        <w:separator/>
      </w:r>
    </w:p>
  </w:endnote>
  <w:endnote w:type="continuationSeparator" w:id="0">
    <w:p w:rsidR="003F318E" w:rsidRDefault="003F318E" w:rsidP="00F93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8E" w:rsidRDefault="003F318E" w:rsidP="00F937F2">
      <w:r>
        <w:separator/>
      </w:r>
    </w:p>
  </w:footnote>
  <w:footnote w:type="continuationSeparator" w:id="0">
    <w:p w:rsidR="003F318E" w:rsidRDefault="003F318E" w:rsidP="00F93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0447"/>
    <w:multiLevelType w:val="hybridMultilevel"/>
    <w:tmpl w:val="9E7EFA10"/>
    <w:lvl w:ilvl="0" w:tplc="1C09001B">
      <w:start w:val="1"/>
      <w:numFmt w:val="low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37667A37"/>
    <w:multiLevelType w:val="hybridMultilevel"/>
    <w:tmpl w:val="F4E214E6"/>
    <w:lvl w:ilvl="0" w:tplc="5686C046">
      <w:start w:val="2"/>
      <w:numFmt w:val="bullet"/>
      <w:lvlText w:val=""/>
      <w:lvlJc w:val="left"/>
      <w:pPr>
        <w:ind w:left="720" w:hanging="360"/>
      </w:pPr>
      <w:rPr>
        <w:rFonts w:ascii="Symbol" w:eastAsia="Times New Roman" w:hAnsi="Symbol" w:hint="default"/>
        <w:b w:val="0"/>
        <w:u w:val="none"/>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53D0414"/>
    <w:multiLevelType w:val="hybridMultilevel"/>
    <w:tmpl w:val="164E002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01256"/>
    <w:rsid w:val="000200D1"/>
    <w:rsid w:val="00020C04"/>
    <w:rsid w:val="00053F1F"/>
    <w:rsid w:val="00064C5D"/>
    <w:rsid w:val="000A14DE"/>
    <w:rsid w:val="000A494C"/>
    <w:rsid w:val="000B08D5"/>
    <w:rsid w:val="000C48D8"/>
    <w:rsid w:val="000E4742"/>
    <w:rsid w:val="000F3B14"/>
    <w:rsid w:val="00110AFB"/>
    <w:rsid w:val="001433AE"/>
    <w:rsid w:val="001464B5"/>
    <w:rsid w:val="0015727B"/>
    <w:rsid w:val="00162A2A"/>
    <w:rsid w:val="001713D2"/>
    <w:rsid w:val="001777AF"/>
    <w:rsid w:val="0019239B"/>
    <w:rsid w:val="00193E9F"/>
    <w:rsid w:val="001A3B57"/>
    <w:rsid w:val="001A73A6"/>
    <w:rsid w:val="001B0917"/>
    <w:rsid w:val="001D1F1E"/>
    <w:rsid w:val="001E3FB5"/>
    <w:rsid w:val="001E6902"/>
    <w:rsid w:val="001F2EA8"/>
    <w:rsid w:val="00203499"/>
    <w:rsid w:val="00204C01"/>
    <w:rsid w:val="002137FB"/>
    <w:rsid w:val="0025734A"/>
    <w:rsid w:val="002C1E01"/>
    <w:rsid w:val="002D2C68"/>
    <w:rsid w:val="002F6E86"/>
    <w:rsid w:val="00312A5F"/>
    <w:rsid w:val="00313A68"/>
    <w:rsid w:val="00332BE9"/>
    <w:rsid w:val="003330E9"/>
    <w:rsid w:val="003421BD"/>
    <w:rsid w:val="003560B7"/>
    <w:rsid w:val="0036666A"/>
    <w:rsid w:val="00377A88"/>
    <w:rsid w:val="003C6E27"/>
    <w:rsid w:val="003D2A1B"/>
    <w:rsid w:val="003E420A"/>
    <w:rsid w:val="003F0ECB"/>
    <w:rsid w:val="003F318E"/>
    <w:rsid w:val="003F5B61"/>
    <w:rsid w:val="00417DEC"/>
    <w:rsid w:val="0042128F"/>
    <w:rsid w:val="00427A59"/>
    <w:rsid w:val="0043723E"/>
    <w:rsid w:val="00442A0B"/>
    <w:rsid w:val="00443D44"/>
    <w:rsid w:val="0046194B"/>
    <w:rsid w:val="00464A4D"/>
    <w:rsid w:val="00472123"/>
    <w:rsid w:val="004818DD"/>
    <w:rsid w:val="004854E0"/>
    <w:rsid w:val="004B4514"/>
    <w:rsid w:val="004B5E64"/>
    <w:rsid w:val="004D19AC"/>
    <w:rsid w:val="004E001F"/>
    <w:rsid w:val="004E1CA6"/>
    <w:rsid w:val="004F22ED"/>
    <w:rsid w:val="004F49E1"/>
    <w:rsid w:val="00506B6D"/>
    <w:rsid w:val="005141B3"/>
    <w:rsid w:val="00522F94"/>
    <w:rsid w:val="005458ED"/>
    <w:rsid w:val="00554BCD"/>
    <w:rsid w:val="00562B2C"/>
    <w:rsid w:val="005649D9"/>
    <w:rsid w:val="00574E19"/>
    <w:rsid w:val="0058131C"/>
    <w:rsid w:val="005C2511"/>
    <w:rsid w:val="005E1FCC"/>
    <w:rsid w:val="005E3D0E"/>
    <w:rsid w:val="005E4B98"/>
    <w:rsid w:val="00610228"/>
    <w:rsid w:val="00610D8B"/>
    <w:rsid w:val="00613FC6"/>
    <w:rsid w:val="006239F1"/>
    <w:rsid w:val="00624D20"/>
    <w:rsid w:val="0062770E"/>
    <w:rsid w:val="00635D31"/>
    <w:rsid w:val="006415F0"/>
    <w:rsid w:val="0064275F"/>
    <w:rsid w:val="00647EF2"/>
    <w:rsid w:val="006527C3"/>
    <w:rsid w:val="00653A85"/>
    <w:rsid w:val="00697801"/>
    <w:rsid w:val="006B7A41"/>
    <w:rsid w:val="006D41F0"/>
    <w:rsid w:val="006E4B13"/>
    <w:rsid w:val="007118EA"/>
    <w:rsid w:val="0071255D"/>
    <w:rsid w:val="00720985"/>
    <w:rsid w:val="00720BE5"/>
    <w:rsid w:val="00726A9C"/>
    <w:rsid w:val="00731B3F"/>
    <w:rsid w:val="007359BF"/>
    <w:rsid w:val="00750BE1"/>
    <w:rsid w:val="007577AA"/>
    <w:rsid w:val="00763101"/>
    <w:rsid w:val="007633B3"/>
    <w:rsid w:val="00774D77"/>
    <w:rsid w:val="007914E0"/>
    <w:rsid w:val="007A2403"/>
    <w:rsid w:val="007A32AF"/>
    <w:rsid w:val="007B1BA1"/>
    <w:rsid w:val="007B779F"/>
    <w:rsid w:val="007E3BC9"/>
    <w:rsid w:val="008017B7"/>
    <w:rsid w:val="008031A0"/>
    <w:rsid w:val="00805114"/>
    <w:rsid w:val="0082467A"/>
    <w:rsid w:val="0083186F"/>
    <w:rsid w:val="00832440"/>
    <w:rsid w:val="0084022C"/>
    <w:rsid w:val="00841393"/>
    <w:rsid w:val="0084139C"/>
    <w:rsid w:val="0084401D"/>
    <w:rsid w:val="008502DB"/>
    <w:rsid w:val="00891265"/>
    <w:rsid w:val="00891984"/>
    <w:rsid w:val="0089307F"/>
    <w:rsid w:val="008947D0"/>
    <w:rsid w:val="008A27FF"/>
    <w:rsid w:val="008C151C"/>
    <w:rsid w:val="008C1742"/>
    <w:rsid w:val="008C2559"/>
    <w:rsid w:val="008D580A"/>
    <w:rsid w:val="00911717"/>
    <w:rsid w:val="00912968"/>
    <w:rsid w:val="00912C82"/>
    <w:rsid w:val="009163A5"/>
    <w:rsid w:val="00916758"/>
    <w:rsid w:val="0093245C"/>
    <w:rsid w:val="00953363"/>
    <w:rsid w:val="0096007E"/>
    <w:rsid w:val="00960194"/>
    <w:rsid w:val="00970592"/>
    <w:rsid w:val="00970E05"/>
    <w:rsid w:val="009A0D99"/>
    <w:rsid w:val="009A18A7"/>
    <w:rsid w:val="009A2B1D"/>
    <w:rsid w:val="009B0D04"/>
    <w:rsid w:val="009B3421"/>
    <w:rsid w:val="009E04F7"/>
    <w:rsid w:val="009E321B"/>
    <w:rsid w:val="009E58B7"/>
    <w:rsid w:val="009E5C13"/>
    <w:rsid w:val="00A106C2"/>
    <w:rsid w:val="00A23CDD"/>
    <w:rsid w:val="00A26FA2"/>
    <w:rsid w:val="00A307B1"/>
    <w:rsid w:val="00A32F1E"/>
    <w:rsid w:val="00A525F0"/>
    <w:rsid w:val="00A72B9B"/>
    <w:rsid w:val="00A75763"/>
    <w:rsid w:val="00AA2775"/>
    <w:rsid w:val="00AB0AB4"/>
    <w:rsid w:val="00AB61EA"/>
    <w:rsid w:val="00AC011A"/>
    <w:rsid w:val="00AC4D13"/>
    <w:rsid w:val="00AC72C5"/>
    <w:rsid w:val="00AD00CE"/>
    <w:rsid w:val="00AD5019"/>
    <w:rsid w:val="00AD5C9B"/>
    <w:rsid w:val="00AE5930"/>
    <w:rsid w:val="00B447E6"/>
    <w:rsid w:val="00B518C8"/>
    <w:rsid w:val="00B54921"/>
    <w:rsid w:val="00B66075"/>
    <w:rsid w:val="00B763F3"/>
    <w:rsid w:val="00B77F67"/>
    <w:rsid w:val="00B86387"/>
    <w:rsid w:val="00BB04AE"/>
    <w:rsid w:val="00BB1E2A"/>
    <w:rsid w:val="00BC06BB"/>
    <w:rsid w:val="00BD31C6"/>
    <w:rsid w:val="00BD5DB3"/>
    <w:rsid w:val="00BD6F4D"/>
    <w:rsid w:val="00BF50FA"/>
    <w:rsid w:val="00C25C7E"/>
    <w:rsid w:val="00C312EA"/>
    <w:rsid w:val="00C43682"/>
    <w:rsid w:val="00C44C35"/>
    <w:rsid w:val="00C45DEE"/>
    <w:rsid w:val="00C55C3A"/>
    <w:rsid w:val="00C60822"/>
    <w:rsid w:val="00C8037E"/>
    <w:rsid w:val="00C83FA1"/>
    <w:rsid w:val="00C940AE"/>
    <w:rsid w:val="00CB299A"/>
    <w:rsid w:val="00CB6254"/>
    <w:rsid w:val="00CC20CC"/>
    <w:rsid w:val="00CC2F3E"/>
    <w:rsid w:val="00D02B91"/>
    <w:rsid w:val="00D05469"/>
    <w:rsid w:val="00D30A73"/>
    <w:rsid w:val="00D61460"/>
    <w:rsid w:val="00D67724"/>
    <w:rsid w:val="00DB2463"/>
    <w:rsid w:val="00DB33BB"/>
    <w:rsid w:val="00DD5296"/>
    <w:rsid w:val="00DF0D26"/>
    <w:rsid w:val="00DF3EC9"/>
    <w:rsid w:val="00DF4381"/>
    <w:rsid w:val="00E26087"/>
    <w:rsid w:val="00E34E26"/>
    <w:rsid w:val="00E76460"/>
    <w:rsid w:val="00E77DF6"/>
    <w:rsid w:val="00E80048"/>
    <w:rsid w:val="00E8352B"/>
    <w:rsid w:val="00E90F15"/>
    <w:rsid w:val="00EA6A49"/>
    <w:rsid w:val="00EB17BE"/>
    <w:rsid w:val="00EC2D61"/>
    <w:rsid w:val="00EE5317"/>
    <w:rsid w:val="00EF0ECC"/>
    <w:rsid w:val="00F257CB"/>
    <w:rsid w:val="00F306B8"/>
    <w:rsid w:val="00F446BD"/>
    <w:rsid w:val="00F44B68"/>
    <w:rsid w:val="00F455AF"/>
    <w:rsid w:val="00F51C17"/>
    <w:rsid w:val="00F5571A"/>
    <w:rsid w:val="00F5674E"/>
    <w:rsid w:val="00F7584F"/>
    <w:rsid w:val="00F87EA6"/>
    <w:rsid w:val="00F918E5"/>
    <w:rsid w:val="00F937F2"/>
    <w:rsid w:val="00FB213D"/>
    <w:rsid w:val="00FB68A4"/>
    <w:rsid w:val="00FC2064"/>
    <w:rsid w:val="00FC2BE3"/>
    <w:rsid w:val="00FD06DB"/>
    <w:rsid w:val="00FD3BFD"/>
    <w:rsid w:val="00FF3C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24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406246"/>
    <w:rPr>
      <w:sz w:val="24"/>
      <w:szCs w:val="24"/>
    </w:rPr>
  </w:style>
  <w:style w:type="table" w:styleId="TableGrid">
    <w:name w:val="Table Grid"/>
    <w:basedOn w:val="TableNormal"/>
    <w:uiPriority w:val="99"/>
    <w:rsid w:val="007125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84139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332BE9"/>
    <w:rPr>
      <w:rFonts w:ascii="Tahoma" w:hAnsi="Tahoma" w:cs="Tahoma"/>
      <w:sz w:val="16"/>
      <w:szCs w:val="16"/>
    </w:rPr>
  </w:style>
  <w:style w:type="character" w:customStyle="1" w:styleId="BalloonTextChar">
    <w:name w:val="Balloon Text Char"/>
    <w:basedOn w:val="DefaultParagraphFont"/>
    <w:link w:val="BalloonText"/>
    <w:uiPriority w:val="99"/>
    <w:locked/>
    <w:rsid w:val="00332BE9"/>
    <w:rPr>
      <w:rFonts w:ascii="Tahoma" w:hAnsi="Tahoma" w:cs="Tahoma"/>
      <w:sz w:val="16"/>
      <w:szCs w:val="16"/>
      <w:lang w:val="en-US" w:eastAsia="en-US"/>
    </w:rPr>
  </w:style>
  <w:style w:type="table" w:styleId="MediumList2">
    <w:name w:val="Medium List 2"/>
    <w:basedOn w:val="TableNormal"/>
    <w:uiPriority w:val="99"/>
    <w:rsid w:val="00332BE9"/>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3">
    <w:name w:val="Medium Shading 2 Accent 3"/>
    <w:basedOn w:val="TableNormal"/>
    <w:uiPriority w:val="99"/>
    <w:rsid w:val="00B518C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rsid w:val="00F937F2"/>
    <w:rPr>
      <w:sz w:val="20"/>
      <w:szCs w:val="20"/>
    </w:rPr>
  </w:style>
  <w:style w:type="character" w:customStyle="1" w:styleId="EndnoteTextChar">
    <w:name w:val="Endnote Text Char"/>
    <w:basedOn w:val="DefaultParagraphFont"/>
    <w:link w:val="EndnoteText"/>
    <w:uiPriority w:val="99"/>
    <w:locked/>
    <w:rsid w:val="00F937F2"/>
    <w:rPr>
      <w:rFonts w:cs="Times New Roman"/>
      <w:lang w:val="en-US" w:eastAsia="en-US"/>
    </w:rPr>
  </w:style>
  <w:style w:type="character" w:styleId="EndnoteReference">
    <w:name w:val="endnote reference"/>
    <w:basedOn w:val="DefaultParagraphFont"/>
    <w:uiPriority w:val="99"/>
    <w:rsid w:val="00F937F2"/>
    <w:rPr>
      <w:rFonts w:cs="Times New Roman"/>
      <w:vertAlign w:val="superscript"/>
    </w:rPr>
  </w:style>
  <w:style w:type="paragraph" w:styleId="FootnoteText">
    <w:name w:val="footnote text"/>
    <w:basedOn w:val="Normal"/>
    <w:link w:val="FootnoteTextChar"/>
    <w:uiPriority w:val="99"/>
    <w:rsid w:val="00F937F2"/>
    <w:rPr>
      <w:sz w:val="20"/>
      <w:szCs w:val="20"/>
    </w:rPr>
  </w:style>
  <w:style w:type="character" w:customStyle="1" w:styleId="FootnoteTextChar">
    <w:name w:val="Footnote Text Char"/>
    <w:basedOn w:val="DefaultParagraphFont"/>
    <w:link w:val="FootnoteText"/>
    <w:uiPriority w:val="99"/>
    <w:locked/>
    <w:rsid w:val="00F937F2"/>
    <w:rPr>
      <w:rFonts w:cs="Times New Roman"/>
      <w:lang w:val="en-US" w:eastAsia="en-US"/>
    </w:rPr>
  </w:style>
  <w:style w:type="character" w:styleId="FootnoteReference">
    <w:name w:val="footnote reference"/>
    <w:basedOn w:val="DefaultParagraphFont"/>
    <w:uiPriority w:val="99"/>
    <w:rsid w:val="00F937F2"/>
    <w:rPr>
      <w:rFonts w:cs="Times New Roman"/>
      <w:vertAlign w:val="superscript"/>
    </w:rPr>
  </w:style>
  <w:style w:type="paragraph" w:styleId="ListParagraph">
    <w:name w:val="List Paragraph"/>
    <w:basedOn w:val="Normal"/>
    <w:uiPriority w:val="99"/>
    <w:qFormat/>
    <w:rsid w:val="00F257CB"/>
    <w:pPr>
      <w:ind w:left="720"/>
      <w:contextualSpacing/>
    </w:pPr>
  </w:style>
</w:styles>
</file>

<file path=word/webSettings.xml><?xml version="1.0" encoding="utf-8"?>
<w:webSettings xmlns:r="http://schemas.openxmlformats.org/officeDocument/2006/relationships" xmlns:w="http://schemas.openxmlformats.org/wordprocessingml/2006/main">
  <w:divs>
    <w:div w:id="1551573377">
      <w:marLeft w:val="0"/>
      <w:marRight w:val="0"/>
      <w:marTop w:val="0"/>
      <w:marBottom w:val="0"/>
      <w:divBdr>
        <w:top w:val="none" w:sz="0" w:space="0" w:color="auto"/>
        <w:left w:val="none" w:sz="0" w:space="0" w:color="auto"/>
        <w:bottom w:val="none" w:sz="0" w:space="0" w:color="auto"/>
        <w:right w:val="none" w:sz="0" w:space="0" w:color="auto"/>
      </w:divBdr>
    </w:div>
    <w:div w:id="1551573378">
      <w:marLeft w:val="0"/>
      <w:marRight w:val="0"/>
      <w:marTop w:val="0"/>
      <w:marBottom w:val="0"/>
      <w:divBdr>
        <w:top w:val="none" w:sz="0" w:space="0" w:color="auto"/>
        <w:left w:val="none" w:sz="0" w:space="0" w:color="auto"/>
        <w:bottom w:val="none" w:sz="0" w:space="0" w:color="auto"/>
        <w:right w:val="none" w:sz="0" w:space="0" w:color="auto"/>
      </w:divBdr>
    </w:div>
    <w:div w:id="1551573379">
      <w:marLeft w:val="0"/>
      <w:marRight w:val="0"/>
      <w:marTop w:val="0"/>
      <w:marBottom w:val="0"/>
      <w:divBdr>
        <w:top w:val="none" w:sz="0" w:space="0" w:color="auto"/>
        <w:left w:val="none" w:sz="0" w:space="0" w:color="auto"/>
        <w:bottom w:val="none" w:sz="0" w:space="0" w:color="auto"/>
        <w:right w:val="none" w:sz="0" w:space="0" w:color="auto"/>
      </w:divBdr>
    </w:div>
    <w:div w:id="1551573380">
      <w:marLeft w:val="0"/>
      <w:marRight w:val="0"/>
      <w:marTop w:val="0"/>
      <w:marBottom w:val="0"/>
      <w:divBdr>
        <w:top w:val="none" w:sz="0" w:space="0" w:color="auto"/>
        <w:left w:val="none" w:sz="0" w:space="0" w:color="auto"/>
        <w:bottom w:val="none" w:sz="0" w:space="0" w:color="auto"/>
        <w:right w:val="none" w:sz="0" w:space="0" w:color="auto"/>
      </w:divBdr>
    </w:div>
    <w:div w:id="1551573381">
      <w:marLeft w:val="0"/>
      <w:marRight w:val="0"/>
      <w:marTop w:val="0"/>
      <w:marBottom w:val="0"/>
      <w:divBdr>
        <w:top w:val="none" w:sz="0" w:space="0" w:color="auto"/>
        <w:left w:val="none" w:sz="0" w:space="0" w:color="auto"/>
        <w:bottom w:val="none" w:sz="0" w:space="0" w:color="auto"/>
        <w:right w:val="none" w:sz="0" w:space="0" w:color="auto"/>
      </w:divBdr>
    </w:div>
    <w:div w:id="1551573382">
      <w:marLeft w:val="0"/>
      <w:marRight w:val="0"/>
      <w:marTop w:val="0"/>
      <w:marBottom w:val="0"/>
      <w:divBdr>
        <w:top w:val="none" w:sz="0" w:space="0" w:color="auto"/>
        <w:left w:val="none" w:sz="0" w:space="0" w:color="auto"/>
        <w:bottom w:val="none" w:sz="0" w:space="0" w:color="auto"/>
        <w:right w:val="none" w:sz="0" w:space="0" w:color="auto"/>
      </w:divBdr>
    </w:div>
    <w:div w:id="1551573383">
      <w:marLeft w:val="0"/>
      <w:marRight w:val="0"/>
      <w:marTop w:val="0"/>
      <w:marBottom w:val="0"/>
      <w:divBdr>
        <w:top w:val="none" w:sz="0" w:space="0" w:color="auto"/>
        <w:left w:val="none" w:sz="0" w:space="0" w:color="auto"/>
        <w:bottom w:val="none" w:sz="0" w:space="0" w:color="auto"/>
        <w:right w:val="none" w:sz="0" w:space="0" w:color="auto"/>
      </w:divBdr>
    </w:div>
    <w:div w:id="1551573384">
      <w:marLeft w:val="0"/>
      <w:marRight w:val="0"/>
      <w:marTop w:val="0"/>
      <w:marBottom w:val="0"/>
      <w:divBdr>
        <w:top w:val="none" w:sz="0" w:space="0" w:color="auto"/>
        <w:left w:val="none" w:sz="0" w:space="0" w:color="auto"/>
        <w:bottom w:val="none" w:sz="0" w:space="0" w:color="auto"/>
        <w:right w:val="none" w:sz="0" w:space="0" w:color="auto"/>
      </w:divBdr>
    </w:div>
    <w:div w:id="1551573385">
      <w:marLeft w:val="0"/>
      <w:marRight w:val="0"/>
      <w:marTop w:val="0"/>
      <w:marBottom w:val="0"/>
      <w:divBdr>
        <w:top w:val="none" w:sz="0" w:space="0" w:color="auto"/>
        <w:left w:val="none" w:sz="0" w:space="0" w:color="auto"/>
        <w:bottom w:val="none" w:sz="0" w:space="0" w:color="auto"/>
        <w:right w:val="none" w:sz="0" w:space="0" w:color="auto"/>
      </w:divBdr>
    </w:div>
    <w:div w:id="1551573386">
      <w:marLeft w:val="0"/>
      <w:marRight w:val="0"/>
      <w:marTop w:val="0"/>
      <w:marBottom w:val="0"/>
      <w:divBdr>
        <w:top w:val="none" w:sz="0" w:space="0" w:color="auto"/>
        <w:left w:val="none" w:sz="0" w:space="0" w:color="auto"/>
        <w:bottom w:val="none" w:sz="0" w:space="0" w:color="auto"/>
        <w:right w:val="none" w:sz="0" w:space="0" w:color="auto"/>
      </w:divBdr>
    </w:div>
    <w:div w:id="1551573387">
      <w:marLeft w:val="0"/>
      <w:marRight w:val="0"/>
      <w:marTop w:val="0"/>
      <w:marBottom w:val="0"/>
      <w:divBdr>
        <w:top w:val="none" w:sz="0" w:space="0" w:color="auto"/>
        <w:left w:val="none" w:sz="0" w:space="0" w:color="auto"/>
        <w:bottom w:val="none" w:sz="0" w:space="0" w:color="auto"/>
        <w:right w:val="none" w:sz="0" w:space="0" w:color="auto"/>
      </w:divBdr>
    </w:div>
    <w:div w:id="1551573388">
      <w:marLeft w:val="0"/>
      <w:marRight w:val="0"/>
      <w:marTop w:val="0"/>
      <w:marBottom w:val="0"/>
      <w:divBdr>
        <w:top w:val="none" w:sz="0" w:space="0" w:color="auto"/>
        <w:left w:val="none" w:sz="0" w:space="0" w:color="auto"/>
        <w:bottom w:val="none" w:sz="0" w:space="0" w:color="auto"/>
        <w:right w:val="none" w:sz="0" w:space="0" w:color="auto"/>
      </w:divBdr>
    </w:div>
    <w:div w:id="1551573389">
      <w:marLeft w:val="0"/>
      <w:marRight w:val="0"/>
      <w:marTop w:val="0"/>
      <w:marBottom w:val="0"/>
      <w:divBdr>
        <w:top w:val="none" w:sz="0" w:space="0" w:color="auto"/>
        <w:left w:val="none" w:sz="0" w:space="0" w:color="auto"/>
        <w:bottom w:val="none" w:sz="0" w:space="0" w:color="auto"/>
        <w:right w:val="none" w:sz="0" w:space="0" w:color="auto"/>
      </w:divBdr>
    </w:div>
    <w:div w:id="1551573390">
      <w:marLeft w:val="0"/>
      <w:marRight w:val="0"/>
      <w:marTop w:val="0"/>
      <w:marBottom w:val="0"/>
      <w:divBdr>
        <w:top w:val="none" w:sz="0" w:space="0" w:color="auto"/>
        <w:left w:val="none" w:sz="0" w:space="0" w:color="auto"/>
        <w:bottom w:val="none" w:sz="0" w:space="0" w:color="auto"/>
        <w:right w:val="none" w:sz="0" w:space="0" w:color="auto"/>
      </w:divBdr>
    </w:div>
    <w:div w:id="1551573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833</Words>
  <Characters>4749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2015-09-28T08:48:00Z</cp:lastPrinted>
  <dcterms:created xsi:type="dcterms:W3CDTF">2015-10-16T13:54:00Z</dcterms:created>
  <dcterms:modified xsi:type="dcterms:W3CDTF">2015-10-16T13:54:00Z</dcterms:modified>
</cp:coreProperties>
</file>