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A3659F" w:rsidP="00E83E3C">
      <w:pPr>
        <w:spacing w:before="100" w:beforeAutospacing="1" w:after="100" w:afterAutospacing="1"/>
        <w:ind w:left="720" w:hanging="720"/>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A3659F"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405D4D" w:rsidP="00E83E3C">
      <w:pPr>
        <w:jc w:val="center"/>
        <w:rPr>
          <w:rFonts w:ascii="Arial" w:hAnsi="Arial" w:cs="Arial"/>
          <w:b/>
          <w:bCs/>
          <w:color w:val="000000"/>
          <w:sz w:val="22"/>
          <w:szCs w:val="22"/>
        </w:rPr>
      </w:pPr>
      <w:r>
        <w:rPr>
          <w:rFonts w:ascii="Arial" w:hAnsi="Arial" w:cs="Arial"/>
          <w:b/>
          <w:noProof/>
          <w:sz w:val="22"/>
          <w:szCs w:val="22"/>
        </w:rPr>
        <w:t>QUESTION FOR WRITTEN REPLY</w:t>
      </w:r>
    </w:p>
    <w:p w:rsidR="00E83E3C" w:rsidRDefault="00E83E3C" w:rsidP="00E83E3C">
      <w:pPr>
        <w:rPr>
          <w:rFonts w:ascii="Arial" w:hAnsi="Arial" w:cs="Arial"/>
          <w:b/>
          <w:bCs/>
          <w:color w:val="000000"/>
          <w:sz w:val="22"/>
          <w:szCs w:val="22"/>
        </w:rPr>
      </w:pPr>
    </w:p>
    <w:p w:rsidR="00E83E3C" w:rsidRPr="00135757" w:rsidRDefault="00A3659F"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332</w:t>
      </w:r>
    </w:p>
    <w:p w:rsidR="009B4963" w:rsidRPr="00AC2CD3" w:rsidRDefault="00A3659F" w:rsidP="00AC2CD3">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17 FEBRUARY 2023</w:t>
      </w:r>
    </w:p>
    <w:p w:rsidR="009B4963" w:rsidRDefault="009B4963" w:rsidP="009B4963">
      <w:pPr>
        <w:rPr>
          <w:rFonts w:ascii="Arial" w:hAnsi="Arial" w:cs="Arial"/>
          <w:lang w:val="en-ZA"/>
        </w:rPr>
      </w:pPr>
    </w:p>
    <w:p w:rsidR="00DF5AE1" w:rsidRPr="00AC2CD3" w:rsidRDefault="00A3659F" w:rsidP="00405D4D">
      <w:pPr>
        <w:ind w:left="720" w:hanging="720"/>
        <w:jc w:val="both"/>
      </w:pPr>
      <w:r w:rsidRPr="00AC2CD3">
        <w:rPr>
          <w:rFonts w:ascii="Arial" w:eastAsia="Arial" w:hAnsi="Arial" w:cs="Arial"/>
          <w:b/>
          <w:bCs/>
        </w:rPr>
        <w:t xml:space="preserve">332.     Mr T </w:t>
      </w:r>
      <w:proofErr w:type="spellStart"/>
      <w:r w:rsidRPr="00AC2CD3">
        <w:rPr>
          <w:rFonts w:ascii="Arial" w:eastAsia="Arial" w:hAnsi="Arial" w:cs="Arial"/>
          <w:b/>
          <w:bCs/>
        </w:rPr>
        <w:t>Mogale</w:t>
      </w:r>
      <w:proofErr w:type="spellEnd"/>
      <w:r w:rsidRPr="00AC2CD3">
        <w:rPr>
          <w:rFonts w:ascii="Arial" w:eastAsia="Arial" w:hAnsi="Arial" w:cs="Arial"/>
          <w:b/>
          <w:bCs/>
        </w:rPr>
        <w:t xml:space="preserve"> (EFF) to ask the Minister of Cooperative Governance and Traditional Affairs:</w:t>
      </w:r>
    </w:p>
    <w:p w:rsidR="00DF5AE1" w:rsidRPr="00AC2CD3" w:rsidRDefault="00A3659F">
      <w:pPr>
        <w:spacing w:before="240"/>
        <w:jc w:val="both"/>
      </w:pPr>
      <w:r w:rsidRPr="00AC2CD3">
        <w:rPr>
          <w:rFonts w:ascii="Arial" w:eastAsia="Arial" w:hAnsi="Arial" w:cs="Arial"/>
        </w:rPr>
        <w:t>What disaster measures of intervention have been taken to prevent further flooding in affected areas? NW347E</w:t>
      </w:r>
    </w:p>
    <w:p w:rsidR="00405D4D" w:rsidRPr="00AC2CD3" w:rsidRDefault="00405D4D" w:rsidP="00405D4D">
      <w:pPr>
        <w:spacing w:after="200" w:line="276" w:lineRule="auto"/>
        <w:rPr>
          <w:rFonts w:ascii="Arial" w:hAnsi="Arial" w:cs="Arial"/>
          <w:b/>
          <w:bCs/>
        </w:rPr>
      </w:pPr>
    </w:p>
    <w:p w:rsidR="00E83E3C" w:rsidRPr="00AC2CD3" w:rsidRDefault="00A3659F" w:rsidP="003A77FF">
      <w:pPr>
        <w:spacing w:after="200" w:line="360" w:lineRule="auto"/>
        <w:rPr>
          <w:rFonts w:ascii="Arial" w:hAnsi="Arial" w:cs="Arial"/>
          <w:b/>
          <w:bCs/>
        </w:rPr>
      </w:pPr>
      <w:r w:rsidRPr="00AC2CD3">
        <w:rPr>
          <w:rFonts w:ascii="Arial" w:hAnsi="Arial" w:cs="Arial"/>
          <w:b/>
          <w:bCs/>
        </w:rPr>
        <w:t>REPLY:</w:t>
      </w:r>
    </w:p>
    <w:p w:rsidR="00DF5AE1" w:rsidRPr="00AC2CD3" w:rsidRDefault="00A3659F" w:rsidP="003A77FF">
      <w:pPr>
        <w:spacing w:line="360" w:lineRule="auto"/>
        <w:jc w:val="both"/>
      </w:pPr>
      <w:r w:rsidRPr="00AC2CD3">
        <w:rPr>
          <w:rFonts w:ascii="Arial" w:eastAsia="Arial" w:hAnsi="Arial" w:cs="Arial"/>
        </w:rPr>
        <w:t xml:space="preserve">The department through the National Disaster Management Centre (NDMC) is coordinating and collaborating with relevant stakeholders focusing on emergency preparedness to enable a state of readiness by relevant organs of state in anticipation of </w:t>
      </w:r>
      <w:proofErr w:type="gramStart"/>
      <w:r w:rsidRPr="00AC2CD3">
        <w:rPr>
          <w:rFonts w:ascii="Arial" w:eastAsia="Arial" w:hAnsi="Arial" w:cs="Arial"/>
        </w:rPr>
        <w:t>disasters</w:t>
      </w:r>
      <w:proofErr w:type="gramEnd"/>
      <w:r w:rsidRPr="00AC2CD3">
        <w:rPr>
          <w:rFonts w:ascii="Arial" w:eastAsia="Arial" w:hAnsi="Arial" w:cs="Arial"/>
        </w:rPr>
        <w:t>. In case of the floods</w:t>
      </w:r>
      <w:r w:rsidR="003A77FF" w:rsidRPr="00AC2CD3">
        <w:rPr>
          <w:rFonts w:ascii="Arial" w:eastAsia="Arial" w:hAnsi="Arial" w:cs="Arial"/>
        </w:rPr>
        <w:t xml:space="preserve">, </w:t>
      </w:r>
      <w:r w:rsidRPr="00AC2CD3">
        <w:rPr>
          <w:rFonts w:ascii="Arial" w:eastAsia="Arial" w:hAnsi="Arial" w:cs="Arial"/>
        </w:rPr>
        <w:t>the following key intervention measures were taken by my department: </w:t>
      </w:r>
    </w:p>
    <w:p w:rsidR="00DF5AE1" w:rsidRPr="00AC2CD3" w:rsidRDefault="00A3659F" w:rsidP="003A77FF">
      <w:pPr>
        <w:pStyle w:val="ListParagraph"/>
        <w:numPr>
          <w:ilvl w:val="0"/>
          <w:numId w:val="5"/>
        </w:numPr>
        <w:spacing w:before="240" w:line="360" w:lineRule="auto"/>
        <w:ind w:left="360"/>
        <w:jc w:val="both"/>
      </w:pPr>
      <w:r w:rsidRPr="00AC2CD3">
        <w:rPr>
          <w:rFonts w:ascii="Arial" w:eastAsia="Arial" w:hAnsi="Arial" w:cs="Arial"/>
        </w:rPr>
        <w:t>Collaboration with the South African Weather Service (SAWS) in the further dissemination of early-warnings and advisories to relevant organs of state, stakeholders and organs of state for informed decision-making as well as ensuring that further damages and losses are avoided where possible;</w:t>
      </w:r>
    </w:p>
    <w:p w:rsidR="00DF5AE1" w:rsidRPr="00AC2CD3" w:rsidRDefault="00A3659F" w:rsidP="003A77FF">
      <w:pPr>
        <w:pStyle w:val="ListParagraph"/>
        <w:numPr>
          <w:ilvl w:val="0"/>
          <w:numId w:val="5"/>
        </w:numPr>
        <w:spacing w:line="360" w:lineRule="auto"/>
        <w:ind w:left="360"/>
        <w:jc w:val="both"/>
      </w:pPr>
      <w:r w:rsidRPr="00AC2CD3">
        <w:rPr>
          <w:rFonts w:ascii="Arial" w:eastAsia="Arial" w:hAnsi="Arial" w:cs="Arial"/>
        </w:rPr>
        <w:t>Activation of the National Joint Floods Coordination Committee (NJFCC) as well as facilitate activations of relevant structures across the spheres of government for the coordination of collaborative efforts by all relevant stakeholders regarding response and recovery efforts in affected provinces;</w:t>
      </w:r>
    </w:p>
    <w:p w:rsidR="00DF5AE1" w:rsidRPr="00AC2CD3" w:rsidRDefault="00A3659F" w:rsidP="003A77FF">
      <w:pPr>
        <w:pStyle w:val="ListParagraph"/>
        <w:numPr>
          <w:ilvl w:val="0"/>
          <w:numId w:val="5"/>
        </w:numPr>
        <w:spacing w:line="360" w:lineRule="auto"/>
        <w:ind w:left="360"/>
        <w:jc w:val="both"/>
      </w:pPr>
      <w:proofErr w:type="spellStart"/>
      <w:r w:rsidRPr="00AC2CD3">
        <w:rPr>
          <w:rFonts w:ascii="Arial" w:eastAsia="Arial" w:hAnsi="Arial" w:cs="Arial"/>
        </w:rPr>
        <w:t>FacilitateS</w:t>
      </w:r>
      <w:proofErr w:type="spellEnd"/>
      <w:r w:rsidRPr="00AC2CD3">
        <w:rPr>
          <w:rFonts w:ascii="Arial" w:eastAsia="Arial" w:hAnsi="Arial" w:cs="Arial"/>
        </w:rPr>
        <w:t xml:space="preserve"> the deployment of search and rescue teams from the Security Cluster for search and rescue missions in support of the affected provinces;</w:t>
      </w:r>
    </w:p>
    <w:p w:rsidR="00DF5AE1" w:rsidRPr="00AC2CD3" w:rsidRDefault="00A3659F" w:rsidP="003A77FF">
      <w:pPr>
        <w:pStyle w:val="ListParagraph"/>
        <w:numPr>
          <w:ilvl w:val="0"/>
          <w:numId w:val="5"/>
        </w:numPr>
        <w:spacing w:line="360" w:lineRule="auto"/>
        <w:ind w:left="360"/>
        <w:jc w:val="both"/>
      </w:pPr>
      <w:r w:rsidRPr="00AC2CD3">
        <w:rPr>
          <w:rFonts w:ascii="Arial" w:eastAsia="Arial" w:hAnsi="Arial" w:cs="Arial"/>
        </w:rPr>
        <w:t>Technical support to municipalities through the Municipal Infrastructure Agent (MISA) in addressing some of the critical infrastructure;</w:t>
      </w:r>
    </w:p>
    <w:p w:rsidR="00DF5AE1" w:rsidRPr="00AC2CD3" w:rsidRDefault="00A3659F" w:rsidP="003A77FF">
      <w:pPr>
        <w:pStyle w:val="ListParagraph"/>
        <w:numPr>
          <w:ilvl w:val="0"/>
          <w:numId w:val="5"/>
        </w:numPr>
        <w:spacing w:line="360" w:lineRule="auto"/>
        <w:ind w:left="360"/>
        <w:jc w:val="both"/>
      </w:pPr>
      <w:r w:rsidRPr="00AC2CD3">
        <w:rPr>
          <w:rFonts w:ascii="Arial" w:eastAsia="Arial" w:hAnsi="Arial" w:cs="Arial"/>
        </w:rPr>
        <w:lastRenderedPageBreak/>
        <w:t xml:space="preserve">Coordinate relevant national organs of state to mobilise resources and support to respective counterparts through existing </w:t>
      </w:r>
      <w:proofErr w:type="spellStart"/>
      <w:r w:rsidRPr="00AC2CD3">
        <w:rPr>
          <w:rFonts w:ascii="Arial" w:eastAsia="Arial" w:hAnsi="Arial" w:cs="Arial"/>
        </w:rPr>
        <w:t>sectoral</w:t>
      </w:r>
      <w:proofErr w:type="spellEnd"/>
      <w:r w:rsidRPr="00AC2CD3">
        <w:rPr>
          <w:rFonts w:ascii="Arial" w:eastAsia="Arial" w:hAnsi="Arial" w:cs="Arial"/>
        </w:rPr>
        <w:t xml:space="preserve"> arrangements and programmes;</w:t>
      </w:r>
    </w:p>
    <w:p w:rsidR="00DF5AE1" w:rsidRPr="00AC2CD3" w:rsidRDefault="00A3659F" w:rsidP="003A77FF">
      <w:pPr>
        <w:pStyle w:val="ListParagraph"/>
        <w:numPr>
          <w:ilvl w:val="0"/>
          <w:numId w:val="5"/>
        </w:numPr>
        <w:spacing w:line="360" w:lineRule="auto"/>
        <w:ind w:left="360"/>
        <w:jc w:val="both"/>
      </w:pPr>
      <w:r w:rsidRPr="00AC2CD3">
        <w:rPr>
          <w:rFonts w:ascii="Arial" w:eastAsia="Arial" w:hAnsi="Arial" w:cs="Arial"/>
        </w:rPr>
        <w:t>Ongoing monitoring of the conditions on the ground and providing support where required to prevent the situation from deteriorating further;</w:t>
      </w:r>
    </w:p>
    <w:p w:rsidR="00DF5AE1" w:rsidRPr="00AC2CD3" w:rsidRDefault="00A3659F" w:rsidP="003A77FF">
      <w:pPr>
        <w:pStyle w:val="ListParagraph"/>
        <w:numPr>
          <w:ilvl w:val="0"/>
          <w:numId w:val="5"/>
        </w:numPr>
        <w:spacing w:line="360" w:lineRule="auto"/>
        <w:ind w:left="360"/>
        <w:jc w:val="both"/>
      </w:pPr>
      <w:r w:rsidRPr="00AC2CD3">
        <w:rPr>
          <w:rFonts w:ascii="Arial" w:eastAsia="Arial" w:hAnsi="Arial" w:cs="Arial"/>
        </w:rPr>
        <w:t>Classification of the occurrence as a national disaster by the NDMC as per Section 23 of the Disaster Management Act, 57 of 2022 (DMA). This was with the primary objective of strengthening the coordination and management of the occurrence as well as the mobilisation of resources for intervention measures.   </w:t>
      </w:r>
    </w:p>
    <w:p w:rsidR="00DF5AE1" w:rsidRPr="00AC2CD3" w:rsidRDefault="00A3659F" w:rsidP="003A77FF">
      <w:pPr>
        <w:pStyle w:val="ListParagraph"/>
        <w:numPr>
          <w:ilvl w:val="0"/>
          <w:numId w:val="5"/>
        </w:numPr>
        <w:spacing w:line="360" w:lineRule="auto"/>
        <w:ind w:left="360"/>
        <w:jc w:val="both"/>
      </w:pPr>
      <w:r w:rsidRPr="00AC2CD3">
        <w:rPr>
          <w:rFonts w:ascii="Arial" w:eastAsia="Arial" w:hAnsi="Arial" w:cs="Arial"/>
        </w:rPr>
        <w:t xml:space="preserve">Declaration of a national state of disaster by the Minister of </w:t>
      </w:r>
      <w:proofErr w:type="spellStart"/>
      <w:r w:rsidRPr="00AC2CD3">
        <w:rPr>
          <w:rFonts w:ascii="Arial" w:eastAsia="Arial" w:hAnsi="Arial" w:cs="Arial"/>
        </w:rPr>
        <w:t>CoGTA</w:t>
      </w:r>
      <w:proofErr w:type="spellEnd"/>
      <w:r w:rsidRPr="00AC2CD3">
        <w:rPr>
          <w:rFonts w:ascii="Arial" w:eastAsia="Arial" w:hAnsi="Arial" w:cs="Arial"/>
        </w:rPr>
        <w:t xml:space="preserve"> as per Section 27 of the DMA. This was mainly to augment existing legislation and contingency arrangements of the affected organs of state as well as activate other extraordinary measures as and when required.</w:t>
      </w:r>
    </w:p>
    <w:p w:rsidR="003A77FF" w:rsidRPr="00AC2CD3" w:rsidRDefault="003A77FF" w:rsidP="003A77FF">
      <w:pPr>
        <w:pStyle w:val="ListParagraph"/>
        <w:numPr>
          <w:ilvl w:val="0"/>
          <w:numId w:val="5"/>
        </w:numPr>
        <w:spacing w:line="360" w:lineRule="auto"/>
        <w:ind w:left="360"/>
        <w:jc w:val="both"/>
      </w:pPr>
      <w:r w:rsidRPr="00AC2CD3">
        <w:rPr>
          <w:rFonts w:ascii="Arial" w:eastAsia="Arial" w:hAnsi="Arial" w:cs="Arial"/>
        </w:rPr>
        <w:t xml:space="preserve">Facilitated the development of Seasonal Contingency Plan for the Summer Season by organs of state to deal with seasonal climate and weather-related events based on the Weather Outlook issued by SAWS. The NDMC further developed the National Seasonal Contingency Plan for the Summer Season outlining the preparedness/readiness measures by respective organs of state to deal with flooding eventualities during the Summer Season. </w:t>
      </w:r>
    </w:p>
    <w:p w:rsidR="00DF5AE1" w:rsidRPr="00AC2CD3" w:rsidRDefault="00A3659F" w:rsidP="003A77FF">
      <w:pPr>
        <w:pStyle w:val="ListParagraph"/>
        <w:numPr>
          <w:ilvl w:val="0"/>
          <w:numId w:val="5"/>
        </w:numPr>
        <w:spacing w:line="360" w:lineRule="auto"/>
        <w:ind w:left="360"/>
        <w:jc w:val="both"/>
      </w:pPr>
      <w:r w:rsidRPr="00AC2CD3">
        <w:rPr>
          <w:rFonts w:ascii="Arial" w:eastAsia="Arial" w:hAnsi="Arial" w:cs="Arial"/>
        </w:rPr>
        <w:t>Furthermore, the National Seasonal Contingency Plan for the Summer Season provides details of the preparedness and response procedures and activation protocols to be followed at national level to respond to disasters. </w:t>
      </w:r>
    </w:p>
    <w:p w:rsidR="00EC6863" w:rsidRPr="00AC2CD3" w:rsidRDefault="00AC2CD3" w:rsidP="00AC2CD3">
      <w:pPr>
        <w:spacing w:before="240" w:line="360" w:lineRule="auto"/>
        <w:jc w:val="both"/>
        <w:rPr>
          <w:rFonts w:ascii="Arial" w:hAnsi="Arial" w:cs="Arial"/>
          <w:b/>
          <w:bCs/>
        </w:rPr>
      </w:pPr>
      <w:r w:rsidRPr="00AC2CD3">
        <w:rPr>
          <w:rFonts w:ascii="Arial" w:eastAsia="Arial" w:hAnsi="Arial" w:cs="Arial"/>
          <w:b/>
          <w:bCs/>
        </w:rPr>
        <w:t xml:space="preserve">End. </w:t>
      </w:r>
    </w:p>
    <w:sectPr w:rsidR="00EC6863" w:rsidRPr="00AC2CD3"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74" w:rsidRDefault="007B7474">
      <w:r>
        <w:separator/>
      </w:r>
    </w:p>
  </w:endnote>
  <w:endnote w:type="continuationSeparator" w:id="0">
    <w:p w:rsidR="007B7474" w:rsidRDefault="007B7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74" w:rsidRDefault="007B7474">
      <w:r>
        <w:separator/>
      </w:r>
    </w:p>
  </w:footnote>
  <w:footnote w:type="continuationSeparator" w:id="0">
    <w:p w:rsidR="007B7474" w:rsidRDefault="007B7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C06076">
    <w:pPr>
      <w:pStyle w:val="Header"/>
      <w:framePr w:wrap="around" w:vAnchor="text" w:hAnchor="margin" w:xAlign="center" w:y="1"/>
      <w:rPr>
        <w:rStyle w:val="PageNumber"/>
      </w:rPr>
    </w:pPr>
    <w:r>
      <w:rPr>
        <w:rStyle w:val="PageNumber"/>
      </w:rPr>
      <w:fldChar w:fldCharType="begin"/>
    </w:r>
    <w:r w:rsidR="00A3659F">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9C46C61C">
      <w:start w:val="1"/>
      <w:numFmt w:val="decimal"/>
      <w:lvlText w:val="%1."/>
      <w:lvlJc w:val="left"/>
      <w:pPr>
        <w:ind w:left="360" w:hanging="360"/>
      </w:pPr>
      <w:rPr>
        <w:rFonts w:hint="default"/>
      </w:rPr>
    </w:lvl>
    <w:lvl w:ilvl="1" w:tplc="D61CAFDC">
      <w:start w:val="1"/>
      <w:numFmt w:val="lowerLetter"/>
      <w:lvlText w:val="%2."/>
      <w:lvlJc w:val="left"/>
      <w:pPr>
        <w:ind w:left="1080" w:hanging="360"/>
      </w:pPr>
    </w:lvl>
    <w:lvl w:ilvl="2" w:tplc="386CE772" w:tentative="1">
      <w:start w:val="1"/>
      <w:numFmt w:val="lowerRoman"/>
      <w:lvlText w:val="%3."/>
      <w:lvlJc w:val="right"/>
      <w:pPr>
        <w:ind w:left="1800" w:hanging="180"/>
      </w:pPr>
    </w:lvl>
    <w:lvl w:ilvl="3" w:tplc="98A447EE" w:tentative="1">
      <w:start w:val="1"/>
      <w:numFmt w:val="decimal"/>
      <w:lvlText w:val="%4."/>
      <w:lvlJc w:val="left"/>
      <w:pPr>
        <w:ind w:left="2520" w:hanging="360"/>
      </w:pPr>
    </w:lvl>
    <w:lvl w:ilvl="4" w:tplc="C12AFC7C" w:tentative="1">
      <w:start w:val="1"/>
      <w:numFmt w:val="lowerLetter"/>
      <w:lvlText w:val="%5."/>
      <w:lvlJc w:val="left"/>
      <w:pPr>
        <w:ind w:left="3240" w:hanging="360"/>
      </w:pPr>
    </w:lvl>
    <w:lvl w:ilvl="5" w:tplc="A35A3EB8" w:tentative="1">
      <w:start w:val="1"/>
      <w:numFmt w:val="lowerRoman"/>
      <w:lvlText w:val="%6."/>
      <w:lvlJc w:val="right"/>
      <w:pPr>
        <w:ind w:left="3960" w:hanging="180"/>
      </w:pPr>
    </w:lvl>
    <w:lvl w:ilvl="6" w:tplc="9956F11A" w:tentative="1">
      <w:start w:val="1"/>
      <w:numFmt w:val="decimal"/>
      <w:lvlText w:val="%7."/>
      <w:lvlJc w:val="left"/>
      <w:pPr>
        <w:ind w:left="4680" w:hanging="360"/>
      </w:pPr>
    </w:lvl>
    <w:lvl w:ilvl="7" w:tplc="0CF0D40A" w:tentative="1">
      <w:start w:val="1"/>
      <w:numFmt w:val="lowerLetter"/>
      <w:lvlText w:val="%8."/>
      <w:lvlJc w:val="left"/>
      <w:pPr>
        <w:ind w:left="5400" w:hanging="360"/>
      </w:pPr>
    </w:lvl>
    <w:lvl w:ilvl="8" w:tplc="413E7CDA" w:tentative="1">
      <w:start w:val="1"/>
      <w:numFmt w:val="lowerRoman"/>
      <w:lvlText w:val="%9."/>
      <w:lvlJc w:val="right"/>
      <w:pPr>
        <w:ind w:left="6120" w:hanging="180"/>
      </w:pPr>
    </w:lvl>
  </w:abstractNum>
  <w:abstractNum w:abstractNumId="1">
    <w:nsid w:val="310079B0"/>
    <w:multiLevelType w:val="hybridMultilevel"/>
    <w:tmpl w:val="681C8B3C"/>
    <w:lvl w:ilvl="0" w:tplc="BA8C1578">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049AD4F0">
      <w:start w:val="1"/>
      <w:numFmt w:val="lowerLetter"/>
      <w:lvlText w:val="%2."/>
      <w:lvlJc w:val="left"/>
      <w:pPr>
        <w:ind w:left="1222" w:hanging="360"/>
      </w:pPr>
    </w:lvl>
    <w:lvl w:ilvl="2" w:tplc="79622390">
      <w:start w:val="1"/>
      <w:numFmt w:val="lowerRoman"/>
      <w:lvlText w:val="%3."/>
      <w:lvlJc w:val="right"/>
      <w:pPr>
        <w:ind w:left="1942" w:hanging="180"/>
      </w:pPr>
    </w:lvl>
    <w:lvl w:ilvl="3" w:tplc="C100A3A8">
      <w:start w:val="1"/>
      <w:numFmt w:val="decimal"/>
      <w:lvlText w:val="%4."/>
      <w:lvlJc w:val="left"/>
      <w:pPr>
        <w:ind w:left="2662" w:hanging="360"/>
      </w:pPr>
    </w:lvl>
    <w:lvl w:ilvl="4" w:tplc="EAAA16A0">
      <w:start w:val="1"/>
      <w:numFmt w:val="lowerLetter"/>
      <w:lvlText w:val="%5."/>
      <w:lvlJc w:val="left"/>
      <w:pPr>
        <w:ind w:left="3382" w:hanging="360"/>
      </w:pPr>
    </w:lvl>
    <w:lvl w:ilvl="5" w:tplc="60F6204A">
      <w:start w:val="1"/>
      <w:numFmt w:val="lowerRoman"/>
      <w:lvlText w:val="%6."/>
      <w:lvlJc w:val="right"/>
      <w:pPr>
        <w:ind w:left="4102" w:hanging="180"/>
      </w:pPr>
    </w:lvl>
    <w:lvl w:ilvl="6" w:tplc="12A6E206">
      <w:start w:val="1"/>
      <w:numFmt w:val="decimal"/>
      <w:lvlText w:val="%7."/>
      <w:lvlJc w:val="left"/>
      <w:pPr>
        <w:ind w:left="4822" w:hanging="360"/>
      </w:pPr>
    </w:lvl>
    <w:lvl w:ilvl="7" w:tplc="9EDC0724">
      <w:start w:val="1"/>
      <w:numFmt w:val="lowerLetter"/>
      <w:lvlText w:val="%8."/>
      <w:lvlJc w:val="left"/>
      <w:pPr>
        <w:ind w:left="5542" w:hanging="360"/>
      </w:pPr>
    </w:lvl>
    <w:lvl w:ilvl="8" w:tplc="67663EE6">
      <w:start w:val="1"/>
      <w:numFmt w:val="lowerRoman"/>
      <w:lvlText w:val="%9."/>
      <w:lvlJc w:val="right"/>
      <w:pPr>
        <w:ind w:left="6262" w:hanging="180"/>
      </w:pPr>
    </w:lvl>
  </w:abstractNum>
  <w:abstractNum w:abstractNumId="2">
    <w:nsid w:val="4AE73CEA"/>
    <w:multiLevelType w:val="hybridMultilevel"/>
    <w:tmpl w:val="4D74F046"/>
    <w:lvl w:ilvl="0" w:tplc="3C34EAA6">
      <w:start w:val="1"/>
      <w:numFmt w:val="bullet"/>
      <w:lvlText w:val=""/>
      <w:lvlJc w:val="left"/>
      <w:pPr>
        <w:ind w:left="720" w:hanging="360"/>
      </w:pPr>
      <w:rPr>
        <w:rFonts w:ascii="Symbol" w:hAnsi="Symbol" w:hint="default"/>
      </w:rPr>
    </w:lvl>
    <w:lvl w:ilvl="1" w:tplc="7D5CB272" w:tentative="1">
      <w:start w:val="1"/>
      <w:numFmt w:val="bullet"/>
      <w:lvlText w:val="o"/>
      <w:lvlJc w:val="left"/>
      <w:pPr>
        <w:ind w:left="1440" w:hanging="360"/>
      </w:pPr>
      <w:rPr>
        <w:rFonts w:ascii="Courier New" w:hAnsi="Courier New" w:cs="Courier New" w:hint="default"/>
      </w:rPr>
    </w:lvl>
    <w:lvl w:ilvl="2" w:tplc="3020B8D0" w:tentative="1">
      <w:start w:val="1"/>
      <w:numFmt w:val="bullet"/>
      <w:lvlText w:val=""/>
      <w:lvlJc w:val="left"/>
      <w:pPr>
        <w:ind w:left="2160" w:hanging="360"/>
      </w:pPr>
      <w:rPr>
        <w:rFonts w:ascii="Wingdings" w:hAnsi="Wingdings" w:hint="default"/>
      </w:rPr>
    </w:lvl>
    <w:lvl w:ilvl="3" w:tplc="97647A98" w:tentative="1">
      <w:start w:val="1"/>
      <w:numFmt w:val="bullet"/>
      <w:lvlText w:val=""/>
      <w:lvlJc w:val="left"/>
      <w:pPr>
        <w:ind w:left="2880" w:hanging="360"/>
      </w:pPr>
      <w:rPr>
        <w:rFonts w:ascii="Symbol" w:hAnsi="Symbol" w:hint="default"/>
      </w:rPr>
    </w:lvl>
    <w:lvl w:ilvl="4" w:tplc="8A1AAD64" w:tentative="1">
      <w:start w:val="1"/>
      <w:numFmt w:val="bullet"/>
      <w:lvlText w:val="o"/>
      <w:lvlJc w:val="left"/>
      <w:pPr>
        <w:ind w:left="3600" w:hanging="360"/>
      </w:pPr>
      <w:rPr>
        <w:rFonts w:ascii="Courier New" w:hAnsi="Courier New" w:cs="Courier New" w:hint="default"/>
      </w:rPr>
    </w:lvl>
    <w:lvl w:ilvl="5" w:tplc="4B56AAE8" w:tentative="1">
      <w:start w:val="1"/>
      <w:numFmt w:val="bullet"/>
      <w:lvlText w:val=""/>
      <w:lvlJc w:val="left"/>
      <w:pPr>
        <w:ind w:left="4320" w:hanging="360"/>
      </w:pPr>
      <w:rPr>
        <w:rFonts w:ascii="Wingdings" w:hAnsi="Wingdings" w:hint="default"/>
      </w:rPr>
    </w:lvl>
    <w:lvl w:ilvl="6" w:tplc="083E95B8" w:tentative="1">
      <w:start w:val="1"/>
      <w:numFmt w:val="bullet"/>
      <w:lvlText w:val=""/>
      <w:lvlJc w:val="left"/>
      <w:pPr>
        <w:ind w:left="5040" w:hanging="360"/>
      </w:pPr>
      <w:rPr>
        <w:rFonts w:ascii="Symbol" w:hAnsi="Symbol" w:hint="default"/>
      </w:rPr>
    </w:lvl>
    <w:lvl w:ilvl="7" w:tplc="2800E622" w:tentative="1">
      <w:start w:val="1"/>
      <w:numFmt w:val="bullet"/>
      <w:lvlText w:val="o"/>
      <w:lvlJc w:val="left"/>
      <w:pPr>
        <w:ind w:left="5760" w:hanging="360"/>
      </w:pPr>
      <w:rPr>
        <w:rFonts w:ascii="Courier New" w:hAnsi="Courier New" w:cs="Courier New" w:hint="default"/>
      </w:rPr>
    </w:lvl>
    <w:lvl w:ilvl="8" w:tplc="500653A2" w:tentative="1">
      <w:start w:val="1"/>
      <w:numFmt w:val="bullet"/>
      <w:lvlText w:val=""/>
      <w:lvlJc w:val="left"/>
      <w:pPr>
        <w:ind w:left="6480" w:hanging="360"/>
      </w:pPr>
      <w:rPr>
        <w:rFonts w:ascii="Wingdings" w:hAnsi="Wingdings" w:hint="default"/>
      </w:rPr>
    </w:lvl>
  </w:abstractNum>
  <w:abstractNum w:abstractNumId="3">
    <w:nsid w:val="4AE73CEB"/>
    <w:multiLevelType w:val="hybridMultilevel"/>
    <w:tmpl w:val="4AE73CEB"/>
    <w:lvl w:ilvl="0" w:tplc="3DC4D60E">
      <w:start w:val="1"/>
      <w:numFmt w:val="bullet"/>
      <w:lvlText w:val=""/>
      <w:lvlJc w:val="left"/>
      <w:pPr>
        <w:tabs>
          <w:tab w:val="num" w:pos="720"/>
        </w:tabs>
        <w:ind w:left="720" w:hanging="720"/>
      </w:pPr>
      <w:rPr>
        <w:rFonts w:ascii="Symbol" w:hAnsi="Symbol"/>
      </w:rPr>
    </w:lvl>
    <w:lvl w:ilvl="1" w:tplc="7DDCE7C2">
      <w:start w:val="1"/>
      <w:numFmt w:val="bullet"/>
      <w:lvlText w:val="o"/>
      <w:lvlJc w:val="left"/>
      <w:pPr>
        <w:tabs>
          <w:tab w:val="num" w:pos="1440"/>
        </w:tabs>
        <w:ind w:left="1440" w:hanging="360"/>
      </w:pPr>
      <w:rPr>
        <w:rFonts w:ascii="Courier New" w:hAnsi="Courier New"/>
      </w:rPr>
    </w:lvl>
    <w:lvl w:ilvl="2" w:tplc="8954CB04">
      <w:start w:val="1"/>
      <w:numFmt w:val="bullet"/>
      <w:lvlText w:val=""/>
      <w:lvlJc w:val="left"/>
      <w:pPr>
        <w:tabs>
          <w:tab w:val="num" w:pos="2160"/>
        </w:tabs>
        <w:ind w:left="2160" w:hanging="360"/>
      </w:pPr>
      <w:rPr>
        <w:rFonts w:ascii="Wingdings" w:hAnsi="Wingdings"/>
      </w:rPr>
    </w:lvl>
    <w:lvl w:ilvl="3" w:tplc="D554848A">
      <w:start w:val="1"/>
      <w:numFmt w:val="bullet"/>
      <w:lvlText w:val=""/>
      <w:lvlJc w:val="left"/>
      <w:pPr>
        <w:tabs>
          <w:tab w:val="num" w:pos="2880"/>
        </w:tabs>
        <w:ind w:left="2880" w:hanging="360"/>
      </w:pPr>
      <w:rPr>
        <w:rFonts w:ascii="Symbol" w:hAnsi="Symbol"/>
      </w:rPr>
    </w:lvl>
    <w:lvl w:ilvl="4" w:tplc="4A9C94DA">
      <w:start w:val="1"/>
      <w:numFmt w:val="bullet"/>
      <w:lvlText w:val="o"/>
      <w:lvlJc w:val="left"/>
      <w:pPr>
        <w:tabs>
          <w:tab w:val="num" w:pos="3600"/>
        </w:tabs>
        <w:ind w:left="3600" w:hanging="360"/>
      </w:pPr>
      <w:rPr>
        <w:rFonts w:ascii="Courier New" w:hAnsi="Courier New"/>
      </w:rPr>
    </w:lvl>
    <w:lvl w:ilvl="5" w:tplc="E17E4A5E">
      <w:start w:val="1"/>
      <w:numFmt w:val="bullet"/>
      <w:lvlText w:val=""/>
      <w:lvlJc w:val="left"/>
      <w:pPr>
        <w:tabs>
          <w:tab w:val="num" w:pos="4320"/>
        </w:tabs>
        <w:ind w:left="4320" w:hanging="360"/>
      </w:pPr>
      <w:rPr>
        <w:rFonts w:ascii="Wingdings" w:hAnsi="Wingdings"/>
      </w:rPr>
    </w:lvl>
    <w:lvl w:ilvl="6" w:tplc="45543208">
      <w:start w:val="1"/>
      <w:numFmt w:val="bullet"/>
      <w:lvlText w:val=""/>
      <w:lvlJc w:val="left"/>
      <w:pPr>
        <w:tabs>
          <w:tab w:val="num" w:pos="5040"/>
        </w:tabs>
        <w:ind w:left="5040" w:hanging="360"/>
      </w:pPr>
      <w:rPr>
        <w:rFonts w:ascii="Symbol" w:hAnsi="Symbol"/>
      </w:rPr>
    </w:lvl>
    <w:lvl w:ilvl="7" w:tplc="D6087B72">
      <w:start w:val="1"/>
      <w:numFmt w:val="bullet"/>
      <w:lvlText w:val="o"/>
      <w:lvlJc w:val="left"/>
      <w:pPr>
        <w:tabs>
          <w:tab w:val="num" w:pos="5760"/>
        </w:tabs>
        <w:ind w:left="5760" w:hanging="360"/>
      </w:pPr>
      <w:rPr>
        <w:rFonts w:ascii="Courier New" w:hAnsi="Courier New"/>
      </w:rPr>
    </w:lvl>
    <w:lvl w:ilvl="8" w:tplc="3F865E02">
      <w:start w:val="1"/>
      <w:numFmt w:val="bullet"/>
      <w:lvlText w:val=""/>
      <w:lvlJc w:val="left"/>
      <w:pPr>
        <w:tabs>
          <w:tab w:val="num" w:pos="6480"/>
        </w:tabs>
        <w:ind w:left="6480" w:hanging="360"/>
      </w:pPr>
      <w:rPr>
        <w:rFonts w:ascii="Wingdings" w:hAnsi="Wingdings"/>
      </w:rPr>
    </w:lvl>
  </w:abstractNum>
  <w:abstractNum w:abstractNumId="4">
    <w:nsid w:val="50521F35"/>
    <w:multiLevelType w:val="hybridMultilevel"/>
    <w:tmpl w:val="F70AE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978"/>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7FF"/>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3A1"/>
    <w:rsid w:val="00402880"/>
    <w:rsid w:val="00402A93"/>
    <w:rsid w:val="004038EC"/>
    <w:rsid w:val="004047ED"/>
    <w:rsid w:val="00405AA7"/>
    <w:rsid w:val="00405D4D"/>
    <w:rsid w:val="00405D54"/>
    <w:rsid w:val="0041023A"/>
    <w:rsid w:val="00412BF1"/>
    <w:rsid w:val="00413C9F"/>
    <w:rsid w:val="00414A5A"/>
    <w:rsid w:val="00415E14"/>
    <w:rsid w:val="00417D58"/>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B7474"/>
    <w:rsid w:val="007C1079"/>
    <w:rsid w:val="007C13A6"/>
    <w:rsid w:val="007C2053"/>
    <w:rsid w:val="007C2155"/>
    <w:rsid w:val="007C3C0C"/>
    <w:rsid w:val="007C4630"/>
    <w:rsid w:val="007C594E"/>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9F"/>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9F"/>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2CD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076"/>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AE1"/>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D2EC93F5-D738-48B5-B29A-2A3103B5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Corporate Secretariat</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2023-04-14T08:08:00Z</dcterms:created>
  <dcterms:modified xsi:type="dcterms:W3CDTF">2023-04-14T08:08:00Z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