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B0" w:rsidRPr="00B96E7F" w:rsidRDefault="007743B0" w:rsidP="00B96E7F">
      <w:pPr>
        <w:spacing w:line="240" w:lineRule="auto"/>
        <w:jc w:val="both"/>
        <w:rPr>
          <w:rFonts w:ascii="Arial" w:hAnsi="Arial" w:cs="Arial"/>
          <w:b/>
          <w:szCs w:val="24"/>
          <w:lang w:val="fr-FR"/>
        </w:rPr>
      </w:pPr>
      <w:r w:rsidRPr="00244C8D">
        <w:rPr>
          <w:rFonts w:ascii="Arial" w:hAnsi="Arial" w:cs="Arial"/>
          <w:szCs w:val="24"/>
          <w:u w:val="single"/>
        </w:rPr>
        <w:t xml:space="preserve"> </w:t>
      </w:r>
      <w:bookmarkStart w:id="0" w:name="_GoBack"/>
      <w:bookmarkEnd w:id="0"/>
    </w:p>
    <w:p w:rsidR="007743B0" w:rsidRPr="00B239F9" w:rsidRDefault="007743B0" w:rsidP="00F32225">
      <w:pPr>
        <w:pStyle w:val="Heading6"/>
        <w:rPr>
          <w:rFonts w:cs="Arial"/>
          <w:sz w:val="22"/>
          <w:szCs w:val="22"/>
          <w:u w:val="none"/>
          <w:lang w:val="en-ZA"/>
        </w:rPr>
      </w:pPr>
      <w:r w:rsidRPr="00B239F9">
        <w:rPr>
          <w:rFonts w:cs="Arial"/>
          <w:sz w:val="22"/>
          <w:szCs w:val="22"/>
          <w:u w:val="none"/>
          <w:lang w:val="en-ZA"/>
        </w:rPr>
        <w:t xml:space="preserve">National Assembly  </w:t>
      </w:r>
    </w:p>
    <w:p w:rsidR="007743B0" w:rsidRPr="00B239F9" w:rsidRDefault="007743B0" w:rsidP="00F32225">
      <w:pPr>
        <w:pStyle w:val="Heading9"/>
        <w:jc w:val="both"/>
        <w:rPr>
          <w:rFonts w:cs="Arial"/>
          <w:sz w:val="22"/>
          <w:szCs w:val="22"/>
          <w:u w:val="none"/>
        </w:rPr>
      </w:pPr>
    </w:p>
    <w:p w:rsidR="007743B0" w:rsidRDefault="007743B0" w:rsidP="00F32225">
      <w:pPr>
        <w:pStyle w:val="Heading9"/>
        <w:spacing w:line="480" w:lineRule="auto"/>
        <w:jc w:val="both"/>
        <w:rPr>
          <w:rFonts w:cs="Arial"/>
          <w:sz w:val="22"/>
          <w:szCs w:val="22"/>
          <w:u w:val="none"/>
        </w:rPr>
      </w:pPr>
      <w:r w:rsidRPr="00B239F9">
        <w:rPr>
          <w:rFonts w:cs="Arial"/>
          <w:sz w:val="22"/>
          <w:szCs w:val="22"/>
          <w:u w:val="none"/>
        </w:rPr>
        <w:t xml:space="preserve">Question Number: </w:t>
      </w:r>
      <w:r>
        <w:rPr>
          <w:rFonts w:cs="Arial"/>
          <w:sz w:val="22"/>
          <w:szCs w:val="22"/>
          <w:u w:val="none"/>
        </w:rPr>
        <w:t>3313</w:t>
      </w:r>
    </w:p>
    <w:p w:rsidR="007743B0" w:rsidRDefault="007743B0" w:rsidP="00F322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Mr W M </w:t>
      </w:r>
      <w:proofErr w:type="spellStart"/>
      <w:r>
        <w:rPr>
          <w:rFonts w:ascii="Arial" w:hAnsi="Arial" w:cs="Arial"/>
          <w:b/>
        </w:rPr>
        <w:t>Madisha</w:t>
      </w:r>
      <w:proofErr w:type="spellEnd"/>
      <w:r>
        <w:rPr>
          <w:rFonts w:ascii="Arial" w:hAnsi="Arial" w:cs="Arial"/>
          <w:b/>
        </w:rPr>
        <w:t xml:space="preserve"> </w:t>
      </w:r>
      <w:r w:rsidRPr="00F32225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Cope</w:t>
      </w:r>
      <w:r w:rsidRPr="00F32225">
        <w:rPr>
          <w:rFonts w:ascii="Arial" w:hAnsi="Arial" w:cs="Arial"/>
          <w:b/>
        </w:rPr>
        <w:t>) asks the Minister of Transport:</w:t>
      </w:r>
    </w:p>
    <w:p w:rsidR="007743B0" w:rsidRPr="00834548" w:rsidRDefault="007743B0" w:rsidP="00834548">
      <w:pPr>
        <w:spacing w:line="240" w:lineRule="auto"/>
        <w:jc w:val="both"/>
        <w:rPr>
          <w:rFonts w:ascii="Arial" w:hAnsi="Arial" w:cs="Arial"/>
        </w:rPr>
      </w:pPr>
      <w:r w:rsidRPr="00834548">
        <w:rPr>
          <w:rFonts w:ascii="Arial" w:hAnsi="Arial" w:cs="Arial"/>
        </w:rPr>
        <w:t>Whether the Government has effective measures in place to ensure that fatalities and serious injuries on the road as a result of crashes (details furnished) are declining substantially and progressively on a year-on year basis, if, so by what number and percentage were serious injuries and accidents declining on our roads annually during the period 30 June 2010 to 30 June 2015</w:t>
      </w:r>
      <w:r>
        <w:rPr>
          <w:rFonts w:ascii="Arial" w:hAnsi="Arial" w:cs="Arial"/>
        </w:rPr>
        <w:t>?</w:t>
      </w:r>
    </w:p>
    <w:p w:rsidR="007743B0" w:rsidRDefault="007743B0" w:rsidP="00834548">
      <w:pPr>
        <w:spacing w:line="240" w:lineRule="auto"/>
        <w:jc w:val="both"/>
        <w:rPr>
          <w:rFonts w:ascii="Arial" w:hAnsi="Arial" w:cs="Arial"/>
        </w:rPr>
      </w:pPr>
    </w:p>
    <w:p w:rsidR="007743B0" w:rsidRPr="00834548" w:rsidRDefault="007743B0" w:rsidP="00834548">
      <w:pPr>
        <w:spacing w:line="240" w:lineRule="auto"/>
        <w:jc w:val="both"/>
        <w:rPr>
          <w:rFonts w:ascii="Arial" w:hAnsi="Arial" w:cs="Arial"/>
          <w:b/>
        </w:rPr>
      </w:pPr>
      <w:r w:rsidRPr="00834548">
        <w:rPr>
          <w:rFonts w:ascii="Arial" w:hAnsi="Arial" w:cs="Arial"/>
          <w:b/>
        </w:rPr>
        <w:t>Answer:</w:t>
      </w:r>
    </w:p>
    <w:p w:rsidR="007743B0" w:rsidRPr="00834548" w:rsidRDefault="007743B0" w:rsidP="00834548">
      <w:pPr>
        <w:spacing w:line="240" w:lineRule="auto"/>
        <w:jc w:val="both"/>
        <w:rPr>
          <w:rFonts w:ascii="Arial" w:hAnsi="Arial" w:cs="Arial"/>
        </w:rPr>
      </w:pPr>
      <w:r w:rsidRPr="00834548">
        <w:rPr>
          <w:rFonts w:ascii="Arial" w:hAnsi="Arial" w:cs="Arial"/>
        </w:rPr>
        <w:t>The Government is implementing a 365 days road safety plan to reduce fatalities and serious injuries on the roads. Through the implementation of this plan</w:t>
      </w:r>
      <w:r>
        <w:rPr>
          <w:rFonts w:ascii="Arial" w:hAnsi="Arial" w:cs="Arial"/>
        </w:rPr>
        <w:t>,</w:t>
      </w:r>
      <w:r w:rsidRPr="00834548">
        <w:rPr>
          <w:rFonts w:ascii="Arial" w:hAnsi="Arial" w:cs="Arial"/>
        </w:rPr>
        <w:t xml:space="preserve"> which includes road safety education, law enforcement, road engineering and evaluation we have seen a progressive year-on-year decline in road fatalities.</w:t>
      </w:r>
    </w:p>
    <w:p w:rsidR="007743B0" w:rsidRPr="00834548" w:rsidRDefault="007743B0" w:rsidP="00834548">
      <w:pPr>
        <w:pStyle w:val="ListParagraph"/>
        <w:spacing w:line="240" w:lineRule="auto"/>
        <w:jc w:val="both"/>
        <w:rPr>
          <w:rFonts w:ascii="Arial" w:hAnsi="Arial" w:cs="Arial"/>
        </w:rPr>
      </w:pPr>
    </w:p>
    <w:tbl>
      <w:tblPr>
        <w:tblW w:w="7962" w:type="dxa"/>
        <w:tblInd w:w="793" w:type="dxa"/>
        <w:tblLook w:val="00A0"/>
      </w:tblPr>
      <w:tblGrid>
        <w:gridCol w:w="1583"/>
        <w:gridCol w:w="1782"/>
        <w:gridCol w:w="1599"/>
        <w:gridCol w:w="1439"/>
        <w:gridCol w:w="1559"/>
      </w:tblGrid>
      <w:tr w:rsidR="007743B0" w:rsidRPr="00563AE3" w:rsidTr="003C216F">
        <w:trPr>
          <w:trHeight w:val="441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7743B0" w:rsidRPr="00563AE3" w:rsidRDefault="007743B0" w:rsidP="003C216F">
            <w:pPr>
              <w:spacing w:after="0" w:line="360" w:lineRule="auto"/>
              <w:jc w:val="center"/>
              <w:rPr>
                <w:b/>
                <w:bCs/>
                <w:color w:val="000000"/>
                <w:lang w:val="en-GB" w:eastAsia="en-ZA"/>
              </w:rPr>
            </w:pPr>
            <w:r w:rsidRPr="00563AE3">
              <w:rPr>
                <w:b/>
                <w:bCs/>
                <w:color w:val="000000"/>
                <w:lang w:val="en-GB" w:eastAsia="en-ZA"/>
              </w:rPr>
              <w:t>Year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7743B0" w:rsidRPr="00563AE3" w:rsidRDefault="007743B0" w:rsidP="003C216F">
            <w:pPr>
              <w:spacing w:after="0" w:line="360" w:lineRule="auto"/>
              <w:rPr>
                <w:b/>
                <w:bCs/>
                <w:color w:val="000000"/>
                <w:lang w:val="en-GB" w:eastAsia="en-ZA"/>
              </w:rPr>
            </w:pPr>
            <w:r w:rsidRPr="00563AE3">
              <w:rPr>
                <w:b/>
                <w:bCs/>
                <w:color w:val="000000"/>
                <w:lang w:val="en-GB" w:eastAsia="en-ZA"/>
              </w:rPr>
              <w:t>Fatal Crashes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743B0" w:rsidRPr="00563AE3" w:rsidRDefault="007743B0" w:rsidP="003C216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63AE3">
              <w:rPr>
                <w:b/>
                <w:bCs/>
                <w:color w:val="000000"/>
              </w:rPr>
              <w:t>Percentage Increase/</w:t>
            </w:r>
          </w:p>
          <w:p w:rsidR="007743B0" w:rsidRPr="00563AE3" w:rsidRDefault="007743B0" w:rsidP="003C216F">
            <w:pPr>
              <w:spacing w:after="0" w:line="360" w:lineRule="auto"/>
              <w:rPr>
                <w:b/>
                <w:bCs/>
                <w:color w:val="000000"/>
                <w:lang w:val="en-GB" w:eastAsia="en-ZA"/>
              </w:rPr>
            </w:pPr>
            <w:r w:rsidRPr="00563AE3">
              <w:rPr>
                <w:b/>
                <w:bCs/>
                <w:color w:val="000000"/>
              </w:rPr>
              <w:t>Decrease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7743B0" w:rsidRPr="00563AE3" w:rsidRDefault="007743B0" w:rsidP="003C216F">
            <w:pPr>
              <w:spacing w:after="0" w:line="360" w:lineRule="auto"/>
              <w:jc w:val="center"/>
              <w:rPr>
                <w:b/>
                <w:bCs/>
                <w:color w:val="000000"/>
                <w:lang w:val="en-GB" w:eastAsia="en-ZA"/>
              </w:rPr>
            </w:pPr>
            <w:r w:rsidRPr="00563AE3">
              <w:rPr>
                <w:b/>
                <w:bCs/>
                <w:color w:val="000000"/>
                <w:lang w:val="en-GB" w:eastAsia="en-ZA"/>
              </w:rPr>
              <w:t>Fatalities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743B0" w:rsidRPr="00563AE3" w:rsidRDefault="007743B0" w:rsidP="003C216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63AE3">
              <w:rPr>
                <w:b/>
                <w:bCs/>
                <w:color w:val="000000"/>
              </w:rPr>
              <w:t>Percentage Increase/</w:t>
            </w:r>
          </w:p>
          <w:p w:rsidR="007743B0" w:rsidRPr="00563AE3" w:rsidRDefault="007743B0" w:rsidP="003C216F">
            <w:pPr>
              <w:spacing w:after="0" w:line="360" w:lineRule="auto"/>
              <w:rPr>
                <w:b/>
                <w:bCs/>
                <w:color w:val="000000"/>
                <w:lang w:val="en-GB" w:eastAsia="en-ZA"/>
              </w:rPr>
            </w:pPr>
            <w:r w:rsidRPr="00563AE3">
              <w:rPr>
                <w:b/>
                <w:bCs/>
                <w:color w:val="000000"/>
              </w:rPr>
              <w:t>Decrease</w:t>
            </w:r>
          </w:p>
        </w:tc>
      </w:tr>
      <w:tr w:rsidR="007743B0" w:rsidRPr="00563AE3" w:rsidTr="003C216F">
        <w:trPr>
          <w:trHeight w:val="441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0" w:rsidRPr="00563AE3" w:rsidRDefault="007743B0" w:rsidP="003C216F">
            <w:pPr>
              <w:spacing w:after="0" w:line="360" w:lineRule="auto"/>
              <w:jc w:val="center"/>
              <w:rPr>
                <w:b/>
                <w:bCs/>
                <w:color w:val="000000"/>
                <w:lang w:val="en-GB" w:eastAsia="en-ZA"/>
              </w:rPr>
            </w:pPr>
            <w:r w:rsidRPr="00563AE3">
              <w:rPr>
                <w:b/>
                <w:bCs/>
                <w:color w:val="000000"/>
                <w:lang w:val="en-GB" w:eastAsia="en-ZA"/>
              </w:rPr>
              <w:t>2010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0" w:rsidRPr="00563AE3" w:rsidRDefault="007743B0" w:rsidP="003C216F">
            <w:pPr>
              <w:spacing w:after="0" w:line="360" w:lineRule="auto"/>
              <w:jc w:val="center"/>
              <w:rPr>
                <w:color w:val="000000"/>
                <w:lang w:val="en-GB" w:eastAsia="en-ZA"/>
              </w:rPr>
            </w:pPr>
            <w:r w:rsidRPr="00563AE3">
              <w:rPr>
                <w:color w:val="000000"/>
                <w:lang w:val="en-GB" w:eastAsia="en-ZA"/>
              </w:rPr>
              <w:t>10 837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43B0" w:rsidRPr="00563AE3" w:rsidRDefault="007743B0" w:rsidP="003C216F">
            <w:pPr>
              <w:spacing w:after="0" w:line="360" w:lineRule="auto"/>
              <w:jc w:val="center"/>
              <w:rPr>
                <w:color w:val="000000"/>
                <w:lang w:val="en-GB" w:eastAsia="en-Z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0" w:rsidRPr="00563AE3" w:rsidRDefault="007743B0" w:rsidP="003C216F">
            <w:pPr>
              <w:spacing w:after="0" w:line="360" w:lineRule="auto"/>
              <w:jc w:val="center"/>
              <w:rPr>
                <w:color w:val="000000"/>
                <w:lang w:val="en-GB" w:eastAsia="en-ZA"/>
              </w:rPr>
            </w:pPr>
            <w:r w:rsidRPr="00563AE3">
              <w:rPr>
                <w:color w:val="000000"/>
                <w:lang w:val="en-GB" w:eastAsia="en-ZA"/>
              </w:rPr>
              <w:t>13 967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743B0" w:rsidRPr="00563AE3" w:rsidRDefault="007743B0" w:rsidP="003C216F">
            <w:pPr>
              <w:spacing w:after="0" w:line="360" w:lineRule="auto"/>
              <w:jc w:val="center"/>
              <w:rPr>
                <w:color w:val="000000"/>
                <w:lang w:val="en-GB" w:eastAsia="en-ZA"/>
              </w:rPr>
            </w:pPr>
          </w:p>
        </w:tc>
      </w:tr>
      <w:tr w:rsidR="007743B0" w:rsidRPr="00563AE3" w:rsidTr="003C216F">
        <w:trPr>
          <w:trHeight w:val="441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0" w:rsidRPr="00563AE3" w:rsidRDefault="007743B0" w:rsidP="003C216F">
            <w:pPr>
              <w:spacing w:after="0" w:line="360" w:lineRule="auto"/>
              <w:jc w:val="center"/>
              <w:rPr>
                <w:b/>
                <w:bCs/>
                <w:color w:val="000000"/>
                <w:lang w:val="en-GB" w:eastAsia="en-ZA"/>
              </w:rPr>
            </w:pPr>
            <w:r w:rsidRPr="00563AE3">
              <w:rPr>
                <w:b/>
                <w:bCs/>
                <w:color w:val="000000"/>
                <w:lang w:val="en-GB" w:eastAsia="en-ZA"/>
              </w:rPr>
              <w:t>2011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0" w:rsidRPr="00563AE3" w:rsidRDefault="007743B0" w:rsidP="003C216F">
            <w:pPr>
              <w:spacing w:after="0" w:line="360" w:lineRule="auto"/>
              <w:jc w:val="center"/>
              <w:rPr>
                <w:color w:val="000000"/>
                <w:lang w:val="en-GB" w:eastAsia="en-ZA"/>
              </w:rPr>
            </w:pPr>
            <w:r w:rsidRPr="00563AE3">
              <w:rPr>
                <w:color w:val="000000"/>
                <w:lang w:val="en-GB" w:eastAsia="en-ZA"/>
              </w:rPr>
              <w:t>11 228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3B0" w:rsidRPr="00563AE3" w:rsidRDefault="007743B0" w:rsidP="003C216F">
            <w:pPr>
              <w:spacing w:after="0" w:line="360" w:lineRule="auto"/>
              <w:jc w:val="center"/>
              <w:rPr>
                <w:b/>
                <w:color w:val="000000"/>
                <w:lang w:val="en-GB" w:eastAsia="en-ZA"/>
              </w:rPr>
            </w:pPr>
            <w:r w:rsidRPr="00563AE3">
              <w:rPr>
                <w:b/>
                <w:color w:val="000000"/>
                <w:lang w:val="en-GB" w:eastAsia="en-ZA"/>
              </w:rPr>
              <w:t>3,61%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0" w:rsidRPr="00563AE3" w:rsidRDefault="007743B0" w:rsidP="003C216F">
            <w:pPr>
              <w:spacing w:after="0" w:line="360" w:lineRule="auto"/>
              <w:jc w:val="center"/>
              <w:rPr>
                <w:color w:val="000000"/>
                <w:lang w:val="en-GB" w:eastAsia="en-ZA"/>
              </w:rPr>
            </w:pPr>
            <w:r w:rsidRPr="00563AE3">
              <w:rPr>
                <w:color w:val="000000"/>
                <w:lang w:val="en-GB" w:eastAsia="en-ZA"/>
              </w:rPr>
              <w:t>13 954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B0" w:rsidRPr="00563AE3" w:rsidRDefault="007743B0" w:rsidP="003C216F">
            <w:pPr>
              <w:spacing w:after="0" w:line="360" w:lineRule="auto"/>
              <w:jc w:val="center"/>
              <w:rPr>
                <w:b/>
                <w:color w:val="000000"/>
                <w:lang w:val="en-GB" w:eastAsia="en-ZA"/>
              </w:rPr>
            </w:pPr>
            <w:r w:rsidRPr="00563AE3">
              <w:rPr>
                <w:b/>
                <w:color w:val="000000"/>
                <w:lang w:val="en-GB" w:eastAsia="en-ZA"/>
              </w:rPr>
              <w:t>-0,09%</w:t>
            </w:r>
          </w:p>
        </w:tc>
      </w:tr>
      <w:tr w:rsidR="007743B0" w:rsidRPr="00563AE3" w:rsidTr="003C216F">
        <w:trPr>
          <w:trHeight w:val="441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0" w:rsidRPr="00563AE3" w:rsidRDefault="007743B0" w:rsidP="003C216F">
            <w:pPr>
              <w:spacing w:after="0" w:line="360" w:lineRule="auto"/>
              <w:jc w:val="center"/>
              <w:rPr>
                <w:b/>
                <w:bCs/>
                <w:color w:val="000000"/>
                <w:lang w:val="en-GB" w:eastAsia="en-ZA"/>
              </w:rPr>
            </w:pPr>
            <w:r w:rsidRPr="00563AE3">
              <w:rPr>
                <w:b/>
                <w:bCs/>
                <w:color w:val="000000"/>
                <w:lang w:val="en-GB" w:eastAsia="en-ZA"/>
              </w:rPr>
              <w:t>2012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0" w:rsidRPr="00563AE3" w:rsidRDefault="007743B0" w:rsidP="003C216F">
            <w:pPr>
              <w:spacing w:after="0" w:line="360" w:lineRule="auto"/>
              <w:jc w:val="center"/>
              <w:rPr>
                <w:color w:val="000000"/>
                <w:lang w:val="en-GB" w:eastAsia="en-ZA"/>
              </w:rPr>
            </w:pPr>
            <w:r w:rsidRPr="00563AE3">
              <w:rPr>
                <w:color w:val="000000"/>
                <w:lang w:val="en-GB" w:eastAsia="en-ZA"/>
              </w:rPr>
              <w:t>10 977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3B0" w:rsidRPr="00563AE3" w:rsidRDefault="007743B0" w:rsidP="003C216F">
            <w:pPr>
              <w:spacing w:after="0" w:line="360" w:lineRule="auto"/>
              <w:jc w:val="center"/>
              <w:rPr>
                <w:b/>
                <w:color w:val="000000"/>
                <w:lang w:val="en-GB" w:eastAsia="en-ZA"/>
              </w:rPr>
            </w:pPr>
            <w:r w:rsidRPr="00563AE3">
              <w:rPr>
                <w:b/>
                <w:color w:val="000000"/>
                <w:lang w:val="en-GB" w:eastAsia="en-ZA"/>
              </w:rPr>
              <w:t>-2,24%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0" w:rsidRPr="00563AE3" w:rsidRDefault="007743B0" w:rsidP="003C216F">
            <w:pPr>
              <w:spacing w:after="0" w:line="360" w:lineRule="auto"/>
              <w:jc w:val="center"/>
              <w:rPr>
                <w:color w:val="000000"/>
                <w:lang w:val="en-GB" w:eastAsia="en-ZA"/>
              </w:rPr>
            </w:pPr>
            <w:r w:rsidRPr="00563AE3">
              <w:rPr>
                <w:color w:val="000000"/>
                <w:lang w:val="en-GB" w:eastAsia="en-ZA"/>
              </w:rPr>
              <w:t>13 528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B0" w:rsidRPr="00563AE3" w:rsidRDefault="007743B0" w:rsidP="003C216F">
            <w:pPr>
              <w:spacing w:after="0" w:line="360" w:lineRule="auto"/>
              <w:jc w:val="center"/>
              <w:rPr>
                <w:b/>
                <w:color w:val="000000"/>
                <w:lang w:val="en-GB" w:eastAsia="en-ZA"/>
              </w:rPr>
            </w:pPr>
            <w:r w:rsidRPr="00563AE3">
              <w:rPr>
                <w:b/>
                <w:color w:val="000000"/>
                <w:lang w:val="en-GB" w:eastAsia="en-ZA"/>
              </w:rPr>
              <w:t>-3,05%</w:t>
            </w:r>
          </w:p>
        </w:tc>
      </w:tr>
      <w:tr w:rsidR="007743B0" w:rsidRPr="00563AE3" w:rsidTr="003C216F">
        <w:trPr>
          <w:trHeight w:val="441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0" w:rsidRPr="00563AE3" w:rsidRDefault="007743B0" w:rsidP="003C216F">
            <w:pPr>
              <w:spacing w:after="0" w:line="360" w:lineRule="auto"/>
              <w:jc w:val="center"/>
              <w:rPr>
                <w:b/>
                <w:bCs/>
                <w:color w:val="000000"/>
                <w:lang w:val="en-GB" w:eastAsia="en-ZA"/>
              </w:rPr>
            </w:pPr>
            <w:r w:rsidRPr="00563AE3">
              <w:rPr>
                <w:b/>
                <w:bCs/>
                <w:color w:val="000000"/>
                <w:lang w:val="en-GB" w:eastAsia="en-ZA"/>
              </w:rPr>
              <w:t>2013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0" w:rsidRPr="00563AE3" w:rsidRDefault="007743B0" w:rsidP="003C216F">
            <w:pPr>
              <w:spacing w:after="0" w:line="360" w:lineRule="auto"/>
              <w:jc w:val="center"/>
              <w:rPr>
                <w:color w:val="000000"/>
                <w:lang w:val="en-GB" w:eastAsia="en-ZA"/>
              </w:rPr>
            </w:pPr>
            <w:r w:rsidRPr="00563AE3">
              <w:rPr>
                <w:color w:val="000000"/>
                <w:lang w:val="en-GB" w:eastAsia="en-ZA"/>
              </w:rPr>
              <w:t>10 170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3B0" w:rsidRPr="00563AE3" w:rsidRDefault="007743B0" w:rsidP="003C216F">
            <w:pPr>
              <w:spacing w:after="0" w:line="360" w:lineRule="auto"/>
              <w:jc w:val="center"/>
              <w:rPr>
                <w:b/>
                <w:color w:val="000000"/>
                <w:lang w:val="en-GB" w:eastAsia="en-ZA"/>
              </w:rPr>
            </w:pPr>
            <w:r w:rsidRPr="00563AE3">
              <w:rPr>
                <w:b/>
                <w:color w:val="000000"/>
                <w:lang w:val="en-GB" w:eastAsia="en-ZA"/>
              </w:rPr>
              <w:t>-7,35%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0" w:rsidRPr="00563AE3" w:rsidRDefault="007743B0" w:rsidP="003C216F">
            <w:pPr>
              <w:spacing w:after="0" w:line="360" w:lineRule="auto"/>
              <w:jc w:val="center"/>
              <w:rPr>
                <w:color w:val="000000"/>
                <w:lang w:val="en-GB" w:eastAsia="en-ZA"/>
              </w:rPr>
            </w:pPr>
            <w:r w:rsidRPr="00563AE3">
              <w:rPr>
                <w:color w:val="000000"/>
                <w:lang w:val="en-GB" w:eastAsia="en-ZA"/>
              </w:rPr>
              <w:t>11 844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B0" w:rsidRPr="00563AE3" w:rsidRDefault="007743B0" w:rsidP="003C216F">
            <w:pPr>
              <w:spacing w:after="0" w:line="360" w:lineRule="auto"/>
              <w:jc w:val="center"/>
              <w:rPr>
                <w:b/>
                <w:color w:val="000000"/>
                <w:lang w:val="en-GB" w:eastAsia="en-ZA"/>
              </w:rPr>
            </w:pPr>
            <w:r w:rsidRPr="00563AE3">
              <w:rPr>
                <w:b/>
                <w:color w:val="000000"/>
                <w:lang w:val="en-GB" w:eastAsia="en-ZA"/>
              </w:rPr>
              <w:t>-12,45%</w:t>
            </w:r>
          </w:p>
        </w:tc>
      </w:tr>
      <w:tr w:rsidR="007743B0" w:rsidRPr="00563AE3" w:rsidTr="003C216F">
        <w:trPr>
          <w:trHeight w:val="441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0" w:rsidRPr="00563AE3" w:rsidRDefault="007743B0" w:rsidP="003C216F">
            <w:pPr>
              <w:spacing w:after="0" w:line="360" w:lineRule="auto"/>
              <w:jc w:val="center"/>
              <w:rPr>
                <w:b/>
                <w:bCs/>
                <w:color w:val="000000"/>
                <w:lang w:val="en-GB" w:eastAsia="en-ZA"/>
              </w:rPr>
            </w:pPr>
            <w:r w:rsidRPr="00563AE3">
              <w:rPr>
                <w:b/>
                <w:bCs/>
                <w:color w:val="000000"/>
                <w:lang w:val="en-GB" w:eastAsia="en-ZA"/>
              </w:rPr>
              <w:t>2014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0" w:rsidRPr="00563AE3" w:rsidRDefault="007743B0" w:rsidP="003C216F">
            <w:pPr>
              <w:spacing w:after="0" w:line="360" w:lineRule="auto"/>
              <w:jc w:val="center"/>
              <w:rPr>
                <w:color w:val="000000"/>
                <w:lang w:val="en-GB" w:eastAsia="en-ZA"/>
              </w:rPr>
            </w:pPr>
            <w:r w:rsidRPr="00563AE3">
              <w:rPr>
                <w:color w:val="000000"/>
                <w:lang w:val="en-GB" w:eastAsia="en-ZA"/>
              </w:rPr>
              <w:t>10 367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3B0" w:rsidRPr="00563AE3" w:rsidRDefault="007743B0" w:rsidP="003C216F">
            <w:pPr>
              <w:spacing w:after="0" w:line="360" w:lineRule="auto"/>
              <w:jc w:val="center"/>
              <w:rPr>
                <w:b/>
                <w:color w:val="000000"/>
                <w:lang w:val="en-GB" w:eastAsia="en-ZA"/>
              </w:rPr>
            </w:pPr>
            <w:r w:rsidRPr="00563AE3">
              <w:rPr>
                <w:b/>
                <w:color w:val="000000"/>
                <w:lang w:val="en-GB" w:eastAsia="en-ZA"/>
              </w:rPr>
              <w:t>1,94%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0" w:rsidRPr="00563AE3" w:rsidRDefault="007743B0" w:rsidP="003C216F">
            <w:pPr>
              <w:spacing w:after="0" w:line="360" w:lineRule="auto"/>
              <w:jc w:val="center"/>
              <w:rPr>
                <w:color w:val="000000"/>
                <w:lang w:val="en-GB" w:eastAsia="en-ZA"/>
              </w:rPr>
            </w:pPr>
            <w:r w:rsidRPr="00563AE3">
              <w:rPr>
                <w:color w:val="000000"/>
                <w:lang w:val="en-GB" w:eastAsia="en-ZA"/>
              </w:rPr>
              <w:t>12 702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B0" w:rsidRPr="00563AE3" w:rsidRDefault="007743B0" w:rsidP="003C216F">
            <w:pPr>
              <w:spacing w:after="0" w:line="360" w:lineRule="auto"/>
              <w:jc w:val="center"/>
              <w:rPr>
                <w:b/>
                <w:color w:val="000000"/>
                <w:lang w:val="en-GB" w:eastAsia="en-ZA"/>
              </w:rPr>
            </w:pPr>
            <w:r w:rsidRPr="00563AE3">
              <w:rPr>
                <w:b/>
                <w:color w:val="000000"/>
                <w:lang w:val="en-GB" w:eastAsia="en-ZA"/>
              </w:rPr>
              <w:t>7,24%</w:t>
            </w:r>
          </w:p>
        </w:tc>
      </w:tr>
    </w:tbl>
    <w:p w:rsidR="007743B0" w:rsidRDefault="007743B0" w:rsidP="008900C5">
      <w:pPr>
        <w:pStyle w:val="ListParagraph"/>
        <w:spacing w:line="240" w:lineRule="auto"/>
        <w:rPr>
          <w:rFonts w:ascii="Arial" w:hAnsi="Arial" w:cs="Arial"/>
        </w:rPr>
      </w:pPr>
    </w:p>
    <w:p w:rsidR="007743B0" w:rsidRPr="000943DC" w:rsidRDefault="007743B0" w:rsidP="000943DC">
      <w:pPr>
        <w:spacing w:line="240" w:lineRule="auto"/>
        <w:rPr>
          <w:rFonts w:ascii="Arial" w:hAnsi="Arial" w:cs="Arial"/>
        </w:rPr>
      </w:pPr>
      <w:r w:rsidRPr="000943DC">
        <w:rPr>
          <w:rFonts w:ascii="Arial" w:hAnsi="Arial" w:cs="Arial"/>
        </w:rPr>
        <w:t>Figures for 2015 are still being compiled</w:t>
      </w:r>
      <w:r>
        <w:rPr>
          <w:rFonts w:ascii="Arial" w:hAnsi="Arial" w:cs="Arial"/>
        </w:rPr>
        <w:t xml:space="preserve"> and this will be followed by quality assurance</w:t>
      </w:r>
      <w:r w:rsidRPr="000943DC">
        <w:rPr>
          <w:rFonts w:ascii="Arial" w:hAnsi="Arial" w:cs="Arial"/>
        </w:rPr>
        <w:t>. These</w:t>
      </w:r>
      <w:r>
        <w:rPr>
          <w:rFonts w:ascii="Arial" w:hAnsi="Arial" w:cs="Arial"/>
        </w:rPr>
        <w:t xml:space="preserve"> figures </w:t>
      </w:r>
      <w:r w:rsidRPr="000943DC">
        <w:rPr>
          <w:rFonts w:ascii="Arial" w:hAnsi="Arial" w:cs="Arial"/>
        </w:rPr>
        <w:t>will be available</w:t>
      </w:r>
      <w:r>
        <w:rPr>
          <w:rFonts w:ascii="Arial" w:hAnsi="Arial" w:cs="Arial"/>
        </w:rPr>
        <w:t xml:space="preserve"> at </w:t>
      </w:r>
      <w:r w:rsidRPr="000943D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end of the calendar </w:t>
      </w:r>
      <w:r w:rsidRPr="000943DC">
        <w:rPr>
          <w:rFonts w:ascii="Arial" w:hAnsi="Arial" w:cs="Arial"/>
        </w:rPr>
        <w:t>year</w:t>
      </w:r>
      <w:r>
        <w:rPr>
          <w:rFonts w:ascii="Arial" w:hAnsi="Arial" w:cs="Arial"/>
        </w:rPr>
        <w:t xml:space="preserve">. </w:t>
      </w:r>
    </w:p>
    <w:sectPr w:rsidR="007743B0" w:rsidRPr="000943DC" w:rsidSect="0094265C">
      <w:footerReference w:type="default" r:id="rId7"/>
      <w:pgSz w:w="12240" w:h="15840"/>
      <w:pgMar w:top="568" w:right="117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269" w:rsidRDefault="00615269" w:rsidP="00AC77A8">
      <w:pPr>
        <w:spacing w:after="0" w:line="240" w:lineRule="auto"/>
      </w:pPr>
      <w:r>
        <w:separator/>
      </w:r>
    </w:p>
  </w:endnote>
  <w:endnote w:type="continuationSeparator" w:id="0">
    <w:p w:rsidR="00615269" w:rsidRDefault="00615269" w:rsidP="00AC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B0" w:rsidRDefault="006B541C">
    <w:pPr>
      <w:pStyle w:val="Footer"/>
      <w:jc w:val="center"/>
    </w:pPr>
    <w:fldSimple w:instr=" PAGE   \* MERGEFORMAT ">
      <w:r w:rsidR="00FF19BB">
        <w:rPr>
          <w:noProof/>
        </w:rPr>
        <w:t>1</w:t>
      </w:r>
    </w:fldSimple>
  </w:p>
  <w:p w:rsidR="007743B0" w:rsidRDefault="007743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269" w:rsidRDefault="00615269" w:rsidP="00AC77A8">
      <w:pPr>
        <w:spacing w:after="0" w:line="240" w:lineRule="auto"/>
      </w:pPr>
      <w:r>
        <w:separator/>
      </w:r>
    </w:p>
  </w:footnote>
  <w:footnote w:type="continuationSeparator" w:id="0">
    <w:p w:rsidR="00615269" w:rsidRDefault="00615269" w:rsidP="00AC7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727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43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6C611E"/>
    <w:multiLevelType w:val="hybridMultilevel"/>
    <w:tmpl w:val="1A48AE18"/>
    <w:lvl w:ilvl="0" w:tplc="04090017">
      <w:start w:val="1"/>
      <w:numFmt w:val="lowerLetter"/>
      <w:lvlText w:val="%1)"/>
      <w:lvlJc w:val="left"/>
      <w:pPr>
        <w:ind w:left="93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7">
    <w:nsid w:val="13280BAE"/>
    <w:multiLevelType w:val="hybridMultilevel"/>
    <w:tmpl w:val="93606B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2B534E"/>
    <w:multiLevelType w:val="hybridMultilevel"/>
    <w:tmpl w:val="5A9A2E3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4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7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4F685C"/>
    <w:multiLevelType w:val="hybridMultilevel"/>
    <w:tmpl w:val="7DF82C9A"/>
    <w:lvl w:ilvl="0" w:tplc="C2AA71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11C9A"/>
    <w:multiLevelType w:val="hybridMultilevel"/>
    <w:tmpl w:val="5D88929C"/>
    <w:lvl w:ilvl="0" w:tplc="D77EA8C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340DC6"/>
    <w:multiLevelType w:val="hybridMultilevel"/>
    <w:tmpl w:val="75862DDE"/>
    <w:lvl w:ilvl="0" w:tplc="826E53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04900F4"/>
    <w:multiLevelType w:val="hybridMultilevel"/>
    <w:tmpl w:val="0EC2A53E"/>
    <w:lvl w:ilvl="0" w:tplc="CABE75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="MS Minngs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012912"/>
    <w:multiLevelType w:val="hybridMultilevel"/>
    <w:tmpl w:val="55D07776"/>
    <w:lvl w:ilvl="0" w:tplc="096A8D4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610D66"/>
    <w:multiLevelType w:val="hybridMultilevel"/>
    <w:tmpl w:val="70DAE260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8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3D2A6C"/>
    <w:multiLevelType w:val="hybridMultilevel"/>
    <w:tmpl w:val="74FED2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FFD3E51"/>
    <w:multiLevelType w:val="hybridMultilevel"/>
    <w:tmpl w:val="EE68C1B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9B629554">
      <w:start w:val="1"/>
      <w:numFmt w:val="bullet"/>
      <w:lvlText w:val=""/>
      <w:lvlJc w:val="left"/>
      <w:pPr>
        <w:ind w:left="1800" w:hanging="360"/>
      </w:pPr>
      <w:rPr>
        <w:rFonts w:ascii="Wingdings" w:hAnsi="Wingdings" w:hint="default"/>
        <w:b w:val="0"/>
        <w:i w:val="0"/>
        <w:color w:val="92CDDC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3835C93"/>
    <w:multiLevelType w:val="hybridMultilevel"/>
    <w:tmpl w:val="082E1B7C"/>
    <w:lvl w:ilvl="0" w:tplc="5CC8C3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CD6912"/>
    <w:multiLevelType w:val="hybridMultilevel"/>
    <w:tmpl w:val="4ACC0C22"/>
    <w:lvl w:ilvl="0" w:tplc="5E5AFA4E">
      <w:start w:val="1"/>
      <w:numFmt w:val="decimal"/>
      <w:lvlText w:val="(%1)"/>
      <w:lvlJc w:val="left"/>
      <w:pPr>
        <w:ind w:left="930" w:hanging="57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5A07BC1"/>
    <w:multiLevelType w:val="hybridMultilevel"/>
    <w:tmpl w:val="FDBA6AFA"/>
    <w:lvl w:ilvl="0" w:tplc="22F69C8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3B11FF"/>
    <w:multiLevelType w:val="hybridMultilevel"/>
    <w:tmpl w:val="83FE168A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250533"/>
    <w:multiLevelType w:val="hybridMultilevel"/>
    <w:tmpl w:val="08B20B0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BD3A5F"/>
    <w:multiLevelType w:val="hybridMultilevel"/>
    <w:tmpl w:val="B744587A"/>
    <w:lvl w:ilvl="0" w:tplc="CABE75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7040F5"/>
    <w:multiLevelType w:val="hybridMultilevel"/>
    <w:tmpl w:val="CCAC5988"/>
    <w:lvl w:ilvl="0" w:tplc="57ACDAF0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6DA11363"/>
    <w:multiLevelType w:val="hybridMultilevel"/>
    <w:tmpl w:val="2EA27B96"/>
    <w:lvl w:ilvl="0" w:tplc="CDFA6618">
      <w:start w:val="1"/>
      <w:numFmt w:val="lowerRoman"/>
      <w:lvlText w:val="%1)"/>
      <w:lvlJc w:val="left"/>
      <w:pPr>
        <w:ind w:left="1146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1C7667"/>
    <w:multiLevelType w:val="hybridMultilevel"/>
    <w:tmpl w:val="4C4C82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7D756C1"/>
    <w:multiLevelType w:val="hybridMultilevel"/>
    <w:tmpl w:val="C1D0F11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4"/>
  </w:num>
  <w:num w:numId="5">
    <w:abstractNumId w:val="35"/>
  </w:num>
  <w:num w:numId="6">
    <w:abstractNumId w:val="43"/>
  </w:num>
  <w:num w:numId="7">
    <w:abstractNumId w:val="31"/>
  </w:num>
  <w:num w:numId="8">
    <w:abstractNumId w:val="1"/>
  </w:num>
  <w:num w:numId="9">
    <w:abstractNumId w:val="17"/>
  </w:num>
  <w:num w:numId="10">
    <w:abstractNumId w:val="12"/>
  </w:num>
  <w:num w:numId="11">
    <w:abstractNumId w:val="16"/>
  </w:num>
  <w:num w:numId="12">
    <w:abstractNumId w:val="28"/>
  </w:num>
  <w:num w:numId="13">
    <w:abstractNumId w:val="13"/>
  </w:num>
  <w:num w:numId="14">
    <w:abstractNumId w:val="8"/>
  </w:num>
  <w:num w:numId="15">
    <w:abstractNumId w:val="45"/>
  </w:num>
  <w:num w:numId="16">
    <w:abstractNumId w:val="26"/>
  </w:num>
  <w:num w:numId="17">
    <w:abstractNumId w:val="14"/>
  </w:num>
  <w:num w:numId="18">
    <w:abstractNumId w:val="47"/>
  </w:num>
  <w:num w:numId="19">
    <w:abstractNumId w:val="5"/>
  </w:num>
  <w:num w:numId="20">
    <w:abstractNumId w:val="10"/>
  </w:num>
  <w:num w:numId="21">
    <w:abstractNumId w:val="22"/>
  </w:num>
  <w:num w:numId="22">
    <w:abstractNumId w:val="42"/>
  </w:num>
  <w:num w:numId="23">
    <w:abstractNumId w:val="3"/>
  </w:num>
  <w:num w:numId="24">
    <w:abstractNumId w:val="30"/>
  </w:num>
  <w:num w:numId="25">
    <w:abstractNumId w:val="24"/>
  </w:num>
  <w:num w:numId="26">
    <w:abstractNumId w:val="15"/>
  </w:num>
  <w:num w:numId="27">
    <w:abstractNumId w:val="0"/>
  </w:num>
  <w:num w:numId="28">
    <w:abstractNumId w:val="36"/>
  </w:num>
  <w:num w:numId="29">
    <w:abstractNumId w:val="41"/>
  </w:num>
  <w:num w:numId="30">
    <w:abstractNumId w:val="21"/>
  </w:num>
  <w:num w:numId="31">
    <w:abstractNumId w:val="18"/>
  </w:num>
  <w:num w:numId="32">
    <w:abstractNumId w:val="34"/>
  </w:num>
  <w:num w:numId="33">
    <w:abstractNumId w:val="39"/>
  </w:num>
  <w:num w:numId="34">
    <w:abstractNumId w:val="19"/>
  </w:num>
  <w:num w:numId="35">
    <w:abstractNumId w:val="23"/>
  </w:num>
  <w:num w:numId="36">
    <w:abstractNumId w:val="6"/>
  </w:num>
  <w:num w:numId="37">
    <w:abstractNumId w:val="32"/>
  </w:num>
  <w:num w:numId="38">
    <w:abstractNumId w:val="40"/>
  </w:num>
  <w:num w:numId="39">
    <w:abstractNumId w:val="7"/>
  </w:num>
  <w:num w:numId="40">
    <w:abstractNumId w:val="29"/>
  </w:num>
  <w:num w:numId="41">
    <w:abstractNumId w:val="9"/>
  </w:num>
  <w:num w:numId="42">
    <w:abstractNumId w:val="27"/>
  </w:num>
  <w:num w:numId="43">
    <w:abstractNumId w:val="46"/>
  </w:num>
  <w:num w:numId="44">
    <w:abstractNumId w:val="44"/>
  </w:num>
  <w:num w:numId="45">
    <w:abstractNumId w:val="38"/>
  </w:num>
  <w:num w:numId="46">
    <w:abstractNumId w:val="25"/>
  </w:num>
  <w:num w:numId="47">
    <w:abstractNumId w:val="33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10F"/>
    <w:rsid w:val="000002D0"/>
    <w:rsid w:val="0000193E"/>
    <w:rsid w:val="00010547"/>
    <w:rsid w:val="000226DD"/>
    <w:rsid w:val="00023B4E"/>
    <w:rsid w:val="00026FD9"/>
    <w:rsid w:val="00031989"/>
    <w:rsid w:val="00041FF2"/>
    <w:rsid w:val="0005391D"/>
    <w:rsid w:val="00054687"/>
    <w:rsid w:val="00055A79"/>
    <w:rsid w:val="00067AE6"/>
    <w:rsid w:val="000720FB"/>
    <w:rsid w:val="000773B2"/>
    <w:rsid w:val="000801C7"/>
    <w:rsid w:val="00080CA6"/>
    <w:rsid w:val="00082A4E"/>
    <w:rsid w:val="00084BA9"/>
    <w:rsid w:val="0008556A"/>
    <w:rsid w:val="000910B4"/>
    <w:rsid w:val="000943DC"/>
    <w:rsid w:val="0009500E"/>
    <w:rsid w:val="00095635"/>
    <w:rsid w:val="000A1BB9"/>
    <w:rsid w:val="000B01FF"/>
    <w:rsid w:val="000C38D2"/>
    <w:rsid w:val="000D1E5E"/>
    <w:rsid w:val="000D7D70"/>
    <w:rsid w:val="000E04E0"/>
    <w:rsid w:val="000E1816"/>
    <w:rsid w:val="000E1907"/>
    <w:rsid w:val="000F29A6"/>
    <w:rsid w:val="000F76BD"/>
    <w:rsid w:val="001203B8"/>
    <w:rsid w:val="00130AB5"/>
    <w:rsid w:val="00133BD8"/>
    <w:rsid w:val="001417BC"/>
    <w:rsid w:val="00146123"/>
    <w:rsid w:val="00146ACF"/>
    <w:rsid w:val="00151D61"/>
    <w:rsid w:val="00153AAD"/>
    <w:rsid w:val="001712B4"/>
    <w:rsid w:val="00172163"/>
    <w:rsid w:val="00173EE5"/>
    <w:rsid w:val="00177657"/>
    <w:rsid w:val="001B14D0"/>
    <w:rsid w:val="001B2E53"/>
    <w:rsid w:val="001C323C"/>
    <w:rsid w:val="001D7D4D"/>
    <w:rsid w:val="001E1B86"/>
    <w:rsid w:val="001E5C81"/>
    <w:rsid w:val="001F00EA"/>
    <w:rsid w:val="001F4150"/>
    <w:rsid w:val="002026BE"/>
    <w:rsid w:val="00206B22"/>
    <w:rsid w:val="00210A88"/>
    <w:rsid w:val="002136FC"/>
    <w:rsid w:val="00220C71"/>
    <w:rsid w:val="0022186B"/>
    <w:rsid w:val="00243062"/>
    <w:rsid w:val="00244C8D"/>
    <w:rsid w:val="00251BC9"/>
    <w:rsid w:val="0025261D"/>
    <w:rsid w:val="00253BA7"/>
    <w:rsid w:val="00261077"/>
    <w:rsid w:val="002800B5"/>
    <w:rsid w:val="00281F09"/>
    <w:rsid w:val="002838E4"/>
    <w:rsid w:val="00286F8A"/>
    <w:rsid w:val="002956D0"/>
    <w:rsid w:val="002C441D"/>
    <w:rsid w:val="002C4526"/>
    <w:rsid w:val="002D4348"/>
    <w:rsid w:val="002D441D"/>
    <w:rsid w:val="002D7B15"/>
    <w:rsid w:val="002E1F7C"/>
    <w:rsid w:val="002E404E"/>
    <w:rsid w:val="002E4BF3"/>
    <w:rsid w:val="002E765E"/>
    <w:rsid w:val="002F259B"/>
    <w:rsid w:val="003029D1"/>
    <w:rsid w:val="003030C2"/>
    <w:rsid w:val="003130D1"/>
    <w:rsid w:val="00314530"/>
    <w:rsid w:val="003162A4"/>
    <w:rsid w:val="003225B4"/>
    <w:rsid w:val="00323697"/>
    <w:rsid w:val="00326D11"/>
    <w:rsid w:val="0033021E"/>
    <w:rsid w:val="003427F2"/>
    <w:rsid w:val="00344C57"/>
    <w:rsid w:val="003450B0"/>
    <w:rsid w:val="003554D8"/>
    <w:rsid w:val="00391284"/>
    <w:rsid w:val="00396483"/>
    <w:rsid w:val="00397849"/>
    <w:rsid w:val="003A1F0A"/>
    <w:rsid w:val="003A2CFA"/>
    <w:rsid w:val="003B15B6"/>
    <w:rsid w:val="003B2CE8"/>
    <w:rsid w:val="003C138A"/>
    <w:rsid w:val="003C216F"/>
    <w:rsid w:val="003F7CE2"/>
    <w:rsid w:val="004016C1"/>
    <w:rsid w:val="0040578A"/>
    <w:rsid w:val="0040684E"/>
    <w:rsid w:val="00415991"/>
    <w:rsid w:val="00420BFA"/>
    <w:rsid w:val="00421764"/>
    <w:rsid w:val="00423E34"/>
    <w:rsid w:val="00430215"/>
    <w:rsid w:val="00430277"/>
    <w:rsid w:val="00430885"/>
    <w:rsid w:val="00430A23"/>
    <w:rsid w:val="00431FC3"/>
    <w:rsid w:val="00451494"/>
    <w:rsid w:val="00452DFA"/>
    <w:rsid w:val="0047515B"/>
    <w:rsid w:val="004813B8"/>
    <w:rsid w:val="00487DAB"/>
    <w:rsid w:val="004A00D3"/>
    <w:rsid w:val="004A62DE"/>
    <w:rsid w:val="004B353A"/>
    <w:rsid w:val="004B656F"/>
    <w:rsid w:val="004C22F0"/>
    <w:rsid w:val="004C6031"/>
    <w:rsid w:val="004D18C0"/>
    <w:rsid w:val="004E13FB"/>
    <w:rsid w:val="004E67DE"/>
    <w:rsid w:val="004F57AD"/>
    <w:rsid w:val="00521C71"/>
    <w:rsid w:val="00525846"/>
    <w:rsid w:val="005318EE"/>
    <w:rsid w:val="005346BD"/>
    <w:rsid w:val="00537575"/>
    <w:rsid w:val="0054378D"/>
    <w:rsid w:val="00555E0A"/>
    <w:rsid w:val="00555FE7"/>
    <w:rsid w:val="005605FF"/>
    <w:rsid w:val="00563AE3"/>
    <w:rsid w:val="0056444A"/>
    <w:rsid w:val="00572AAB"/>
    <w:rsid w:val="00575FAC"/>
    <w:rsid w:val="0057794C"/>
    <w:rsid w:val="00582974"/>
    <w:rsid w:val="005A56A8"/>
    <w:rsid w:val="005D27B2"/>
    <w:rsid w:val="005D5448"/>
    <w:rsid w:val="005E123E"/>
    <w:rsid w:val="005E442E"/>
    <w:rsid w:val="005F20B1"/>
    <w:rsid w:val="005F630B"/>
    <w:rsid w:val="006009A0"/>
    <w:rsid w:val="00604285"/>
    <w:rsid w:val="00604E9C"/>
    <w:rsid w:val="00607E61"/>
    <w:rsid w:val="006140CA"/>
    <w:rsid w:val="00615269"/>
    <w:rsid w:val="00626221"/>
    <w:rsid w:val="006638FB"/>
    <w:rsid w:val="00672A54"/>
    <w:rsid w:val="006762C5"/>
    <w:rsid w:val="00682580"/>
    <w:rsid w:val="006917CD"/>
    <w:rsid w:val="00691EDB"/>
    <w:rsid w:val="006A65E2"/>
    <w:rsid w:val="006B0EC6"/>
    <w:rsid w:val="006B11A5"/>
    <w:rsid w:val="006B1CD3"/>
    <w:rsid w:val="006B21C5"/>
    <w:rsid w:val="006B541C"/>
    <w:rsid w:val="006B797A"/>
    <w:rsid w:val="006D22A6"/>
    <w:rsid w:val="006D3BD8"/>
    <w:rsid w:val="006E0F31"/>
    <w:rsid w:val="006F2271"/>
    <w:rsid w:val="006F4245"/>
    <w:rsid w:val="00703A07"/>
    <w:rsid w:val="00703B2E"/>
    <w:rsid w:val="0071158C"/>
    <w:rsid w:val="007118B7"/>
    <w:rsid w:val="00721731"/>
    <w:rsid w:val="0072523F"/>
    <w:rsid w:val="00725516"/>
    <w:rsid w:val="00727B18"/>
    <w:rsid w:val="00732AD7"/>
    <w:rsid w:val="00732F1A"/>
    <w:rsid w:val="007471AC"/>
    <w:rsid w:val="0075491A"/>
    <w:rsid w:val="007743B0"/>
    <w:rsid w:val="00787784"/>
    <w:rsid w:val="007907EC"/>
    <w:rsid w:val="00794032"/>
    <w:rsid w:val="007B0EE6"/>
    <w:rsid w:val="007C7CC7"/>
    <w:rsid w:val="007D3628"/>
    <w:rsid w:val="007F4AFD"/>
    <w:rsid w:val="00802076"/>
    <w:rsid w:val="008046C7"/>
    <w:rsid w:val="00811A16"/>
    <w:rsid w:val="0082378A"/>
    <w:rsid w:val="00826DEF"/>
    <w:rsid w:val="00833625"/>
    <w:rsid w:val="00834548"/>
    <w:rsid w:val="0083772C"/>
    <w:rsid w:val="008413C1"/>
    <w:rsid w:val="008424B4"/>
    <w:rsid w:val="00843582"/>
    <w:rsid w:val="00843914"/>
    <w:rsid w:val="00844201"/>
    <w:rsid w:val="00845BE5"/>
    <w:rsid w:val="008513C3"/>
    <w:rsid w:val="00856F99"/>
    <w:rsid w:val="0086133C"/>
    <w:rsid w:val="0087304C"/>
    <w:rsid w:val="00874BEB"/>
    <w:rsid w:val="00886193"/>
    <w:rsid w:val="008900C5"/>
    <w:rsid w:val="00896BB8"/>
    <w:rsid w:val="008975CA"/>
    <w:rsid w:val="008A52D5"/>
    <w:rsid w:val="008B2E50"/>
    <w:rsid w:val="008B4716"/>
    <w:rsid w:val="008C6EFA"/>
    <w:rsid w:val="008C70F0"/>
    <w:rsid w:val="008D1CA1"/>
    <w:rsid w:val="008D48F4"/>
    <w:rsid w:val="008E0BA0"/>
    <w:rsid w:val="008E22A9"/>
    <w:rsid w:val="008F0AE3"/>
    <w:rsid w:val="00903A8F"/>
    <w:rsid w:val="00916A9F"/>
    <w:rsid w:val="00916CE7"/>
    <w:rsid w:val="00916FE2"/>
    <w:rsid w:val="00926370"/>
    <w:rsid w:val="0093207C"/>
    <w:rsid w:val="009326F6"/>
    <w:rsid w:val="0093674F"/>
    <w:rsid w:val="0094265C"/>
    <w:rsid w:val="00947370"/>
    <w:rsid w:val="00961E2F"/>
    <w:rsid w:val="00964A05"/>
    <w:rsid w:val="00973DE1"/>
    <w:rsid w:val="0097652F"/>
    <w:rsid w:val="00980097"/>
    <w:rsid w:val="00983EC7"/>
    <w:rsid w:val="00990CE2"/>
    <w:rsid w:val="00992AA4"/>
    <w:rsid w:val="00993310"/>
    <w:rsid w:val="00994A3B"/>
    <w:rsid w:val="009A0286"/>
    <w:rsid w:val="009A4739"/>
    <w:rsid w:val="009B0431"/>
    <w:rsid w:val="009B048B"/>
    <w:rsid w:val="009C4E79"/>
    <w:rsid w:val="009D7222"/>
    <w:rsid w:val="009E1D21"/>
    <w:rsid w:val="009E5551"/>
    <w:rsid w:val="009F46F8"/>
    <w:rsid w:val="009F7581"/>
    <w:rsid w:val="00A01414"/>
    <w:rsid w:val="00A0667B"/>
    <w:rsid w:val="00A10FF7"/>
    <w:rsid w:val="00A1535E"/>
    <w:rsid w:val="00A21F7F"/>
    <w:rsid w:val="00A25466"/>
    <w:rsid w:val="00A31959"/>
    <w:rsid w:val="00A35E7E"/>
    <w:rsid w:val="00A4192C"/>
    <w:rsid w:val="00A44B9A"/>
    <w:rsid w:val="00A44BA4"/>
    <w:rsid w:val="00A55457"/>
    <w:rsid w:val="00A63B41"/>
    <w:rsid w:val="00A66618"/>
    <w:rsid w:val="00A756F5"/>
    <w:rsid w:val="00A803D5"/>
    <w:rsid w:val="00A87430"/>
    <w:rsid w:val="00A90242"/>
    <w:rsid w:val="00A90517"/>
    <w:rsid w:val="00A910A7"/>
    <w:rsid w:val="00AA07E8"/>
    <w:rsid w:val="00AA60AB"/>
    <w:rsid w:val="00AB159C"/>
    <w:rsid w:val="00AB7DAF"/>
    <w:rsid w:val="00AC44B7"/>
    <w:rsid w:val="00AC77A8"/>
    <w:rsid w:val="00AD3104"/>
    <w:rsid w:val="00AD6B5D"/>
    <w:rsid w:val="00AE1D0A"/>
    <w:rsid w:val="00B00C2E"/>
    <w:rsid w:val="00B05CA7"/>
    <w:rsid w:val="00B177F2"/>
    <w:rsid w:val="00B21C1C"/>
    <w:rsid w:val="00B239F9"/>
    <w:rsid w:val="00B31016"/>
    <w:rsid w:val="00B403E1"/>
    <w:rsid w:val="00B40FCE"/>
    <w:rsid w:val="00B56227"/>
    <w:rsid w:val="00B8179D"/>
    <w:rsid w:val="00B95F63"/>
    <w:rsid w:val="00B96E7F"/>
    <w:rsid w:val="00BA4847"/>
    <w:rsid w:val="00BC2F3F"/>
    <w:rsid w:val="00BC7614"/>
    <w:rsid w:val="00BE510C"/>
    <w:rsid w:val="00BE675A"/>
    <w:rsid w:val="00BF68B6"/>
    <w:rsid w:val="00BF69C4"/>
    <w:rsid w:val="00C10759"/>
    <w:rsid w:val="00C1476E"/>
    <w:rsid w:val="00C202CB"/>
    <w:rsid w:val="00C50D10"/>
    <w:rsid w:val="00C6207A"/>
    <w:rsid w:val="00C62268"/>
    <w:rsid w:val="00C64770"/>
    <w:rsid w:val="00C67E3F"/>
    <w:rsid w:val="00C731ED"/>
    <w:rsid w:val="00C76858"/>
    <w:rsid w:val="00C84807"/>
    <w:rsid w:val="00C92817"/>
    <w:rsid w:val="00C939EC"/>
    <w:rsid w:val="00C97F8E"/>
    <w:rsid w:val="00CA56FB"/>
    <w:rsid w:val="00CB640B"/>
    <w:rsid w:val="00CD613B"/>
    <w:rsid w:val="00CE2D9B"/>
    <w:rsid w:val="00CE2DED"/>
    <w:rsid w:val="00CE4AF0"/>
    <w:rsid w:val="00CE71ED"/>
    <w:rsid w:val="00CF5BC7"/>
    <w:rsid w:val="00D27A6E"/>
    <w:rsid w:val="00D31E40"/>
    <w:rsid w:val="00D462A9"/>
    <w:rsid w:val="00D623C1"/>
    <w:rsid w:val="00D7115E"/>
    <w:rsid w:val="00D82AB0"/>
    <w:rsid w:val="00D92CFD"/>
    <w:rsid w:val="00DA1E37"/>
    <w:rsid w:val="00DB04F7"/>
    <w:rsid w:val="00DB0935"/>
    <w:rsid w:val="00DB2B8D"/>
    <w:rsid w:val="00DC498B"/>
    <w:rsid w:val="00DC6E15"/>
    <w:rsid w:val="00DC7CC3"/>
    <w:rsid w:val="00DE5D58"/>
    <w:rsid w:val="00E109D3"/>
    <w:rsid w:val="00E1610F"/>
    <w:rsid w:val="00E16B9F"/>
    <w:rsid w:val="00E31BF8"/>
    <w:rsid w:val="00E3678B"/>
    <w:rsid w:val="00E4370C"/>
    <w:rsid w:val="00E50720"/>
    <w:rsid w:val="00E51F0A"/>
    <w:rsid w:val="00E53BF6"/>
    <w:rsid w:val="00E5762E"/>
    <w:rsid w:val="00E61E0C"/>
    <w:rsid w:val="00E74736"/>
    <w:rsid w:val="00E80B27"/>
    <w:rsid w:val="00E81167"/>
    <w:rsid w:val="00E83B34"/>
    <w:rsid w:val="00E9379C"/>
    <w:rsid w:val="00EB53F1"/>
    <w:rsid w:val="00EC1D4C"/>
    <w:rsid w:val="00EC4D69"/>
    <w:rsid w:val="00ED12D0"/>
    <w:rsid w:val="00EF0882"/>
    <w:rsid w:val="00EF0EEC"/>
    <w:rsid w:val="00EF5722"/>
    <w:rsid w:val="00EF5FED"/>
    <w:rsid w:val="00EF7862"/>
    <w:rsid w:val="00F00B6B"/>
    <w:rsid w:val="00F023A0"/>
    <w:rsid w:val="00F16718"/>
    <w:rsid w:val="00F17797"/>
    <w:rsid w:val="00F32225"/>
    <w:rsid w:val="00F42D5C"/>
    <w:rsid w:val="00F526AD"/>
    <w:rsid w:val="00F806FE"/>
    <w:rsid w:val="00F80B01"/>
    <w:rsid w:val="00F82E6C"/>
    <w:rsid w:val="00F83C35"/>
    <w:rsid w:val="00F86A5F"/>
    <w:rsid w:val="00F86F00"/>
    <w:rsid w:val="00F91072"/>
    <w:rsid w:val="00F928ED"/>
    <w:rsid w:val="00F958CF"/>
    <w:rsid w:val="00FA3CC6"/>
    <w:rsid w:val="00FA6303"/>
    <w:rsid w:val="00FB0B53"/>
    <w:rsid w:val="00FB1023"/>
    <w:rsid w:val="00FB78BA"/>
    <w:rsid w:val="00FD4C2F"/>
    <w:rsid w:val="00FD7E9F"/>
    <w:rsid w:val="00FE2E69"/>
    <w:rsid w:val="00FE5840"/>
    <w:rsid w:val="00FF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Minng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530"/>
    <w:rPr>
      <w:rFonts w:ascii="Arial Black" w:hAnsi="Arial Black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530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EC4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4D69"/>
    <w:rPr>
      <w:rFonts w:eastAsia="MS Minngs"/>
    </w:rPr>
  </w:style>
  <w:style w:type="paragraph" w:styleId="BalloonText">
    <w:name w:val="Balloon Text"/>
    <w:basedOn w:val="Normal"/>
    <w:link w:val="BalloonTextChar"/>
    <w:uiPriority w:val="99"/>
    <w:semiHidden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CB"/>
    <w:rPr>
      <w:rFonts w:ascii="Tahoma" w:eastAsia="MS Minngs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6DD"/>
    <w:rPr>
      <w:rFonts w:ascii="CG Times" w:hAnsi="CG Time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/>
      <w:i/>
      <w:iCs/>
    </w:rPr>
  </w:style>
  <w:style w:type="paragraph" w:styleId="Header">
    <w:name w:val="header"/>
    <w:basedOn w:val="Normal"/>
    <w:link w:val="HeaderChar"/>
    <w:uiPriority w:val="99"/>
    <w:rsid w:val="00AC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77A8"/>
    <w:rPr>
      <w:rFonts w:eastAsia="MS Minngs" w:cs="Times New Roman"/>
    </w:rPr>
  </w:style>
  <w:style w:type="paragraph" w:styleId="Footer">
    <w:name w:val="footer"/>
    <w:basedOn w:val="Normal"/>
    <w:link w:val="FooterChar"/>
    <w:uiPriority w:val="99"/>
    <w:rsid w:val="00AC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7A8"/>
    <w:rPr>
      <w:rFonts w:eastAsia="MS Minngs" w:cs="Times New Roman"/>
    </w:rPr>
  </w:style>
  <w:style w:type="character" w:customStyle="1" w:styleId="st">
    <w:name w:val="st"/>
    <w:basedOn w:val="DefaultParagraphFont"/>
    <w:uiPriority w:val="99"/>
    <w:rsid w:val="00F322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0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PUMZA</cp:lastModifiedBy>
  <cp:revision>2</cp:revision>
  <cp:lastPrinted>2015-05-14T09:50:00Z</cp:lastPrinted>
  <dcterms:created xsi:type="dcterms:W3CDTF">2015-09-30T10:33:00Z</dcterms:created>
  <dcterms:modified xsi:type="dcterms:W3CDTF">2015-09-30T10:33:00Z</dcterms:modified>
</cp:coreProperties>
</file>