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70" w:rsidRPr="00457FB1" w:rsidRDefault="005A4970" w:rsidP="00875C76">
      <w:pPr>
        <w:ind w:left="720" w:hanging="720"/>
        <w:jc w:val="right"/>
        <w:outlineLvl w:val="0"/>
        <w:rPr>
          <w:rFonts w:ascii="Arial" w:hAnsi="Arial" w:cs="Arial"/>
          <w:b/>
        </w:rPr>
      </w:pPr>
      <w:r w:rsidRPr="00457FB1">
        <w:rPr>
          <w:rFonts w:ascii="Arial" w:hAnsi="Arial" w:cs="Arial"/>
          <w:b/>
        </w:rPr>
        <w:t>36/1/4/1/201500280</w:t>
      </w:r>
    </w:p>
    <w:p w:rsidR="005A4970" w:rsidRPr="00457FB1" w:rsidRDefault="005A4970" w:rsidP="00875C76">
      <w:pPr>
        <w:ind w:left="720" w:hanging="720"/>
        <w:jc w:val="center"/>
        <w:outlineLvl w:val="0"/>
        <w:rPr>
          <w:rFonts w:ascii="Arial" w:hAnsi="Arial" w:cs="Arial"/>
          <w:b/>
        </w:rPr>
      </w:pPr>
    </w:p>
    <w:p w:rsidR="005A4970" w:rsidRPr="00457FB1" w:rsidRDefault="005A4970" w:rsidP="00875C76">
      <w:pPr>
        <w:ind w:left="720" w:hanging="720"/>
        <w:jc w:val="center"/>
        <w:outlineLvl w:val="0"/>
        <w:rPr>
          <w:rFonts w:ascii="Arial" w:hAnsi="Arial" w:cs="Arial"/>
          <w:b/>
        </w:rPr>
      </w:pPr>
      <w:r w:rsidRPr="00457FB1">
        <w:rPr>
          <w:rFonts w:ascii="Arial" w:hAnsi="Arial" w:cs="Arial"/>
          <w:b/>
        </w:rPr>
        <w:t>NATIONAL ASSEMBLY</w:t>
      </w:r>
    </w:p>
    <w:p w:rsidR="005A4970" w:rsidRPr="00457FB1" w:rsidRDefault="005A4970" w:rsidP="00875C76">
      <w:pPr>
        <w:ind w:left="720" w:hanging="720"/>
        <w:jc w:val="both"/>
        <w:outlineLvl w:val="0"/>
        <w:rPr>
          <w:rFonts w:ascii="Arial" w:hAnsi="Arial" w:cs="Arial"/>
          <w:b/>
          <w:u w:val="single"/>
        </w:rPr>
      </w:pPr>
    </w:p>
    <w:p w:rsidR="005A4970" w:rsidRPr="00457FB1" w:rsidRDefault="005A4970" w:rsidP="00875C76">
      <w:pPr>
        <w:ind w:left="720" w:hanging="720"/>
        <w:jc w:val="both"/>
        <w:outlineLvl w:val="0"/>
        <w:rPr>
          <w:rFonts w:ascii="Arial" w:hAnsi="Arial" w:cs="Arial"/>
          <w:b/>
          <w:u w:val="single"/>
        </w:rPr>
      </w:pPr>
      <w:r w:rsidRPr="00457FB1">
        <w:rPr>
          <w:rFonts w:ascii="Arial" w:hAnsi="Arial" w:cs="Arial"/>
          <w:b/>
          <w:u w:val="single"/>
        </w:rPr>
        <w:t>FOR WRITTEN REPLY</w:t>
      </w:r>
    </w:p>
    <w:p w:rsidR="005A4970" w:rsidRPr="00457FB1" w:rsidRDefault="005A4970" w:rsidP="00875C76">
      <w:pPr>
        <w:ind w:left="720" w:hanging="720"/>
        <w:jc w:val="both"/>
        <w:outlineLvl w:val="0"/>
        <w:rPr>
          <w:rFonts w:ascii="Arial" w:hAnsi="Arial" w:cs="Arial"/>
          <w:b/>
          <w:u w:val="single"/>
        </w:rPr>
      </w:pPr>
    </w:p>
    <w:p w:rsidR="005A4970" w:rsidRPr="00457FB1" w:rsidRDefault="005A4970" w:rsidP="00875C76">
      <w:pPr>
        <w:ind w:left="720" w:hanging="720"/>
        <w:jc w:val="both"/>
        <w:outlineLvl w:val="0"/>
        <w:rPr>
          <w:rFonts w:ascii="Arial" w:hAnsi="Arial" w:cs="Arial"/>
          <w:b/>
          <w:u w:val="single"/>
        </w:rPr>
      </w:pPr>
      <w:r w:rsidRPr="00457FB1">
        <w:rPr>
          <w:rFonts w:ascii="Arial" w:hAnsi="Arial" w:cs="Arial"/>
          <w:b/>
          <w:u w:val="single"/>
        </w:rPr>
        <w:t>QUESTION 3311</w:t>
      </w:r>
    </w:p>
    <w:p w:rsidR="005A4970" w:rsidRPr="00457FB1" w:rsidRDefault="005A4970" w:rsidP="00875C76">
      <w:pPr>
        <w:ind w:left="720" w:hanging="720"/>
        <w:jc w:val="center"/>
        <w:outlineLvl w:val="0"/>
        <w:rPr>
          <w:rFonts w:ascii="Arial" w:hAnsi="Arial" w:cs="Arial"/>
          <w:b/>
          <w:u w:val="single"/>
        </w:rPr>
      </w:pPr>
    </w:p>
    <w:p w:rsidR="005A4970" w:rsidRPr="00457FB1" w:rsidRDefault="005A4970" w:rsidP="00875C76">
      <w:pPr>
        <w:ind w:left="720" w:hanging="720"/>
        <w:jc w:val="center"/>
        <w:outlineLvl w:val="0"/>
        <w:rPr>
          <w:rFonts w:ascii="Arial" w:hAnsi="Arial" w:cs="Arial"/>
          <w:b/>
          <w:u w:val="single"/>
        </w:rPr>
      </w:pPr>
      <w:r w:rsidRPr="00457FB1">
        <w:rPr>
          <w:rFonts w:ascii="Arial" w:hAnsi="Arial" w:cs="Arial"/>
          <w:b/>
          <w:u w:val="single"/>
        </w:rPr>
        <w:t>DATE OF PUBLICATION IN INTERNAL QUESTION PAPER: 28 AUGUST 2015</w:t>
      </w:r>
    </w:p>
    <w:p w:rsidR="005A4970" w:rsidRPr="00457FB1" w:rsidRDefault="005A4970" w:rsidP="00875C76">
      <w:pPr>
        <w:jc w:val="center"/>
        <w:rPr>
          <w:rFonts w:ascii="Arial" w:hAnsi="Arial" w:cs="Arial"/>
          <w:b/>
          <w:u w:val="single"/>
        </w:rPr>
      </w:pPr>
    </w:p>
    <w:p w:rsidR="005A4970" w:rsidRPr="00457FB1" w:rsidRDefault="005A4970" w:rsidP="00875C76">
      <w:pPr>
        <w:jc w:val="center"/>
        <w:rPr>
          <w:rFonts w:ascii="Arial" w:hAnsi="Arial" w:cs="Arial"/>
        </w:rPr>
      </w:pPr>
      <w:r w:rsidRPr="00457FB1">
        <w:rPr>
          <w:rFonts w:ascii="Arial" w:hAnsi="Arial" w:cs="Arial"/>
          <w:b/>
          <w:u w:val="single"/>
        </w:rPr>
        <w:t>(INTERNAL QUESTION PAPER NO 34-2015)</w:t>
      </w:r>
    </w:p>
    <w:p w:rsidR="005A4970" w:rsidRPr="00457FB1" w:rsidRDefault="005A4970" w:rsidP="00472D53">
      <w:pPr>
        <w:ind w:left="709" w:hanging="709"/>
        <w:jc w:val="both"/>
        <w:rPr>
          <w:b/>
        </w:rPr>
      </w:pPr>
    </w:p>
    <w:p w:rsidR="005A4970" w:rsidRPr="00457FB1" w:rsidRDefault="005A4970" w:rsidP="00472D53">
      <w:pPr>
        <w:ind w:left="709" w:hanging="709"/>
        <w:jc w:val="both"/>
        <w:rPr>
          <w:rFonts w:ascii="Arial" w:hAnsi="Arial" w:cs="Arial"/>
          <w:b/>
        </w:rPr>
      </w:pPr>
    </w:p>
    <w:p w:rsidR="005A4970" w:rsidRPr="00457FB1" w:rsidRDefault="005A4970" w:rsidP="00472D53">
      <w:pPr>
        <w:ind w:left="709" w:hanging="709"/>
        <w:jc w:val="both"/>
        <w:rPr>
          <w:rFonts w:ascii="Arial" w:hAnsi="Arial" w:cs="Arial"/>
        </w:rPr>
      </w:pPr>
      <w:r w:rsidRPr="00457FB1">
        <w:rPr>
          <w:rFonts w:ascii="Arial" w:hAnsi="Arial" w:cs="Arial"/>
          <w:b/>
        </w:rPr>
        <w:t>3311.</w:t>
      </w:r>
      <w:r w:rsidRPr="00457FB1">
        <w:rPr>
          <w:rFonts w:ascii="Arial" w:hAnsi="Arial" w:cs="Arial"/>
          <w:b/>
        </w:rPr>
        <w:tab/>
        <w:t xml:space="preserve">Mr M G P </w:t>
      </w:r>
      <w:proofErr w:type="spellStart"/>
      <w:r w:rsidRPr="00457FB1">
        <w:rPr>
          <w:rFonts w:ascii="Arial" w:hAnsi="Arial" w:cs="Arial"/>
          <w:b/>
        </w:rPr>
        <w:t>Lekota</w:t>
      </w:r>
      <w:proofErr w:type="spellEnd"/>
      <w:r w:rsidRPr="00457FB1">
        <w:rPr>
          <w:rFonts w:ascii="Arial" w:hAnsi="Arial" w:cs="Arial"/>
          <w:b/>
        </w:rPr>
        <w:t xml:space="preserve"> (Cope) to ask the Minister of Police: </w:t>
      </w:r>
    </w:p>
    <w:p w:rsidR="005A4970" w:rsidRPr="00457FB1" w:rsidRDefault="005A4970" w:rsidP="00FF69DF">
      <w:pPr>
        <w:pStyle w:val="p0"/>
        <w:spacing w:before="100" w:beforeAutospacing="1" w:after="100" w:afterAutospacing="1"/>
        <w:jc w:val="both"/>
        <w:rPr>
          <w:rFonts w:ascii="Arial" w:hAnsi="Arial" w:cs="Arial"/>
          <w:lang w:val="en-GB"/>
        </w:rPr>
      </w:pPr>
      <w:r w:rsidRPr="00457FB1">
        <w:rPr>
          <w:rFonts w:ascii="Arial" w:hAnsi="Arial" w:cs="Arial"/>
          <w:lang w:val="en-GB"/>
        </w:rPr>
        <w:t>Whether, in respect of SA Police Service (SAPS) members serving at border posts, the Government has taken proactive and decisive steps to ensure that (a) adequate accommodation is made available to all SAPS members close to where they work, (b) proper offices with necessary equipment are available to them to work from, (c) shelters are provided for trucks to be inspected in unfavourable weather conditions, (d) the improved garage turnaround plan will result in a faster turnaround time for the servicing of SAPS vehicles and (e) the integrity and honesty of the SAPS is constantly subjected to a variety of checks to weed out corrupt SAPS officers; if not, why not, in respect of each of the above; if so, what are the relevant details in respect of each case during the period 30 June 2010 to 30 June 2015?</w:t>
      </w:r>
    </w:p>
    <w:p w:rsidR="005A4970" w:rsidRPr="00457FB1" w:rsidRDefault="005A4970" w:rsidP="00FF69DF">
      <w:pPr>
        <w:pStyle w:val="p0"/>
        <w:spacing w:before="100" w:beforeAutospacing="1" w:after="100" w:afterAutospacing="1"/>
        <w:jc w:val="right"/>
        <w:rPr>
          <w:rFonts w:ascii="Arial" w:hAnsi="Arial" w:cs="Arial"/>
          <w:lang w:val="en-GB"/>
        </w:rPr>
      </w:pPr>
      <w:r w:rsidRPr="00457FB1">
        <w:rPr>
          <w:rFonts w:ascii="Arial" w:hAnsi="Arial" w:cs="Arial"/>
          <w:lang w:val="en-GB"/>
        </w:rPr>
        <w:t>NW3924E</w:t>
      </w:r>
    </w:p>
    <w:p w:rsidR="005A4970" w:rsidRPr="00457FB1" w:rsidRDefault="005A4970" w:rsidP="00875C76">
      <w:pPr>
        <w:pStyle w:val="BodyTextIndent2"/>
        <w:tabs>
          <w:tab w:val="clear" w:pos="864"/>
          <w:tab w:val="left" w:pos="720"/>
        </w:tabs>
        <w:spacing w:before="100" w:beforeAutospacing="1" w:after="100" w:afterAutospacing="1" w:line="240" w:lineRule="auto"/>
        <w:ind w:left="0" w:firstLine="0"/>
        <w:jc w:val="both"/>
        <w:rPr>
          <w:rFonts w:ascii="Arial" w:hAnsi="Arial" w:cs="Arial"/>
          <w:szCs w:val="24"/>
        </w:rPr>
      </w:pPr>
      <w:r w:rsidRPr="00457FB1">
        <w:rPr>
          <w:rFonts w:ascii="Arial" w:hAnsi="Arial" w:cs="Arial"/>
          <w:b/>
          <w:szCs w:val="24"/>
        </w:rPr>
        <w:t>REPLY:</w:t>
      </w:r>
    </w:p>
    <w:p w:rsidR="005A4970" w:rsidRPr="00457FB1" w:rsidRDefault="005A4970" w:rsidP="00580967">
      <w:pPr>
        <w:pStyle w:val="BodyTextIndent2"/>
        <w:numPr>
          <w:ilvl w:val="0"/>
          <w:numId w:val="1"/>
        </w:numPr>
        <w:tabs>
          <w:tab w:val="left" w:pos="720"/>
        </w:tabs>
        <w:ind w:left="357" w:hanging="357"/>
        <w:jc w:val="both"/>
        <w:rPr>
          <w:rFonts w:ascii="Arial" w:hAnsi="Arial" w:cs="Arial"/>
          <w:szCs w:val="24"/>
        </w:rPr>
      </w:pPr>
      <w:r w:rsidRPr="00457FB1">
        <w:rPr>
          <w:rFonts w:ascii="Arial" w:hAnsi="Arial" w:cs="Arial"/>
          <w:szCs w:val="24"/>
        </w:rPr>
        <w:t>Residential Accommodation requirements for SAPS members serving at border posts are submitted via the SAPS User Asset Management Plan (UAMP) to the Border Control Operations Co-ordination Committee (BCOCC) at Department of Public Works for the provisioning of the required accommodation.</w:t>
      </w:r>
    </w:p>
    <w:p w:rsidR="005A4970" w:rsidRPr="00457FB1" w:rsidRDefault="005A4970" w:rsidP="00580967">
      <w:pPr>
        <w:pStyle w:val="BodyTextIndent2"/>
        <w:tabs>
          <w:tab w:val="left" w:pos="720"/>
        </w:tabs>
        <w:ind w:left="357" w:firstLine="0"/>
        <w:jc w:val="both"/>
        <w:rPr>
          <w:rFonts w:ascii="Arial" w:hAnsi="Arial" w:cs="Arial"/>
          <w:szCs w:val="24"/>
        </w:rPr>
      </w:pPr>
    </w:p>
    <w:p w:rsidR="005A4970" w:rsidRPr="00457FB1" w:rsidRDefault="005A4970" w:rsidP="00580967">
      <w:pPr>
        <w:pStyle w:val="BodyTextIndent2"/>
        <w:numPr>
          <w:ilvl w:val="0"/>
          <w:numId w:val="1"/>
        </w:numPr>
        <w:tabs>
          <w:tab w:val="clear" w:pos="864"/>
          <w:tab w:val="left" w:pos="720"/>
        </w:tabs>
        <w:ind w:left="357" w:hanging="357"/>
        <w:jc w:val="both"/>
        <w:rPr>
          <w:rFonts w:ascii="Arial" w:hAnsi="Arial" w:cs="Arial"/>
          <w:szCs w:val="24"/>
        </w:rPr>
      </w:pPr>
      <w:r w:rsidRPr="00457FB1">
        <w:rPr>
          <w:rFonts w:ascii="Arial" w:hAnsi="Arial" w:cs="Arial"/>
          <w:szCs w:val="24"/>
        </w:rPr>
        <w:t>Office Accommodation requirements for SAPS members serving at border posts are submitted via the SAPS User Asset Management Plan (UAMP) to the Border Control Operations Co-ordination Committee (BCOCC) at Department of Public Works for the provisioning of the required accommodation.</w:t>
      </w:r>
    </w:p>
    <w:p w:rsidR="005A4970" w:rsidRPr="00457FB1" w:rsidRDefault="005A4970" w:rsidP="00580967">
      <w:pPr>
        <w:pStyle w:val="ListParagraph"/>
        <w:spacing w:line="360" w:lineRule="auto"/>
        <w:rPr>
          <w:rFonts w:ascii="Arial" w:hAnsi="Arial" w:cs="Arial"/>
        </w:rPr>
      </w:pPr>
    </w:p>
    <w:p w:rsidR="005A4970" w:rsidRPr="00457FB1" w:rsidRDefault="005A4970" w:rsidP="00580967">
      <w:pPr>
        <w:pStyle w:val="ListParagraph"/>
        <w:numPr>
          <w:ilvl w:val="0"/>
          <w:numId w:val="1"/>
        </w:numPr>
        <w:spacing w:line="360" w:lineRule="auto"/>
        <w:jc w:val="both"/>
        <w:rPr>
          <w:rFonts w:ascii="Arial" w:hAnsi="Arial" w:cs="Arial"/>
        </w:rPr>
      </w:pPr>
      <w:r w:rsidRPr="00457FB1">
        <w:rPr>
          <w:rFonts w:ascii="Arial" w:hAnsi="Arial" w:cs="Arial"/>
        </w:rPr>
        <w:t xml:space="preserve">Yes, the approach with regard to provision of shelters is catered in the collective budget that prioritizes the rebuilding of the ports. It must be further mentioned that </w:t>
      </w:r>
      <w:r w:rsidRPr="00457FB1">
        <w:rPr>
          <w:rFonts w:ascii="Arial" w:hAnsi="Arial" w:cs="Arial"/>
        </w:rPr>
        <w:lastRenderedPageBreak/>
        <w:t>apart from the rebuilding process, there is also a Repair and Maintenance Programme (RAMP) for all ports in order to deal with day to day challenges and that programme is also financed and budgeted through the collective budget from Treasury.</w:t>
      </w:r>
    </w:p>
    <w:p w:rsidR="005A4970" w:rsidRPr="00457FB1" w:rsidRDefault="005A4970" w:rsidP="00580967">
      <w:pPr>
        <w:pStyle w:val="BodyTextIndent2"/>
        <w:tabs>
          <w:tab w:val="clear" w:pos="864"/>
          <w:tab w:val="left" w:pos="720"/>
        </w:tabs>
        <w:spacing w:before="100" w:beforeAutospacing="1" w:after="100" w:afterAutospacing="1"/>
        <w:jc w:val="both"/>
        <w:rPr>
          <w:rFonts w:ascii="Arial" w:hAnsi="Arial" w:cs="Arial"/>
          <w:szCs w:val="24"/>
        </w:rPr>
      </w:pPr>
      <w:r w:rsidRPr="00457FB1">
        <w:rPr>
          <w:rFonts w:ascii="Arial" w:hAnsi="Arial" w:cs="Arial"/>
          <w:szCs w:val="24"/>
        </w:rPr>
        <w:t>(d)</w:t>
      </w:r>
      <w:r w:rsidRPr="00457FB1">
        <w:rPr>
          <w:rFonts w:ascii="Arial" w:hAnsi="Arial" w:cs="Arial"/>
          <w:szCs w:val="24"/>
        </w:rPr>
        <w:tab/>
        <w:t>Yes.</w:t>
      </w:r>
    </w:p>
    <w:p w:rsidR="005A4970" w:rsidRPr="00457FB1" w:rsidRDefault="005A4970" w:rsidP="00580967">
      <w:pPr>
        <w:pStyle w:val="BodyTextIndent2"/>
        <w:tabs>
          <w:tab w:val="clear" w:pos="432"/>
          <w:tab w:val="left" w:pos="426"/>
        </w:tabs>
        <w:spacing w:before="100" w:beforeAutospacing="1" w:after="100" w:afterAutospacing="1"/>
        <w:ind w:left="426" w:firstLine="0"/>
        <w:jc w:val="both"/>
        <w:rPr>
          <w:rFonts w:ascii="Arial" w:hAnsi="Arial" w:cs="Arial"/>
          <w:szCs w:val="24"/>
        </w:rPr>
      </w:pPr>
      <w:r w:rsidRPr="00457FB1">
        <w:rPr>
          <w:rFonts w:ascii="Arial" w:hAnsi="Arial" w:cs="Arial"/>
          <w:szCs w:val="24"/>
        </w:rPr>
        <w:t>The National Management Forum took a decision that all SAPS garages must fall under Divisional Commissioner: Supply Chain Management in order to improve the availability of vehicles for policing purposes. A turnaround strategy has subsequently been put in place by the SAPS and lengthy procurement processes were shortened and capacity was increased at the garages in terms of infrastructure (e.g. purchasing of diagnostic equipment, hoists and specialized tools).</w:t>
      </w:r>
    </w:p>
    <w:p w:rsidR="005A4970" w:rsidRPr="00457FB1" w:rsidRDefault="005A4970" w:rsidP="00580967">
      <w:pPr>
        <w:pStyle w:val="BodyTextIndent2"/>
        <w:tabs>
          <w:tab w:val="clear" w:pos="432"/>
          <w:tab w:val="left" w:pos="426"/>
        </w:tabs>
        <w:spacing w:before="100" w:beforeAutospacing="1" w:after="100" w:afterAutospacing="1"/>
        <w:ind w:left="426" w:firstLine="0"/>
        <w:jc w:val="both"/>
        <w:rPr>
          <w:rFonts w:ascii="Arial" w:hAnsi="Arial" w:cs="Arial"/>
          <w:szCs w:val="24"/>
        </w:rPr>
      </w:pPr>
      <w:r w:rsidRPr="00457FB1">
        <w:rPr>
          <w:rFonts w:ascii="Arial" w:hAnsi="Arial" w:cs="Arial"/>
          <w:szCs w:val="24"/>
        </w:rPr>
        <w:t>Spare parts stores were also established in all SAPS garages with fast moving spares.</w:t>
      </w:r>
    </w:p>
    <w:p w:rsidR="005A4970" w:rsidRPr="00457FB1" w:rsidRDefault="005A4970" w:rsidP="00580967">
      <w:pPr>
        <w:pStyle w:val="BodyTextIndent2"/>
        <w:tabs>
          <w:tab w:val="clear" w:pos="432"/>
          <w:tab w:val="left" w:pos="426"/>
        </w:tabs>
        <w:spacing w:before="100" w:beforeAutospacing="1" w:after="100" w:afterAutospacing="1"/>
        <w:ind w:left="426" w:firstLine="0"/>
        <w:jc w:val="both"/>
        <w:rPr>
          <w:rFonts w:ascii="Arial" w:hAnsi="Arial" w:cs="Arial"/>
          <w:szCs w:val="24"/>
        </w:rPr>
      </w:pPr>
      <w:r w:rsidRPr="00457FB1">
        <w:rPr>
          <w:rFonts w:ascii="Arial" w:hAnsi="Arial" w:cs="Arial"/>
          <w:szCs w:val="24"/>
        </w:rPr>
        <w:t>A contract for spare parts was also awarded nationally in 2014 for the supply and delivery of vehicle spare parts but the SAPS does not solely rely on the spare parts contract to ensure an operable vehicle fleet. It also makes use of the following methods to not affect the downtime of the SAPS vehicles:</w:t>
      </w:r>
    </w:p>
    <w:p w:rsidR="005A4970" w:rsidRPr="00457FB1" w:rsidRDefault="005A4970" w:rsidP="00580967">
      <w:pPr>
        <w:pStyle w:val="BodyTextIndent2"/>
        <w:tabs>
          <w:tab w:val="left" w:pos="720"/>
        </w:tabs>
        <w:spacing w:before="100" w:beforeAutospacing="1" w:after="100" w:afterAutospacing="1"/>
        <w:ind w:left="720"/>
        <w:jc w:val="both"/>
        <w:rPr>
          <w:rFonts w:ascii="Arial" w:hAnsi="Arial" w:cs="Arial"/>
          <w:szCs w:val="24"/>
        </w:rPr>
      </w:pPr>
      <w:r w:rsidRPr="00457FB1">
        <w:rPr>
          <w:rFonts w:ascii="Arial" w:hAnsi="Arial" w:cs="Arial"/>
          <w:szCs w:val="24"/>
        </w:rPr>
        <w:tab/>
      </w:r>
      <w:r w:rsidRPr="00457FB1">
        <w:rPr>
          <w:rFonts w:ascii="Arial" w:hAnsi="Arial" w:cs="Arial"/>
          <w:szCs w:val="24"/>
        </w:rPr>
        <w:tab/>
        <w:t>•</w:t>
      </w:r>
      <w:r w:rsidRPr="00457FB1">
        <w:rPr>
          <w:rFonts w:ascii="Arial" w:hAnsi="Arial" w:cs="Arial"/>
          <w:szCs w:val="24"/>
        </w:rPr>
        <w:tab/>
        <w:t>Purchase vehicle body parts on the three (3) quotation basis;</w:t>
      </w:r>
    </w:p>
    <w:p w:rsidR="005A4970" w:rsidRPr="00457FB1" w:rsidRDefault="005A4970" w:rsidP="00580967">
      <w:pPr>
        <w:pStyle w:val="BodyTextIndent2"/>
        <w:tabs>
          <w:tab w:val="left" w:pos="720"/>
        </w:tabs>
        <w:spacing w:before="100" w:beforeAutospacing="1" w:after="100" w:afterAutospacing="1"/>
        <w:ind w:left="720"/>
        <w:jc w:val="both"/>
        <w:rPr>
          <w:rFonts w:ascii="Arial" w:hAnsi="Arial" w:cs="Arial"/>
          <w:szCs w:val="24"/>
        </w:rPr>
      </w:pPr>
      <w:r w:rsidRPr="00457FB1">
        <w:rPr>
          <w:rFonts w:ascii="Arial" w:hAnsi="Arial" w:cs="Arial"/>
          <w:szCs w:val="24"/>
        </w:rPr>
        <w:tab/>
      </w:r>
      <w:r w:rsidRPr="00457FB1">
        <w:rPr>
          <w:rFonts w:ascii="Arial" w:hAnsi="Arial" w:cs="Arial"/>
          <w:szCs w:val="24"/>
        </w:rPr>
        <w:tab/>
        <w:t>•</w:t>
      </w:r>
      <w:r w:rsidRPr="00457FB1">
        <w:rPr>
          <w:rFonts w:ascii="Arial" w:hAnsi="Arial" w:cs="Arial"/>
          <w:szCs w:val="24"/>
        </w:rPr>
        <w:tab/>
        <w:t>Repairs to drive line units in terms of contract 19/1/9/1/38TV (11);</w:t>
      </w:r>
    </w:p>
    <w:p w:rsidR="005A4970" w:rsidRPr="00457FB1" w:rsidRDefault="005A4970" w:rsidP="00580967">
      <w:pPr>
        <w:pStyle w:val="BodyTextIndent2"/>
        <w:tabs>
          <w:tab w:val="left" w:pos="720"/>
        </w:tabs>
        <w:spacing w:before="100" w:beforeAutospacing="1" w:after="100" w:afterAutospacing="1"/>
        <w:ind w:left="864" w:hanging="1584"/>
        <w:jc w:val="both"/>
        <w:rPr>
          <w:rFonts w:ascii="Arial" w:hAnsi="Arial" w:cs="Arial"/>
          <w:szCs w:val="24"/>
        </w:rPr>
      </w:pPr>
      <w:r w:rsidRPr="00457FB1">
        <w:rPr>
          <w:rFonts w:ascii="Arial" w:hAnsi="Arial" w:cs="Arial"/>
          <w:szCs w:val="24"/>
        </w:rPr>
        <w:tab/>
      </w:r>
      <w:r w:rsidRPr="00457FB1">
        <w:rPr>
          <w:rFonts w:ascii="Arial" w:hAnsi="Arial" w:cs="Arial"/>
          <w:szCs w:val="24"/>
        </w:rPr>
        <w:tab/>
        <w:t>•</w:t>
      </w:r>
      <w:r w:rsidRPr="00457FB1">
        <w:rPr>
          <w:rFonts w:ascii="Arial" w:hAnsi="Arial" w:cs="Arial"/>
          <w:szCs w:val="24"/>
        </w:rPr>
        <w:tab/>
        <w:t>Outsourcing of repairs on a strip and quote basis to single source suppliers;</w:t>
      </w:r>
    </w:p>
    <w:p w:rsidR="005A4970" w:rsidRPr="00457FB1" w:rsidRDefault="005A4970" w:rsidP="00580967">
      <w:pPr>
        <w:pStyle w:val="BodyTextIndent2"/>
        <w:tabs>
          <w:tab w:val="left" w:pos="720"/>
        </w:tabs>
        <w:spacing w:before="100" w:beforeAutospacing="1" w:after="100" w:afterAutospacing="1"/>
        <w:ind w:left="720"/>
        <w:jc w:val="both"/>
        <w:rPr>
          <w:rFonts w:ascii="Arial" w:hAnsi="Arial" w:cs="Arial"/>
          <w:szCs w:val="24"/>
        </w:rPr>
      </w:pPr>
      <w:r w:rsidRPr="00457FB1">
        <w:rPr>
          <w:rFonts w:ascii="Arial" w:hAnsi="Arial" w:cs="Arial"/>
          <w:szCs w:val="24"/>
        </w:rPr>
        <w:tab/>
      </w:r>
      <w:r w:rsidRPr="00457FB1">
        <w:rPr>
          <w:rFonts w:ascii="Arial" w:hAnsi="Arial" w:cs="Arial"/>
          <w:szCs w:val="24"/>
        </w:rPr>
        <w:tab/>
        <w:t>•</w:t>
      </w:r>
      <w:r w:rsidRPr="00457FB1">
        <w:rPr>
          <w:rFonts w:ascii="Arial" w:hAnsi="Arial" w:cs="Arial"/>
          <w:szCs w:val="24"/>
        </w:rPr>
        <w:tab/>
        <w:t>Obtaining parts from the vehicle manufacturer’s agents;</w:t>
      </w:r>
    </w:p>
    <w:p w:rsidR="005A4970" w:rsidRPr="00457FB1" w:rsidRDefault="005A4970" w:rsidP="00580967">
      <w:pPr>
        <w:pStyle w:val="BodyTextIndent2"/>
        <w:tabs>
          <w:tab w:val="left" w:pos="720"/>
        </w:tabs>
        <w:spacing w:before="100" w:beforeAutospacing="1" w:after="100" w:afterAutospacing="1"/>
        <w:ind w:left="864" w:hanging="1584"/>
        <w:jc w:val="both"/>
        <w:rPr>
          <w:rFonts w:ascii="Arial" w:hAnsi="Arial" w:cs="Arial"/>
          <w:szCs w:val="24"/>
        </w:rPr>
      </w:pPr>
      <w:r w:rsidRPr="00457FB1">
        <w:rPr>
          <w:rFonts w:ascii="Arial" w:hAnsi="Arial" w:cs="Arial"/>
          <w:szCs w:val="24"/>
        </w:rPr>
        <w:tab/>
      </w:r>
      <w:r w:rsidRPr="00457FB1">
        <w:rPr>
          <w:rFonts w:ascii="Arial" w:hAnsi="Arial" w:cs="Arial"/>
          <w:szCs w:val="24"/>
        </w:rPr>
        <w:tab/>
        <w:t>•</w:t>
      </w:r>
      <w:r w:rsidRPr="00457FB1">
        <w:rPr>
          <w:rFonts w:ascii="Arial" w:hAnsi="Arial" w:cs="Arial"/>
          <w:szCs w:val="24"/>
        </w:rPr>
        <w:tab/>
        <w:t>Utilizing of serviceable parts from SAPS vehicles already boarded (“cannibalizing”), and</w:t>
      </w:r>
    </w:p>
    <w:p w:rsidR="005A4970" w:rsidRPr="00457FB1" w:rsidRDefault="005A4970" w:rsidP="00580967">
      <w:pPr>
        <w:pStyle w:val="BodyTextIndent2"/>
        <w:tabs>
          <w:tab w:val="left" w:pos="720"/>
        </w:tabs>
        <w:spacing w:before="100" w:beforeAutospacing="1" w:after="100" w:afterAutospacing="1"/>
        <w:ind w:left="720"/>
        <w:jc w:val="both"/>
        <w:rPr>
          <w:rFonts w:ascii="Arial" w:hAnsi="Arial" w:cs="Arial"/>
          <w:szCs w:val="24"/>
        </w:rPr>
      </w:pPr>
      <w:r w:rsidRPr="00457FB1">
        <w:rPr>
          <w:rFonts w:ascii="Arial" w:hAnsi="Arial" w:cs="Arial"/>
          <w:szCs w:val="24"/>
        </w:rPr>
        <w:tab/>
      </w:r>
      <w:r w:rsidRPr="00457FB1">
        <w:rPr>
          <w:rFonts w:ascii="Arial" w:hAnsi="Arial" w:cs="Arial"/>
          <w:szCs w:val="24"/>
        </w:rPr>
        <w:tab/>
        <w:t>•</w:t>
      </w:r>
      <w:r w:rsidRPr="00457FB1">
        <w:rPr>
          <w:rFonts w:ascii="Arial" w:hAnsi="Arial" w:cs="Arial"/>
          <w:szCs w:val="24"/>
        </w:rPr>
        <w:tab/>
        <w:t>Maintaining vehicles in terms of contract RT46.</w:t>
      </w:r>
    </w:p>
    <w:p w:rsidR="005A4970" w:rsidRPr="00457FB1" w:rsidRDefault="005A4970" w:rsidP="00580967">
      <w:pPr>
        <w:pStyle w:val="BodyTextIndent2"/>
        <w:tabs>
          <w:tab w:val="clear" w:pos="432"/>
          <w:tab w:val="left" w:pos="426"/>
        </w:tabs>
        <w:spacing w:before="100" w:beforeAutospacing="1" w:after="100" w:afterAutospacing="1"/>
        <w:ind w:left="426" w:firstLine="0"/>
        <w:jc w:val="both"/>
        <w:rPr>
          <w:rFonts w:ascii="Arial" w:hAnsi="Arial" w:cs="Arial"/>
          <w:szCs w:val="24"/>
        </w:rPr>
      </w:pPr>
      <w:r w:rsidRPr="00457FB1">
        <w:rPr>
          <w:rFonts w:ascii="Arial" w:hAnsi="Arial" w:cs="Arial"/>
          <w:szCs w:val="24"/>
        </w:rPr>
        <w:lastRenderedPageBreak/>
        <w:t>All SAPS garages are expected to ensure that a minimum of 80% or more of the vehicle fleet is available for policing at all times, and it is continually monitored to ensure this target is met or exceeded. The current national vehicle availability ratio is 83.35% average as on 30 June 2015.</w:t>
      </w:r>
    </w:p>
    <w:p w:rsidR="005A4970" w:rsidRPr="00457FB1" w:rsidRDefault="005A4970" w:rsidP="00580967">
      <w:pPr>
        <w:pStyle w:val="BodyTextIndent2"/>
        <w:tabs>
          <w:tab w:val="clear" w:pos="432"/>
          <w:tab w:val="left" w:pos="426"/>
        </w:tabs>
        <w:spacing w:before="100" w:beforeAutospacing="1" w:after="100" w:afterAutospacing="1"/>
        <w:ind w:left="426" w:firstLine="0"/>
        <w:jc w:val="both"/>
        <w:rPr>
          <w:rFonts w:ascii="Arial" w:hAnsi="Arial" w:cs="Arial"/>
          <w:szCs w:val="24"/>
        </w:rPr>
      </w:pPr>
      <w:r w:rsidRPr="00457FB1">
        <w:rPr>
          <w:rFonts w:ascii="Arial" w:hAnsi="Arial" w:cs="Arial"/>
          <w:szCs w:val="24"/>
        </w:rPr>
        <w:t>It will be very time consuming to collate all the statistics relating to each border post and post of entry where there are SAPS members and vehicles; however the average time spent for SAPS vehicles in the garages for services was two (2) days during the 2014/15 financial year and we are striving to improve thereon and reduce the average to one (1) day.</w:t>
      </w:r>
    </w:p>
    <w:p w:rsidR="005A4970" w:rsidRPr="00457FB1" w:rsidRDefault="005A4970" w:rsidP="00580967">
      <w:pPr>
        <w:pStyle w:val="BodyTextIndent2"/>
        <w:tabs>
          <w:tab w:val="left" w:pos="720"/>
        </w:tabs>
        <w:ind w:left="426" w:hanging="426"/>
        <w:jc w:val="both"/>
        <w:rPr>
          <w:rFonts w:ascii="Arial" w:hAnsi="Arial" w:cs="Arial"/>
          <w:szCs w:val="24"/>
        </w:rPr>
      </w:pPr>
      <w:r w:rsidRPr="00457FB1">
        <w:rPr>
          <w:rFonts w:ascii="Arial" w:hAnsi="Arial" w:cs="Arial"/>
        </w:rPr>
        <w:t>(e)</w:t>
      </w:r>
      <w:r w:rsidRPr="00457FB1">
        <w:rPr>
          <w:rFonts w:ascii="Arial" w:hAnsi="Arial" w:cs="Arial"/>
        </w:rPr>
        <w:tab/>
        <w:t>Since 2010 all members assigned to Border Policing completed the Z204 vetting forms for vetting process, all documents were received and forwarded to the Division Crime Intelligence for vetting processes. Over and above that process, the government departments, through the BCOCC, have collectively arranged with the National School of Government, previously known as PALAMA, for workshops on corruption that included attend</w:t>
      </w:r>
      <w:r>
        <w:rPr>
          <w:rFonts w:ascii="Arial" w:hAnsi="Arial" w:cs="Arial"/>
        </w:rPr>
        <w:t>ance by various ports members.</w:t>
      </w:r>
    </w:p>
    <w:p w:rsidR="005A4970" w:rsidRPr="00457FB1" w:rsidRDefault="005A4970" w:rsidP="00580967">
      <w:pPr>
        <w:pStyle w:val="BodyTextIndent2"/>
        <w:tabs>
          <w:tab w:val="clear" w:pos="864"/>
          <w:tab w:val="left" w:pos="720"/>
        </w:tabs>
        <w:spacing w:before="100" w:beforeAutospacing="1" w:after="100" w:afterAutospacing="1"/>
        <w:ind w:left="432" w:firstLine="0"/>
        <w:jc w:val="both"/>
        <w:rPr>
          <w:rFonts w:ascii="Arial" w:hAnsi="Arial" w:cs="Arial"/>
          <w:szCs w:val="24"/>
        </w:rPr>
      </w:pPr>
      <w:r w:rsidRPr="00457FB1">
        <w:rPr>
          <w:rFonts w:ascii="Arial" w:hAnsi="Arial" w:cs="Arial"/>
        </w:rPr>
        <w:t>C</w:t>
      </w:r>
      <w:r w:rsidRPr="00457FB1">
        <w:rPr>
          <w:rFonts w:ascii="Arial" w:hAnsi="Arial" w:cs="Arial"/>
          <w:szCs w:val="24"/>
        </w:rPr>
        <w:t>ases of corruption against members at Ports of Entry during the period 30 June 2010 to 30 June 2015 is as follows:</w:t>
      </w:r>
    </w:p>
    <w:p w:rsidR="005A4970" w:rsidRPr="00457FB1" w:rsidRDefault="005A4970" w:rsidP="00857C67">
      <w:pPr>
        <w:widowControl w:val="0"/>
        <w:rPr>
          <w:rFonts w:ascii="Arial" w:hAnsi="Arial" w:cs="Arial"/>
          <w:b/>
        </w:rPr>
      </w:pPr>
      <w:r w:rsidRPr="00457FB1">
        <w:rPr>
          <w:rFonts w:ascii="Arial" w:hAnsi="Arial" w:cs="Arial"/>
          <w:b/>
        </w:rPr>
        <w:t xml:space="preserve">CORRUPTION CASES APRIL 2010 - MARCH 2011 </w:t>
      </w:r>
    </w:p>
    <w:p w:rsidR="005A4970" w:rsidRPr="00457FB1" w:rsidRDefault="005A4970" w:rsidP="00857C67">
      <w:pPr>
        <w:widowControl w:val="0"/>
        <w:rPr>
          <w:rFonts w:ascii="Arial" w:hAnsi="Arial" w:cs="Arial"/>
        </w:rPr>
      </w:pPr>
    </w:p>
    <w:tbl>
      <w:tblPr>
        <w:tblW w:w="949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tblPr>
      <w:tblGrid>
        <w:gridCol w:w="2127"/>
        <w:gridCol w:w="1701"/>
        <w:gridCol w:w="2835"/>
        <w:gridCol w:w="2835"/>
      </w:tblGrid>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Name  of  Ports  </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Case No </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Members involved  </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 Outcome of Case</w:t>
            </w:r>
          </w:p>
        </w:tc>
      </w:tr>
      <w:tr w:rsidR="005A4970" w:rsidRPr="00457FB1" w:rsidTr="00AB7478">
        <w:trPr>
          <w:cantSplit/>
          <w:trHeight w:val="367"/>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Beitbridge</w:t>
            </w:r>
            <w:proofErr w:type="spellEnd"/>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170/02/2011</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tc>
      </w:tr>
      <w:tr w:rsidR="005A4970" w:rsidRPr="00457FB1" w:rsidTr="00AB7478">
        <w:trPr>
          <w:cantSplit/>
        </w:trPr>
        <w:tc>
          <w:tcPr>
            <w:tcW w:w="2127" w:type="dxa"/>
            <w:vMerge w:val="restart"/>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ORTIA</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54/08/2010</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 xml:space="preserve">Filed </w:t>
            </w:r>
          </w:p>
        </w:tc>
      </w:tr>
      <w:tr w:rsidR="005A4970" w:rsidRPr="00457FB1" w:rsidTr="00AB7478">
        <w:trPr>
          <w:cantSplit/>
        </w:trPr>
        <w:tc>
          <w:tcPr>
            <w:tcW w:w="2127" w:type="dxa"/>
            <w:vMerge/>
            <w:tcMar>
              <w:top w:w="120" w:type="dxa"/>
              <w:left w:w="120" w:type="dxa"/>
              <w:bottom w:w="58" w:type="dxa"/>
              <w:right w:w="120" w:type="dxa"/>
            </w:tcMar>
          </w:tcPr>
          <w:p w:rsidR="005A4970" w:rsidRPr="00457FB1" w:rsidRDefault="005A4970" w:rsidP="00AB7478">
            <w:pPr>
              <w:widowControl w:val="0"/>
              <w:rPr>
                <w:rFonts w:ascii="Arial" w:hAnsi="Arial" w:cs="Arial"/>
              </w:rPr>
            </w:pP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200/06/2010</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Filed</w:t>
            </w:r>
          </w:p>
        </w:tc>
      </w:tr>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Kopfontein</w:t>
            </w:r>
            <w:proofErr w:type="spellEnd"/>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27/04/2010</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Officials</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Remanded 2015-08-05</w:t>
            </w:r>
          </w:p>
        </w:tc>
      </w:tr>
      <w:tr w:rsidR="005A4970" w:rsidRPr="00457FB1" w:rsidTr="00AB7478">
        <w:trPr>
          <w:cantSplit/>
          <w:trHeight w:val="403"/>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Durban Harbour</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98/11/2010</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Officials</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Not guilty</w:t>
            </w:r>
          </w:p>
        </w:tc>
      </w:tr>
    </w:tbl>
    <w:p w:rsidR="005A4970" w:rsidRPr="00457FB1" w:rsidRDefault="005A4970" w:rsidP="00857C67">
      <w:pPr>
        <w:widowControl w:val="0"/>
        <w:rPr>
          <w:rFonts w:ascii="Arial" w:hAnsi="Arial" w:cs="Arial"/>
          <w:b/>
        </w:rPr>
      </w:pPr>
    </w:p>
    <w:p w:rsidR="005A4970" w:rsidRPr="00457FB1" w:rsidRDefault="005A4970" w:rsidP="00857C67">
      <w:pPr>
        <w:widowControl w:val="0"/>
        <w:rPr>
          <w:rFonts w:ascii="Arial" w:hAnsi="Arial" w:cs="Arial"/>
          <w:b/>
        </w:rPr>
      </w:pPr>
    </w:p>
    <w:p w:rsidR="005A4970" w:rsidRPr="00457FB1" w:rsidRDefault="005A4970" w:rsidP="00857C67">
      <w:pPr>
        <w:widowControl w:val="0"/>
        <w:rPr>
          <w:rFonts w:ascii="Arial" w:hAnsi="Arial" w:cs="Arial"/>
          <w:b/>
        </w:rPr>
      </w:pPr>
    </w:p>
    <w:p w:rsidR="005A4970" w:rsidRPr="00457FB1" w:rsidRDefault="005A4970" w:rsidP="00857C67">
      <w:pPr>
        <w:widowControl w:val="0"/>
        <w:rPr>
          <w:rFonts w:ascii="Arial" w:hAnsi="Arial" w:cs="Arial"/>
          <w:b/>
        </w:rPr>
      </w:pPr>
    </w:p>
    <w:p w:rsidR="005A4970" w:rsidRPr="00457FB1" w:rsidRDefault="005A4970" w:rsidP="00857C67">
      <w:pPr>
        <w:widowControl w:val="0"/>
        <w:rPr>
          <w:rFonts w:ascii="Arial" w:hAnsi="Arial" w:cs="Arial"/>
          <w:b/>
        </w:rPr>
      </w:pPr>
    </w:p>
    <w:p w:rsidR="005A4970" w:rsidRPr="00457FB1" w:rsidRDefault="005A4970" w:rsidP="00857C67">
      <w:pPr>
        <w:widowControl w:val="0"/>
        <w:rPr>
          <w:rFonts w:ascii="Arial" w:hAnsi="Arial" w:cs="Arial"/>
          <w:b/>
        </w:rPr>
      </w:pPr>
      <w:r w:rsidRPr="00457FB1">
        <w:rPr>
          <w:rFonts w:ascii="Arial" w:hAnsi="Arial" w:cs="Arial"/>
          <w:b/>
        </w:rPr>
        <w:lastRenderedPageBreak/>
        <w:t xml:space="preserve">CORRUPTION CASES APRIL 2011 - MARCH 2012 </w:t>
      </w:r>
    </w:p>
    <w:p w:rsidR="005A4970" w:rsidRPr="00457FB1" w:rsidRDefault="005A4970" w:rsidP="00857C67">
      <w:pPr>
        <w:widowControl w:val="0"/>
        <w:rPr>
          <w:rFonts w:ascii="Arial" w:hAnsi="Arial" w:cs="Arial"/>
        </w:rPr>
      </w:pPr>
    </w:p>
    <w:tbl>
      <w:tblPr>
        <w:tblW w:w="949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tblPr>
      <w:tblGrid>
        <w:gridCol w:w="2127"/>
        <w:gridCol w:w="1701"/>
        <w:gridCol w:w="2835"/>
        <w:gridCol w:w="2835"/>
      </w:tblGrid>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Name  of  Ports  </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Case No </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Members involved  </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 Outcome of Case</w:t>
            </w:r>
          </w:p>
        </w:tc>
      </w:tr>
      <w:tr w:rsidR="005A4970" w:rsidRPr="00457FB1" w:rsidTr="00AB7478">
        <w:trPr>
          <w:cantSplit/>
          <w:trHeight w:val="367"/>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ORTIA</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56/06/2011</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tc>
      </w:tr>
      <w:tr w:rsidR="005A4970" w:rsidRPr="00457FB1" w:rsidTr="00AB7478">
        <w:trPr>
          <w:cantSplit/>
        </w:trPr>
        <w:tc>
          <w:tcPr>
            <w:tcW w:w="2127" w:type="dxa"/>
            <w:vMerge w:val="restart"/>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Golela</w:t>
            </w:r>
            <w:proofErr w:type="spellEnd"/>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226/05/2011</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tc>
      </w:tr>
      <w:tr w:rsidR="005A4970" w:rsidRPr="00457FB1" w:rsidTr="00AB7478">
        <w:trPr>
          <w:cantSplit/>
        </w:trPr>
        <w:tc>
          <w:tcPr>
            <w:tcW w:w="2127" w:type="dxa"/>
            <w:vMerge/>
            <w:tcMar>
              <w:top w:w="120" w:type="dxa"/>
              <w:left w:w="120" w:type="dxa"/>
              <w:bottom w:w="58" w:type="dxa"/>
              <w:right w:w="120" w:type="dxa"/>
            </w:tcMar>
          </w:tcPr>
          <w:p w:rsidR="005A4970" w:rsidRPr="00457FB1" w:rsidRDefault="005A4970" w:rsidP="00AB7478">
            <w:pPr>
              <w:widowControl w:val="0"/>
              <w:rPr>
                <w:rFonts w:ascii="Arial" w:hAnsi="Arial" w:cs="Arial"/>
              </w:rPr>
            </w:pP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305/06/2011</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Not guilty/Acquitted</w:t>
            </w:r>
          </w:p>
        </w:tc>
      </w:tr>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Durban Harbour</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201/11/2011</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 x SAPS Officials</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Fine R2 000.00</w:t>
            </w:r>
          </w:p>
        </w:tc>
      </w:tr>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OR Tambo</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202/11/2011</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 x SAPS Officials</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Not guilty</w:t>
            </w:r>
          </w:p>
        </w:tc>
      </w:tr>
      <w:tr w:rsidR="005A4970" w:rsidRPr="00457FB1" w:rsidTr="00AB7478">
        <w:trPr>
          <w:cantSplit/>
          <w:trHeight w:val="403"/>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Durban Harbour</w:t>
            </w:r>
          </w:p>
        </w:tc>
        <w:tc>
          <w:tcPr>
            <w:tcW w:w="1701"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89/01/2012</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4 x SAPS Officials</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tc>
      </w:tr>
    </w:tbl>
    <w:p w:rsidR="005A4970" w:rsidRPr="00457FB1" w:rsidRDefault="005A4970" w:rsidP="00857C67">
      <w:pPr>
        <w:widowControl w:val="0"/>
        <w:rPr>
          <w:rFonts w:ascii="Arial" w:hAnsi="Arial" w:cs="Arial"/>
        </w:rPr>
      </w:pPr>
    </w:p>
    <w:p w:rsidR="005A4970" w:rsidRPr="00457FB1" w:rsidRDefault="005A4970" w:rsidP="00857C67">
      <w:pPr>
        <w:widowControl w:val="0"/>
        <w:rPr>
          <w:rFonts w:ascii="Arial" w:hAnsi="Arial" w:cs="Arial"/>
          <w:b/>
        </w:rPr>
      </w:pPr>
    </w:p>
    <w:p w:rsidR="005A4970" w:rsidRPr="00457FB1" w:rsidRDefault="005A4970" w:rsidP="00857C67">
      <w:pPr>
        <w:widowControl w:val="0"/>
        <w:rPr>
          <w:rFonts w:ascii="Arial" w:hAnsi="Arial" w:cs="Arial"/>
          <w:b/>
        </w:rPr>
      </w:pPr>
      <w:r w:rsidRPr="00457FB1">
        <w:rPr>
          <w:rFonts w:ascii="Arial" w:hAnsi="Arial" w:cs="Arial"/>
          <w:b/>
        </w:rPr>
        <w:t>CORRUPTION CASES APRIL 2012 - MARCH 2013</w:t>
      </w:r>
    </w:p>
    <w:p w:rsidR="005A4970" w:rsidRPr="00457FB1" w:rsidRDefault="005A4970" w:rsidP="00857C67">
      <w:pPr>
        <w:widowControl w:val="0"/>
        <w:rPr>
          <w:rFonts w:ascii="Arial" w:hAnsi="Arial" w:cs="Arial"/>
          <w:b/>
        </w:rPr>
      </w:pPr>
    </w:p>
    <w:tbl>
      <w:tblPr>
        <w:tblW w:w="949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tblPr>
      <w:tblGrid>
        <w:gridCol w:w="2127"/>
        <w:gridCol w:w="1842"/>
        <w:gridCol w:w="2694"/>
        <w:gridCol w:w="2835"/>
      </w:tblGrid>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Name  of  Port  </w:t>
            </w: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Case No </w:t>
            </w:r>
          </w:p>
        </w:tc>
        <w:tc>
          <w:tcPr>
            <w:tcW w:w="2694"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Members involved  </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 Outcome of Case</w:t>
            </w:r>
          </w:p>
        </w:tc>
      </w:tr>
      <w:tr w:rsidR="005A4970" w:rsidRPr="00457FB1" w:rsidTr="00AB7478">
        <w:trPr>
          <w:cantSplit/>
          <w:trHeight w:val="531"/>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ORTIA</w:t>
            </w:r>
          </w:p>
          <w:p w:rsidR="005A4970" w:rsidRPr="00457FB1" w:rsidRDefault="005A4970" w:rsidP="00AB7478">
            <w:pPr>
              <w:widowControl w:val="0"/>
              <w:rPr>
                <w:rFonts w:ascii="Arial" w:hAnsi="Arial" w:cs="Arial"/>
              </w:rPr>
            </w:pP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36/07/2012</w:t>
            </w:r>
          </w:p>
          <w:p w:rsidR="005A4970" w:rsidRPr="00457FB1" w:rsidRDefault="005A4970" w:rsidP="00AB7478">
            <w:pPr>
              <w:widowControl w:val="0"/>
              <w:rPr>
                <w:rFonts w:ascii="Arial" w:hAnsi="Arial" w:cs="Arial"/>
              </w:rPr>
            </w:pPr>
            <w:r w:rsidRPr="00457FB1">
              <w:rPr>
                <w:rFonts w:ascii="Arial" w:hAnsi="Arial" w:cs="Arial"/>
              </w:rPr>
              <w:t>51/11/2012</w:t>
            </w:r>
          </w:p>
        </w:tc>
        <w:tc>
          <w:tcPr>
            <w:tcW w:w="269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 xml:space="preserve">1 x SAPS Official   </w:t>
            </w:r>
          </w:p>
          <w:p w:rsidR="005A4970" w:rsidRPr="00457FB1" w:rsidRDefault="005A4970" w:rsidP="00AB7478">
            <w:pPr>
              <w:widowControl w:val="0"/>
              <w:rPr>
                <w:rFonts w:ascii="Arial" w:hAnsi="Arial" w:cs="Arial"/>
              </w:rPr>
            </w:pPr>
            <w:r w:rsidRPr="00457FB1">
              <w:rPr>
                <w:rFonts w:ascii="Arial" w:hAnsi="Arial" w:cs="Arial"/>
              </w:rPr>
              <w:t>3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Guilty- imprisonment</w:t>
            </w:r>
          </w:p>
          <w:p w:rsidR="005A4970" w:rsidRPr="00457FB1" w:rsidRDefault="005A4970" w:rsidP="00AB7478">
            <w:pPr>
              <w:widowControl w:val="0"/>
              <w:rPr>
                <w:rFonts w:ascii="Arial" w:hAnsi="Arial" w:cs="Arial"/>
              </w:rPr>
            </w:pPr>
            <w:r w:rsidRPr="00457FB1">
              <w:rPr>
                <w:rFonts w:ascii="Arial" w:hAnsi="Arial" w:cs="Arial"/>
              </w:rPr>
              <w:t>Guilty- fine</w:t>
            </w:r>
          </w:p>
        </w:tc>
      </w:tr>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Beit</w:t>
            </w:r>
            <w:proofErr w:type="spellEnd"/>
            <w:r w:rsidRPr="00457FB1">
              <w:rPr>
                <w:rFonts w:ascii="Arial" w:hAnsi="Arial" w:cs="Arial"/>
              </w:rPr>
              <w:t xml:space="preserve"> Bridge</w:t>
            </w: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Musina</w:t>
            </w:r>
            <w:proofErr w:type="spellEnd"/>
            <w:r w:rsidRPr="00457FB1">
              <w:rPr>
                <w:rFonts w:ascii="Arial" w:hAnsi="Arial" w:cs="Arial"/>
              </w:rPr>
              <w:t xml:space="preserve"> 303/06/2012</w:t>
            </w:r>
          </w:p>
        </w:tc>
        <w:tc>
          <w:tcPr>
            <w:tcW w:w="2694" w:type="dxa"/>
            <w:tcMar>
              <w:top w:w="120" w:type="dxa"/>
              <w:left w:w="120" w:type="dxa"/>
              <w:bottom w:w="58" w:type="dxa"/>
              <w:right w:w="120" w:type="dxa"/>
            </w:tcMar>
          </w:tcPr>
          <w:p w:rsidR="005A4970" w:rsidRPr="00457FB1" w:rsidRDefault="005A4970" w:rsidP="00AB7478">
            <w:pPr>
              <w:rPr>
                <w:rFonts w:ascii="Arial" w:hAnsi="Arial" w:cs="Arial"/>
              </w:rPr>
            </w:pPr>
            <w:r w:rsidRPr="00457FB1">
              <w:rPr>
                <w:rFonts w:ascii="Arial" w:hAnsi="Arial" w:cs="Arial"/>
              </w:rPr>
              <w:t xml:space="preserve">1 x SAPS member </w:t>
            </w:r>
          </w:p>
        </w:tc>
        <w:tc>
          <w:tcPr>
            <w:tcW w:w="2835" w:type="dxa"/>
            <w:tcMar>
              <w:top w:w="120" w:type="dxa"/>
              <w:left w:w="120" w:type="dxa"/>
              <w:bottom w:w="58" w:type="dxa"/>
              <w:right w:w="120" w:type="dxa"/>
            </w:tcMar>
          </w:tcPr>
          <w:p w:rsidR="005A4970" w:rsidRPr="00457FB1" w:rsidRDefault="005A4970" w:rsidP="00AB7478">
            <w:pPr>
              <w:rPr>
                <w:rFonts w:ascii="Arial" w:hAnsi="Arial" w:cs="Arial"/>
              </w:rPr>
            </w:pPr>
            <w:r w:rsidRPr="00457FB1">
              <w:rPr>
                <w:rFonts w:ascii="Arial" w:hAnsi="Arial" w:cs="Arial"/>
              </w:rPr>
              <w:t>Not guilty</w:t>
            </w:r>
          </w:p>
        </w:tc>
      </w:tr>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Jeppes</w:t>
            </w:r>
            <w:proofErr w:type="spellEnd"/>
            <w:r w:rsidRPr="00457FB1">
              <w:rPr>
                <w:rFonts w:ascii="Arial" w:hAnsi="Arial" w:cs="Arial"/>
              </w:rPr>
              <w:t xml:space="preserve"> Reef</w:t>
            </w: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Schoemansdal</w:t>
            </w:r>
            <w:proofErr w:type="spellEnd"/>
            <w:r w:rsidRPr="00457FB1">
              <w:rPr>
                <w:rFonts w:ascii="Arial" w:hAnsi="Arial" w:cs="Arial"/>
              </w:rPr>
              <w:t xml:space="preserve"> 82/11/2012</w:t>
            </w:r>
          </w:p>
        </w:tc>
        <w:tc>
          <w:tcPr>
            <w:tcW w:w="269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 xml:space="preserve">1 x SAPS Member </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tc>
      </w:tr>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Durban HBR</w:t>
            </w: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Maydon</w:t>
            </w:r>
            <w:proofErr w:type="spellEnd"/>
            <w:r w:rsidRPr="00457FB1">
              <w:rPr>
                <w:rFonts w:ascii="Arial" w:hAnsi="Arial" w:cs="Arial"/>
              </w:rPr>
              <w:t xml:space="preserve"> wharf 13/12/2012</w:t>
            </w:r>
          </w:p>
        </w:tc>
        <w:tc>
          <w:tcPr>
            <w:tcW w:w="269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 x SAPS Official</w:t>
            </w:r>
          </w:p>
        </w:tc>
        <w:tc>
          <w:tcPr>
            <w:tcW w:w="283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Not guilty</w:t>
            </w:r>
          </w:p>
        </w:tc>
      </w:tr>
    </w:tbl>
    <w:p w:rsidR="005A4970" w:rsidRPr="00457FB1" w:rsidRDefault="005A4970" w:rsidP="00857C67">
      <w:pPr>
        <w:widowControl w:val="0"/>
        <w:rPr>
          <w:rFonts w:ascii="Arial" w:hAnsi="Arial" w:cs="Arial"/>
        </w:rPr>
      </w:pPr>
    </w:p>
    <w:p w:rsidR="005A4970" w:rsidRPr="00457FB1" w:rsidRDefault="005A4970" w:rsidP="00857C67">
      <w:pPr>
        <w:widowControl w:val="0"/>
        <w:rPr>
          <w:rFonts w:ascii="Arial" w:hAnsi="Arial" w:cs="Arial"/>
        </w:rPr>
      </w:pPr>
    </w:p>
    <w:p w:rsidR="005A4970" w:rsidRPr="00457FB1" w:rsidRDefault="005A4970" w:rsidP="00857C67">
      <w:pPr>
        <w:widowControl w:val="0"/>
        <w:rPr>
          <w:rFonts w:ascii="Arial" w:hAnsi="Arial" w:cs="Arial"/>
          <w:b/>
        </w:rPr>
      </w:pPr>
      <w:r w:rsidRPr="00457FB1">
        <w:rPr>
          <w:rFonts w:ascii="Arial" w:hAnsi="Arial" w:cs="Arial"/>
          <w:b/>
        </w:rPr>
        <w:t>CORRUPTION CASES APRIL 2013 - MARCH 2014</w:t>
      </w:r>
    </w:p>
    <w:p w:rsidR="005A4970" w:rsidRPr="00457FB1" w:rsidRDefault="005A4970" w:rsidP="00857C67">
      <w:pPr>
        <w:widowControl w:val="0"/>
        <w:rPr>
          <w:rFonts w:ascii="Arial" w:hAnsi="Arial" w:cs="Arial"/>
          <w:b/>
        </w:rPr>
      </w:pPr>
    </w:p>
    <w:tbl>
      <w:tblPr>
        <w:tblW w:w="949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tblPr>
      <w:tblGrid>
        <w:gridCol w:w="2127"/>
        <w:gridCol w:w="1842"/>
        <w:gridCol w:w="2410"/>
        <w:gridCol w:w="3119"/>
      </w:tblGrid>
      <w:tr w:rsidR="005A4970" w:rsidRPr="00457FB1" w:rsidTr="00AB7478">
        <w:trPr>
          <w:cantSplit/>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Name  of  Port  </w:t>
            </w: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Case No </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Members involved  </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 Outcome of Case</w:t>
            </w:r>
          </w:p>
        </w:tc>
      </w:tr>
      <w:tr w:rsidR="005A4970" w:rsidRPr="00457FB1" w:rsidTr="00AB7478">
        <w:trPr>
          <w:cantSplit/>
          <w:trHeight w:val="828"/>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Beit</w:t>
            </w:r>
            <w:proofErr w:type="spellEnd"/>
            <w:r w:rsidRPr="00457FB1">
              <w:rPr>
                <w:rFonts w:ascii="Arial" w:hAnsi="Arial" w:cs="Arial"/>
              </w:rPr>
              <w:t xml:space="preserve"> bridge</w:t>
            </w:r>
          </w:p>
          <w:p w:rsidR="005A4970" w:rsidRPr="00457FB1" w:rsidRDefault="005A4970" w:rsidP="00AB7478">
            <w:pPr>
              <w:widowControl w:val="0"/>
              <w:rPr>
                <w:rFonts w:ascii="Arial" w:hAnsi="Arial" w:cs="Arial"/>
              </w:rPr>
            </w:pP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sz w:val="22"/>
              </w:rPr>
              <w:t>299/12/2013</w:t>
            </w:r>
          </w:p>
          <w:p w:rsidR="005A4970" w:rsidRPr="00457FB1" w:rsidRDefault="005A4970" w:rsidP="00AB7478">
            <w:pPr>
              <w:widowControl w:val="0"/>
              <w:rPr>
                <w:rFonts w:ascii="Arial" w:hAnsi="Arial" w:cs="Arial"/>
              </w:rPr>
            </w:pPr>
            <w:r w:rsidRPr="00457FB1">
              <w:rPr>
                <w:rFonts w:ascii="Arial" w:hAnsi="Arial" w:cs="Arial"/>
                <w:sz w:val="22"/>
              </w:rPr>
              <w:t>405/12/2013</w:t>
            </w:r>
          </w:p>
          <w:p w:rsidR="005A4970" w:rsidRPr="00457FB1" w:rsidRDefault="005A4970" w:rsidP="00AB7478">
            <w:pPr>
              <w:widowControl w:val="0"/>
              <w:rPr>
                <w:rFonts w:ascii="Arial" w:hAnsi="Arial" w:cs="Arial"/>
              </w:rPr>
            </w:pPr>
            <w:r w:rsidRPr="00457FB1">
              <w:rPr>
                <w:rFonts w:ascii="Arial" w:hAnsi="Arial" w:cs="Arial"/>
                <w:sz w:val="22"/>
              </w:rPr>
              <w:t>406/12/2013</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w:t>
            </w:r>
          </w:p>
          <w:p w:rsidR="005A4970" w:rsidRPr="00457FB1" w:rsidRDefault="005A4970" w:rsidP="00AB7478">
            <w:pPr>
              <w:widowControl w:val="0"/>
              <w:rPr>
                <w:rFonts w:ascii="Arial" w:hAnsi="Arial" w:cs="Arial"/>
              </w:rPr>
            </w:pPr>
            <w:r w:rsidRPr="00457FB1">
              <w:rPr>
                <w:rFonts w:ascii="Arial" w:hAnsi="Arial" w:cs="Arial"/>
              </w:rPr>
              <w:t>1 x SAPS</w:t>
            </w:r>
          </w:p>
          <w:p w:rsidR="005A4970" w:rsidRPr="00457FB1" w:rsidRDefault="005A4970" w:rsidP="00AB7478">
            <w:pPr>
              <w:widowControl w:val="0"/>
              <w:rPr>
                <w:rFonts w:ascii="Arial" w:hAnsi="Arial" w:cs="Arial"/>
              </w:rPr>
            </w:pPr>
            <w:r w:rsidRPr="00457FB1">
              <w:rPr>
                <w:rFonts w:ascii="Arial" w:hAnsi="Arial" w:cs="Arial"/>
              </w:rPr>
              <w:t>1 x SAPS</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Not guilty</w:t>
            </w:r>
          </w:p>
          <w:p w:rsidR="005A4970" w:rsidRPr="00457FB1" w:rsidRDefault="005A4970" w:rsidP="00AB7478">
            <w:pPr>
              <w:widowControl w:val="0"/>
              <w:rPr>
                <w:rFonts w:ascii="Arial" w:hAnsi="Arial" w:cs="Arial"/>
              </w:rPr>
            </w:pPr>
            <w:r w:rsidRPr="00457FB1">
              <w:rPr>
                <w:rFonts w:ascii="Arial" w:hAnsi="Arial" w:cs="Arial"/>
              </w:rPr>
              <w:t xml:space="preserve">Guilty/ Imprisonment/ Fine </w:t>
            </w:r>
          </w:p>
          <w:p w:rsidR="005A4970" w:rsidRPr="00457FB1" w:rsidRDefault="005A4970" w:rsidP="00AB7478">
            <w:pPr>
              <w:widowControl w:val="0"/>
              <w:rPr>
                <w:rFonts w:ascii="Arial" w:hAnsi="Arial" w:cs="Arial"/>
              </w:rPr>
            </w:pPr>
            <w:r w:rsidRPr="00457FB1">
              <w:rPr>
                <w:rFonts w:ascii="Arial" w:hAnsi="Arial" w:cs="Arial"/>
              </w:rPr>
              <w:t>Withdrawn</w:t>
            </w:r>
          </w:p>
        </w:tc>
      </w:tr>
      <w:tr w:rsidR="005A4970" w:rsidRPr="00457FB1" w:rsidTr="00AB7478">
        <w:trPr>
          <w:cantSplit/>
          <w:trHeight w:val="590"/>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Jeppes</w:t>
            </w:r>
            <w:proofErr w:type="spellEnd"/>
            <w:r w:rsidRPr="00457FB1">
              <w:rPr>
                <w:rFonts w:ascii="Arial" w:hAnsi="Arial" w:cs="Arial"/>
              </w:rPr>
              <w:t xml:space="preserve"> Reef</w:t>
            </w:r>
          </w:p>
        </w:tc>
        <w:tc>
          <w:tcPr>
            <w:tcW w:w="1842" w:type="dxa"/>
            <w:tcMar>
              <w:top w:w="120" w:type="dxa"/>
              <w:left w:w="120" w:type="dxa"/>
              <w:bottom w:w="58" w:type="dxa"/>
              <w:right w:w="120" w:type="dxa"/>
            </w:tcMar>
          </w:tcPr>
          <w:p w:rsidR="005A4970" w:rsidRPr="00457FB1" w:rsidRDefault="005A4970" w:rsidP="00AB7478">
            <w:pPr>
              <w:rPr>
                <w:rFonts w:ascii="Arial" w:hAnsi="Arial" w:cs="Arial"/>
              </w:rPr>
            </w:pPr>
            <w:proofErr w:type="spellStart"/>
            <w:r w:rsidRPr="00457FB1">
              <w:rPr>
                <w:rFonts w:ascii="Arial" w:hAnsi="Arial" w:cs="Arial"/>
              </w:rPr>
              <w:t>Schoemansdal</w:t>
            </w:r>
            <w:proofErr w:type="spellEnd"/>
            <w:r w:rsidRPr="00457FB1">
              <w:rPr>
                <w:rFonts w:ascii="Arial" w:hAnsi="Arial" w:cs="Arial"/>
              </w:rPr>
              <w:t xml:space="preserve"> 16/07/2013</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w:t>
            </w:r>
          </w:p>
          <w:p w:rsidR="005A4970" w:rsidRPr="00457FB1" w:rsidRDefault="005A4970" w:rsidP="00AB7478">
            <w:pPr>
              <w:widowControl w:val="0"/>
              <w:rPr>
                <w:rFonts w:ascii="Arial" w:hAnsi="Arial" w:cs="Arial"/>
              </w:rPr>
            </w:pP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tc>
      </w:tr>
      <w:tr w:rsidR="005A4970" w:rsidRPr="00457FB1" w:rsidTr="00AB7478">
        <w:trPr>
          <w:cantSplit/>
          <w:trHeight w:val="445"/>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KSIA</w:t>
            </w:r>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37/07/2013</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Booked out to Senior State Prosecutor 2015-05-19</w:t>
            </w:r>
          </w:p>
        </w:tc>
      </w:tr>
      <w:tr w:rsidR="005A4970" w:rsidRPr="00457FB1" w:rsidTr="00AB7478">
        <w:trPr>
          <w:cantSplit/>
          <w:trHeight w:val="671"/>
        </w:trPr>
        <w:tc>
          <w:tcPr>
            <w:tcW w:w="2127"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lastRenderedPageBreak/>
              <w:t xml:space="preserve">Van </w:t>
            </w:r>
            <w:proofErr w:type="spellStart"/>
            <w:r w:rsidRPr="00457FB1">
              <w:rPr>
                <w:rFonts w:ascii="Arial" w:hAnsi="Arial" w:cs="Arial"/>
              </w:rPr>
              <w:t>Rooyens</w:t>
            </w:r>
            <w:proofErr w:type="spellEnd"/>
          </w:p>
        </w:tc>
        <w:tc>
          <w:tcPr>
            <w:tcW w:w="1842"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Wepener</w:t>
            </w:r>
            <w:proofErr w:type="spellEnd"/>
            <w:r w:rsidRPr="00457FB1">
              <w:rPr>
                <w:rFonts w:ascii="Arial" w:hAnsi="Arial" w:cs="Arial"/>
              </w:rPr>
              <w:t xml:space="preserve"> 77/02/2014</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tc>
      </w:tr>
    </w:tbl>
    <w:p w:rsidR="005A4970" w:rsidRPr="00457FB1" w:rsidRDefault="005A4970" w:rsidP="00857C67">
      <w:pPr>
        <w:widowControl w:val="0"/>
        <w:rPr>
          <w:rFonts w:ascii="Arial" w:hAnsi="Arial" w:cs="Arial"/>
          <w:b/>
          <w:sz w:val="30"/>
        </w:rPr>
      </w:pPr>
    </w:p>
    <w:p w:rsidR="005A4970" w:rsidRPr="00457FB1" w:rsidRDefault="005A4970" w:rsidP="00857C67">
      <w:pPr>
        <w:widowControl w:val="0"/>
        <w:rPr>
          <w:rFonts w:ascii="Arial" w:hAnsi="Arial" w:cs="Arial"/>
          <w:b/>
        </w:rPr>
      </w:pPr>
    </w:p>
    <w:p w:rsidR="005A4970" w:rsidRPr="00457FB1" w:rsidRDefault="005A4970" w:rsidP="00857C67">
      <w:pPr>
        <w:widowControl w:val="0"/>
        <w:rPr>
          <w:rFonts w:ascii="Arial" w:hAnsi="Arial" w:cs="Arial"/>
          <w:b/>
        </w:rPr>
      </w:pPr>
      <w:r w:rsidRPr="00457FB1">
        <w:rPr>
          <w:rFonts w:ascii="Arial" w:hAnsi="Arial" w:cs="Arial"/>
          <w:b/>
        </w:rPr>
        <w:t>CORRUPTION CASES APRIL 2014 - MARCH 2015</w:t>
      </w:r>
    </w:p>
    <w:p w:rsidR="005A4970" w:rsidRPr="00457FB1" w:rsidRDefault="005A4970" w:rsidP="00857C67">
      <w:pPr>
        <w:widowControl w:val="0"/>
        <w:rPr>
          <w:rFonts w:ascii="Arial" w:hAnsi="Arial" w:cs="Arial"/>
          <w:b/>
        </w:rPr>
      </w:pPr>
    </w:p>
    <w:tbl>
      <w:tblPr>
        <w:tblW w:w="949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tblPr>
      <w:tblGrid>
        <w:gridCol w:w="1985"/>
        <w:gridCol w:w="2410"/>
        <w:gridCol w:w="1984"/>
        <w:gridCol w:w="3119"/>
      </w:tblGrid>
      <w:tr w:rsidR="005A4970" w:rsidRPr="00457FB1" w:rsidTr="00AB7478">
        <w:trPr>
          <w:cantSplit/>
        </w:trPr>
        <w:tc>
          <w:tcPr>
            <w:tcW w:w="1985"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Name  of  Port  </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Case No </w:t>
            </w:r>
          </w:p>
        </w:tc>
        <w:tc>
          <w:tcPr>
            <w:tcW w:w="1984"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Members involved  </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b/>
              </w:rPr>
            </w:pPr>
            <w:r w:rsidRPr="00457FB1">
              <w:rPr>
                <w:rFonts w:ascii="Arial" w:hAnsi="Arial" w:cs="Arial"/>
                <w:b/>
              </w:rPr>
              <w:t xml:space="preserve"> Outcome of Case</w:t>
            </w:r>
          </w:p>
        </w:tc>
      </w:tr>
      <w:tr w:rsidR="005A4970" w:rsidRPr="00457FB1" w:rsidTr="00AB7478">
        <w:trPr>
          <w:cantSplit/>
          <w:trHeight w:val="611"/>
        </w:trPr>
        <w:tc>
          <w:tcPr>
            <w:tcW w:w="1985"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Beit</w:t>
            </w:r>
            <w:proofErr w:type="spellEnd"/>
            <w:r w:rsidRPr="00457FB1">
              <w:rPr>
                <w:rFonts w:ascii="Arial" w:hAnsi="Arial" w:cs="Arial"/>
              </w:rPr>
              <w:t xml:space="preserve"> Bridge</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sz w:val="22"/>
              </w:rPr>
              <w:t>Musina</w:t>
            </w:r>
            <w:proofErr w:type="spellEnd"/>
            <w:r w:rsidRPr="00457FB1">
              <w:rPr>
                <w:rFonts w:ascii="Arial" w:hAnsi="Arial" w:cs="Arial"/>
                <w:sz w:val="22"/>
              </w:rPr>
              <w:t xml:space="preserve"> 287/05/2014</w:t>
            </w:r>
          </w:p>
          <w:p w:rsidR="005A4970" w:rsidRPr="00457FB1" w:rsidRDefault="005A4970" w:rsidP="00AB7478">
            <w:pPr>
              <w:widowControl w:val="0"/>
              <w:rPr>
                <w:rFonts w:ascii="Arial" w:hAnsi="Arial" w:cs="Arial"/>
              </w:rPr>
            </w:pPr>
          </w:p>
        </w:tc>
        <w:tc>
          <w:tcPr>
            <w:tcW w:w="198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4 x SAPS Members</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 2014-08-29.</w:t>
            </w:r>
          </w:p>
        </w:tc>
      </w:tr>
      <w:tr w:rsidR="005A4970" w:rsidRPr="00457FB1" w:rsidTr="00AB7478">
        <w:trPr>
          <w:cantSplit/>
          <w:trHeight w:val="925"/>
        </w:trPr>
        <w:tc>
          <w:tcPr>
            <w:tcW w:w="198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Durban Harbour</w:t>
            </w: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sz w:val="22"/>
              </w:rPr>
              <w:t>Maydon</w:t>
            </w:r>
            <w:proofErr w:type="spellEnd"/>
            <w:r w:rsidRPr="00457FB1">
              <w:rPr>
                <w:rFonts w:ascii="Arial" w:hAnsi="Arial" w:cs="Arial"/>
                <w:sz w:val="22"/>
              </w:rPr>
              <w:t xml:space="preserve"> Wharf 16/11/2014</w:t>
            </w:r>
          </w:p>
        </w:tc>
        <w:tc>
          <w:tcPr>
            <w:tcW w:w="198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 x SAPS Members</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member resigned and the other member to appear in court. Docket with IPID.</w:t>
            </w:r>
          </w:p>
        </w:tc>
      </w:tr>
      <w:tr w:rsidR="005A4970" w:rsidRPr="00457FB1" w:rsidTr="00AB7478">
        <w:trPr>
          <w:cantSplit/>
          <w:trHeight w:val="667"/>
        </w:trPr>
        <w:tc>
          <w:tcPr>
            <w:tcW w:w="1985"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Vioolsdrift</w:t>
            </w:r>
            <w:proofErr w:type="spellEnd"/>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08/06/2014</w:t>
            </w:r>
          </w:p>
        </w:tc>
        <w:tc>
          <w:tcPr>
            <w:tcW w:w="198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 x SAPS Member</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Still under investigation.</w:t>
            </w:r>
          </w:p>
        </w:tc>
      </w:tr>
      <w:tr w:rsidR="005A4970" w:rsidRPr="00457FB1" w:rsidTr="00AB7478">
        <w:trPr>
          <w:cantSplit/>
          <w:trHeight w:val="651"/>
        </w:trPr>
        <w:tc>
          <w:tcPr>
            <w:tcW w:w="1985"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ORTIA</w:t>
            </w:r>
          </w:p>
          <w:p w:rsidR="005A4970" w:rsidRPr="00457FB1" w:rsidRDefault="005A4970" w:rsidP="00AB7478">
            <w:pPr>
              <w:widowControl w:val="0"/>
              <w:rPr>
                <w:rFonts w:ascii="Arial" w:hAnsi="Arial" w:cs="Arial"/>
              </w:rPr>
            </w:pPr>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160/09/2014</w:t>
            </w:r>
          </w:p>
          <w:p w:rsidR="005A4970" w:rsidRPr="00457FB1" w:rsidRDefault="005A4970" w:rsidP="00AB7478">
            <w:pPr>
              <w:widowControl w:val="0"/>
              <w:rPr>
                <w:rFonts w:ascii="Arial" w:hAnsi="Arial" w:cs="Arial"/>
              </w:rPr>
            </w:pPr>
          </w:p>
        </w:tc>
        <w:tc>
          <w:tcPr>
            <w:tcW w:w="198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2 x SAPS Members</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Withdrawn</w:t>
            </w:r>
          </w:p>
          <w:p w:rsidR="005A4970" w:rsidRPr="00457FB1" w:rsidRDefault="005A4970" w:rsidP="00AB7478">
            <w:pPr>
              <w:widowControl w:val="0"/>
              <w:rPr>
                <w:rFonts w:ascii="Arial" w:hAnsi="Arial" w:cs="Arial"/>
              </w:rPr>
            </w:pPr>
          </w:p>
        </w:tc>
      </w:tr>
      <w:tr w:rsidR="005A4970" w:rsidRPr="00457FB1" w:rsidTr="00AB7478">
        <w:trPr>
          <w:cantSplit/>
          <w:trHeight w:val="649"/>
        </w:trPr>
        <w:tc>
          <w:tcPr>
            <w:tcW w:w="1985"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Pafuri</w:t>
            </w:r>
            <w:proofErr w:type="spellEnd"/>
          </w:p>
        </w:tc>
        <w:tc>
          <w:tcPr>
            <w:tcW w:w="2410" w:type="dxa"/>
            <w:tcMar>
              <w:top w:w="120" w:type="dxa"/>
              <w:left w:w="120" w:type="dxa"/>
              <w:bottom w:w="58" w:type="dxa"/>
              <w:right w:w="120" w:type="dxa"/>
            </w:tcMar>
          </w:tcPr>
          <w:p w:rsidR="005A4970" w:rsidRPr="00457FB1" w:rsidRDefault="005A4970" w:rsidP="00AB7478">
            <w:pPr>
              <w:widowControl w:val="0"/>
              <w:rPr>
                <w:rFonts w:ascii="Arial" w:hAnsi="Arial" w:cs="Arial"/>
              </w:rPr>
            </w:pPr>
            <w:proofErr w:type="spellStart"/>
            <w:r w:rsidRPr="00457FB1">
              <w:rPr>
                <w:rFonts w:ascii="Arial" w:hAnsi="Arial" w:cs="Arial"/>
              </w:rPr>
              <w:t>Masisi</w:t>
            </w:r>
            <w:proofErr w:type="spellEnd"/>
            <w:r w:rsidRPr="00457FB1">
              <w:rPr>
                <w:rFonts w:ascii="Arial" w:hAnsi="Arial" w:cs="Arial"/>
              </w:rPr>
              <w:t xml:space="preserve"> 50/02/2015</w:t>
            </w:r>
          </w:p>
        </w:tc>
        <w:tc>
          <w:tcPr>
            <w:tcW w:w="1984"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3 x SAPS Members</w:t>
            </w:r>
          </w:p>
        </w:tc>
        <w:tc>
          <w:tcPr>
            <w:tcW w:w="3119" w:type="dxa"/>
            <w:tcMar>
              <w:top w:w="120" w:type="dxa"/>
              <w:left w:w="120" w:type="dxa"/>
              <w:bottom w:w="58" w:type="dxa"/>
              <w:right w:w="120" w:type="dxa"/>
            </w:tcMar>
          </w:tcPr>
          <w:p w:rsidR="005A4970" w:rsidRPr="00457FB1" w:rsidRDefault="005A4970" w:rsidP="00AB7478">
            <w:pPr>
              <w:widowControl w:val="0"/>
              <w:rPr>
                <w:rFonts w:ascii="Arial" w:hAnsi="Arial" w:cs="Arial"/>
              </w:rPr>
            </w:pPr>
            <w:r w:rsidRPr="00457FB1">
              <w:rPr>
                <w:rFonts w:ascii="Arial" w:hAnsi="Arial" w:cs="Arial"/>
              </w:rPr>
              <w:t>Booked to court 2015-03-27; no further status</w:t>
            </w:r>
          </w:p>
        </w:tc>
      </w:tr>
    </w:tbl>
    <w:p w:rsidR="005A4970" w:rsidRPr="00457FB1" w:rsidRDefault="005A4970" w:rsidP="00857C67">
      <w:pPr>
        <w:ind w:left="11" w:firstLine="11"/>
        <w:jc w:val="both"/>
        <w:rPr>
          <w:rFonts w:ascii="Arial" w:hAnsi="Arial" w:cs="Arial"/>
          <w:b/>
        </w:rPr>
      </w:pPr>
    </w:p>
    <w:p w:rsidR="005A4970" w:rsidRPr="00457FB1" w:rsidRDefault="005A4970" w:rsidP="00857C67">
      <w:pPr>
        <w:rPr>
          <w:rFonts w:ascii="Arial" w:hAnsi="Arial" w:cs="Arial"/>
          <w:i/>
        </w:rPr>
      </w:pPr>
    </w:p>
    <w:p w:rsidR="005A4970" w:rsidRPr="00457FB1" w:rsidRDefault="005A4970" w:rsidP="00857C67">
      <w:pPr>
        <w:rPr>
          <w:rFonts w:ascii="Arial" w:hAnsi="Arial" w:cs="Arial"/>
          <w:i/>
        </w:rPr>
      </w:pPr>
    </w:p>
    <w:p w:rsidR="005A4970" w:rsidRPr="00457FB1" w:rsidRDefault="005A4970" w:rsidP="00857C67">
      <w:pPr>
        <w:rPr>
          <w:rFonts w:ascii="Arial" w:hAnsi="Arial" w:cs="Arial"/>
          <w:i/>
        </w:rPr>
      </w:pPr>
      <w:bookmarkStart w:id="0" w:name="_GoBack"/>
      <w:bookmarkEnd w:id="0"/>
    </w:p>
    <w:sectPr w:rsidR="005A4970" w:rsidRPr="00457FB1" w:rsidSect="00857C67">
      <w:headerReference w:type="default" r:id="rId7"/>
      <w:pgSz w:w="12240" w:h="15840"/>
      <w:pgMar w:top="1440" w:right="144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94" w:rsidRDefault="007E0A94" w:rsidP="007574EB">
      <w:r>
        <w:separator/>
      </w:r>
    </w:p>
  </w:endnote>
  <w:endnote w:type="continuationSeparator" w:id="0">
    <w:p w:rsidR="007E0A94" w:rsidRDefault="007E0A94" w:rsidP="0075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94" w:rsidRDefault="007E0A94" w:rsidP="007574EB">
      <w:r>
        <w:separator/>
      </w:r>
    </w:p>
  </w:footnote>
  <w:footnote w:type="continuationSeparator" w:id="0">
    <w:p w:rsidR="007E0A94" w:rsidRDefault="007E0A94" w:rsidP="00757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70" w:rsidRDefault="00A30E80">
    <w:pPr>
      <w:pStyle w:val="Header"/>
      <w:jc w:val="center"/>
    </w:pPr>
    <w:fldSimple w:instr=" PAGE   \* MERGEFORMAT ">
      <w:r w:rsidR="00217FD6">
        <w:rPr>
          <w:noProof/>
        </w:rPr>
        <w:t>5</w:t>
      </w:r>
    </w:fldSimple>
  </w:p>
  <w:p w:rsidR="005A4970" w:rsidRDefault="005A4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1249"/>
    <w:multiLevelType w:val="hybridMultilevel"/>
    <w:tmpl w:val="B9A22D1C"/>
    <w:lvl w:ilvl="0" w:tplc="E21603C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6C65B12"/>
    <w:multiLevelType w:val="hybridMultilevel"/>
    <w:tmpl w:val="B9A22D1C"/>
    <w:lvl w:ilvl="0" w:tplc="E21603C4">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E5E697F"/>
    <w:multiLevelType w:val="hybridMultilevel"/>
    <w:tmpl w:val="C1D49394"/>
    <w:lvl w:ilvl="0" w:tplc="FF0AD0D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5C76"/>
    <w:rsid w:val="00071259"/>
    <w:rsid w:val="000C13B0"/>
    <w:rsid w:val="00133C4B"/>
    <w:rsid w:val="0014457D"/>
    <w:rsid w:val="00164E51"/>
    <w:rsid w:val="00200EFE"/>
    <w:rsid w:val="00217FD6"/>
    <w:rsid w:val="002F1CF6"/>
    <w:rsid w:val="00457FB1"/>
    <w:rsid w:val="00472D53"/>
    <w:rsid w:val="00580967"/>
    <w:rsid w:val="005A1243"/>
    <w:rsid w:val="005A4970"/>
    <w:rsid w:val="005C70A9"/>
    <w:rsid w:val="006019C7"/>
    <w:rsid w:val="006461CA"/>
    <w:rsid w:val="007574EB"/>
    <w:rsid w:val="007E0A94"/>
    <w:rsid w:val="00857C67"/>
    <w:rsid w:val="00875A3A"/>
    <w:rsid w:val="00875C76"/>
    <w:rsid w:val="00A30E80"/>
    <w:rsid w:val="00A43141"/>
    <w:rsid w:val="00AB7478"/>
    <w:rsid w:val="00BA6630"/>
    <w:rsid w:val="00C346B1"/>
    <w:rsid w:val="00C656A8"/>
    <w:rsid w:val="00D52ECD"/>
    <w:rsid w:val="00D93BA6"/>
    <w:rsid w:val="00DF1A2C"/>
    <w:rsid w:val="00E1352A"/>
    <w:rsid w:val="00E20102"/>
    <w:rsid w:val="00E55B9E"/>
    <w:rsid w:val="00EF5C69"/>
    <w:rsid w:val="00F30C7A"/>
    <w:rsid w:val="00FA2836"/>
    <w:rsid w:val="00FF69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7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875C76"/>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875C76"/>
    <w:rPr>
      <w:rFonts w:ascii="CG Times" w:hAnsi="CG Times" w:cs="Times New Roman"/>
      <w:sz w:val="20"/>
      <w:szCs w:val="20"/>
      <w:lang w:val="en-US"/>
    </w:rPr>
  </w:style>
  <w:style w:type="paragraph" w:styleId="Header">
    <w:name w:val="header"/>
    <w:basedOn w:val="Normal"/>
    <w:link w:val="HeaderChar"/>
    <w:uiPriority w:val="99"/>
    <w:rsid w:val="007574EB"/>
    <w:pPr>
      <w:tabs>
        <w:tab w:val="center" w:pos="4513"/>
        <w:tab w:val="right" w:pos="9026"/>
      </w:tabs>
    </w:pPr>
  </w:style>
  <w:style w:type="character" w:customStyle="1" w:styleId="HeaderChar">
    <w:name w:val="Header Char"/>
    <w:basedOn w:val="DefaultParagraphFont"/>
    <w:link w:val="Header"/>
    <w:uiPriority w:val="99"/>
    <w:locked/>
    <w:rsid w:val="007574EB"/>
    <w:rPr>
      <w:rFonts w:ascii="Times New Roman" w:hAnsi="Times New Roman" w:cs="Times New Roman"/>
      <w:sz w:val="24"/>
      <w:szCs w:val="24"/>
      <w:lang w:val="en-US"/>
    </w:rPr>
  </w:style>
  <w:style w:type="paragraph" w:styleId="Footer">
    <w:name w:val="footer"/>
    <w:basedOn w:val="Normal"/>
    <w:link w:val="FooterChar"/>
    <w:uiPriority w:val="99"/>
    <w:rsid w:val="007574EB"/>
    <w:pPr>
      <w:tabs>
        <w:tab w:val="center" w:pos="4513"/>
        <w:tab w:val="right" w:pos="9026"/>
      </w:tabs>
    </w:pPr>
  </w:style>
  <w:style w:type="character" w:customStyle="1" w:styleId="FooterChar">
    <w:name w:val="Footer Char"/>
    <w:basedOn w:val="DefaultParagraphFont"/>
    <w:link w:val="Footer"/>
    <w:uiPriority w:val="99"/>
    <w:locked/>
    <w:rsid w:val="007574EB"/>
    <w:rPr>
      <w:rFonts w:ascii="Times New Roman" w:hAnsi="Times New Roman" w:cs="Times New Roman"/>
      <w:sz w:val="24"/>
      <w:szCs w:val="24"/>
      <w:lang w:val="en-US"/>
    </w:rPr>
  </w:style>
  <w:style w:type="paragraph" w:customStyle="1" w:styleId="p0">
    <w:name w:val="p0"/>
    <w:basedOn w:val="Normal"/>
    <w:uiPriority w:val="99"/>
    <w:rsid w:val="00472D53"/>
    <w:rPr>
      <w:rFonts w:eastAsia="Calibri"/>
      <w:lang w:val="en-ZA" w:eastAsia="en-ZA"/>
    </w:rPr>
  </w:style>
  <w:style w:type="paragraph" w:styleId="ListParagraph">
    <w:name w:val="List Paragraph"/>
    <w:basedOn w:val="Normal"/>
    <w:uiPriority w:val="99"/>
    <w:qFormat/>
    <w:rsid w:val="00875A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5694</Characters>
  <Application>Microsoft Office Word</Application>
  <DocSecurity>0</DocSecurity>
  <Lines>47</Lines>
  <Paragraphs>13</Paragraphs>
  <ScaleCrop>false</ScaleCrop>
  <Company>SAPS</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36/1/4/1/201500280</dc:title>
  <dc:creator>Windows User</dc:creator>
  <cp:lastModifiedBy>User</cp:lastModifiedBy>
  <cp:revision>2</cp:revision>
  <cp:lastPrinted>2015-08-28T19:31:00Z</cp:lastPrinted>
  <dcterms:created xsi:type="dcterms:W3CDTF">2015-10-01T13:03:00Z</dcterms:created>
  <dcterms:modified xsi:type="dcterms:W3CDTF">2015-10-01T13:03:00Z</dcterms:modified>
</cp:coreProperties>
</file>