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4E157F">
        <w:rPr>
          <w:b/>
          <w:bCs/>
          <w:sz w:val="24"/>
          <w:u w:val="single"/>
        </w:rPr>
        <w:t>330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14C2">
        <w:rPr>
          <w:b/>
          <w:bCs/>
          <w:sz w:val="24"/>
          <w:u w:val="single"/>
        </w:rPr>
        <w:t>17</w:t>
      </w:r>
      <w:r w:rsidR="005E20E3">
        <w:rPr>
          <w:b/>
          <w:bCs/>
          <w:sz w:val="24"/>
          <w:u w:val="single"/>
        </w:rPr>
        <w:t xml:space="preserve">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w:t>
      </w:r>
      <w:r w:rsidR="00D514C2">
        <w:rPr>
          <w:rFonts w:ascii="Arial" w:hAnsi="Arial" w:cs="Arial"/>
          <w:b/>
          <w:bCs/>
          <w:sz w:val="24"/>
          <w:u w:val="single"/>
        </w:rPr>
        <w:t>2</w:t>
      </w:r>
      <w:r w:rsidRPr="008C527F">
        <w:rPr>
          <w:rFonts w:ascii="Arial" w:hAnsi="Arial" w:cs="Arial"/>
          <w:b/>
          <w:bCs/>
          <w:sz w:val="24"/>
          <w:u w:val="single"/>
        </w:rPr>
        <w:t>)</w:t>
      </w:r>
    </w:p>
    <w:p w:rsidR="004E157F" w:rsidRPr="004E157F" w:rsidRDefault="004E157F" w:rsidP="004E157F">
      <w:pPr>
        <w:spacing w:before="100" w:beforeAutospacing="1" w:after="100" w:afterAutospacing="1" w:line="240" w:lineRule="auto"/>
        <w:ind w:left="709" w:hanging="709"/>
        <w:jc w:val="both"/>
        <w:outlineLvl w:val="0"/>
        <w:rPr>
          <w:rFonts w:ascii="Arial" w:hAnsi="Arial" w:cs="Arial"/>
          <w:b/>
          <w:bCs/>
          <w:color w:val="000000" w:themeColor="text1"/>
          <w:sz w:val="24"/>
          <w:szCs w:val="24"/>
          <w:u w:val="single"/>
          <w:lang w:val="en-US"/>
        </w:rPr>
      </w:pPr>
      <w:r w:rsidRPr="004E157F">
        <w:rPr>
          <w:rFonts w:ascii="Arial" w:hAnsi="Arial" w:cs="Arial"/>
          <w:b/>
          <w:bCs/>
          <w:sz w:val="24"/>
          <w:szCs w:val="24"/>
          <w:u w:val="single"/>
        </w:rPr>
        <w:t>Ms N N Chirwa</w:t>
      </w:r>
      <w:r w:rsidRPr="004E157F">
        <w:rPr>
          <w:rFonts w:ascii="Arial" w:hAnsi="Arial" w:cs="Arial"/>
          <w:b/>
          <w:bCs/>
          <w:color w:val="000000" w:themeColor="text1"/>
          <w:sz w:val="24"/>
          <w:szCs w:val="24"/>
          <w:u w:val="single"/>
          <w:lang w:val="en-US"/>
        </w:rPr>
        <w:t xml:space="preserve"> (EFF) to ask the </w:t>
      </w:r>
      <w:r w:rsidRPr="004E157F">
        <w:rPr>
          <w:rFonts w:ascii="Arial" w:eastAsia="Times New Roman" w:hAnsi="Arial" w:cs="Arial"/>
          <w:b/>
          <w:sz w:val="24"/>
          <w:szCs w:val="24"/>
          <w:u w:val="single"/>
          <w:lang w:val="en-US"/>
        </w:rPr>
        <w:t>Minister</w:t>
      </w:r>
      <w:r w:rsidRPr="004E157F">
        <w:rPr>
          <w:rFonts w:ascii="Arial" w:hAnsi="Arial" w:cs="Arial"/>
          <w:b/>
          <w:bCs/>
          <w:color w:val="000000" w:themeColor="text1"/>
          <w:sz w:val="24"/>
          <w:szCs w:val="24"/>
          <w:u w:val="single"/>
          <w:lang w:val="en-US"/>
        </w:rPr>
        <w:t xml:space="preserve"> </w:t>
      </w:r>
      <w:r w:rsidRPr="004E157F">
        <w:rPr>
          <w:rFonts w:ascii="Arial" w:hAnsi="Arial" w:cs="Arial"/>
          <w:b/>
          <w:sz w:val="24"/>
          <w:szCs w:val="24"/>
          <w:u w:val="single"/>
        </w:rPr>
        <w:t>of</w:t>
      </w:r>
      <w:r w:rsidRPr="004E157F">
        <w:rPr>
          <w:rFonts w:ascii="Arial" w:hAnsi="Arial" w:cs="Arial"/>
          <w:b/>
          <w:bCs/>
          <w:color w:val="000000" w:themeColor="text1"/>
          <w:sz w:val="24"/>
          <w:szCs w:val="24"/>
          <w:u w:val="single"/>
          <w:lang w:val="en-US"/>
        </w:rPr>
        <w:t xml:space="preserve"> </w:t>
      </w:r>
      <w:r w:rsidRPr="004E157F">
        <w:rPr>
          <w:rFonts w:ascii="Arial" w:hAnsi="Arial" w:cs="Arial"/>
          <w:b/>
          <w:bCs/>
          <w:sz w:val="24"/>
          <w:szCs w:val="24"/>
          <w:u w:val="single"/>
        </w:rPr>
        <w:t>Health</w:t>
      </w:r>
      <w:r w:rsidR="00005DAE" w:rsidRPr="004E157F">
        <w:rPr>
          <w:rFonts w:ascii="Arial" w:hAnsi="Arial" w:cs="Arial"/>
          <w:b/>
          <w:bCs/>
          <w:sz w:val="24"/>
          <w:szCs w:val="24"/>
          <w:u w:val="single"/>
        </w:rPr>
        <w:fldChar w:fldCharType="begin"/>
      </w:r>
      <w:r w:rsidRPr="004E157F">
        <w:rPr>
          <w:rFonts w:ascii="Arial" w:hAnsi="Arial" w:cs="Arial"/>
          <w:u w:val="single"/>
        </w:rPr>
        <w:instrText xml:space="preserve"> XE "</w:instrText>
      </w:r>
      <w:r w:rsidRPr="004E157F">
        <w:rPr>
          <w:rFonts w:ascii="Arial" w:hAnsi="Arial" w:cs="Arial"/>
          <w:b/>
          <w:sz w:val="24"/>
          <w:szCs w:val="24"/>
          <w:u w:val="single"/>
        </w:rPr>
        <w:instrText>Minister</w:instrText>
      </w:r>
      <w:r w:rsidRPr="004E157F">
        <w:rPr>
          <w:rFonts w:ascii="Arial" w:hAnsi="Arial" w:cs="Arial"/>
          <w:b/>
          <w:bCs/>
          <w:sz w:val="24"/>
          <w:szCs w:val="24"/>
          <w:u w:val="single"/>
          <w:lang w:val="en-US"/>
        </w:rPr>
        <w:instrText xml:space="preserve"> of Health</w:instrText>
      </w:r>
      <w:r w:rsidRPr="004E157F">
        <w:rPr>
          <w:rFonts w:ascii="Arial" w:hAnsi="Arial" w:cs="Arial"/>
          <w:u w:val="single"/>
        </w:rPr>
        <w:instrText xml:space="preserve">" </w:instrText>
      </w:r>
      <w:r w:rsidR="00005DAE" w:rsidRPr="004E157F">
        <w:rPr>
          <w:rFonts w:ascii="Arial" w:hAnsi="Arial" w:cs="Arial"/>
          <w:b/>
          <w:bCs/>
          <w:sz w:val="24"/>
          <w:szCs w:val="24"/>
          <w:u w:val="single"/>
        </w:rPr>
        <w:fldChar w:fldCharType="end"/>
      </w:r>
      <w:r w:rsidRPr="004E157F">
        <w:rPr>
          <w:rFonts w:ascii="Arial" w:hAnsi="Arial" w:cs="Arial"/>
          <w:b/>
          <w:bCs/>
          <w:color w:val="000000" w:themeColor="text1"/>
          <w:sz w:val="24"/>
          <w:szCs w:val="24"/>
          <w:u w:val="single"/>
          <w:lang w:val="en-US"/>
        </w:rPr>
        <w:t>:</w:t>
      </w:r>
    </w:p>
    <w:p w:rsidR="008C527F" w:rsidRPr="004E157F" w:rsidRDefault="004E157F" w:rsidP="004E157F">
      <w:pPr>
        <w:pStyle w:val="BodyText"/>
        <w:spacing w:before="100" w:beforeAutospacing="1" w:after="100" w:afterAutospacing="1"/>
        <w:rPr>
          <w:rFonts w:ascii="Times New Roman" w:hAnsi="Times New Roman" w:cs="Times New Roman"/>
          <w:lang w:val="en-GB"/>
        </w:rPr>
      </w:pPr>
      <w:r w:rsidRPr="004E157F">
        <w:rPr>
          <w:sz w:val="24"/>
          <w:lang w:val="en-GB"/>
        </w:rPr>
        <w:t xml:space="preserve">What (a) was the infant mortality rate at the Chris Hani Baragwanath Academic Hospital in each of the past three years, (b) number of healthcare workers in the same department have since been </w:t>
      </w:r>
      <w:r w:rsidRPr="004E157F">
        <w:rPr>
          <w:sz w:val="24"/>
        </w:rPr>
        <w:t>employed</w:t>
      </w:r>
      <w:r w:rsidRPr="004E157F">
        <w:rPr>
          <w:sz w:val="24"/>
          <w:lang w:val="en-GB"/>
        </w:rPr>
        <w:t xml:space="preserve"> at the specified hospital, (c) number of obstetrics ambulances have been procured to date at the hospital, (d) plans are in place to ensure that infant mortality due to negligence, lack of healthcare professional personnel is (i) avoided and (ii) reduced, (e) targets has his department set in this regard in the past year and (f) number of the specified targets have been achieved?</w:t>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Pr>
          <w:sz w:val="24"/>
          <w:lang w:val="en-GB"/>
        </w:rPr>
        <w:tab/>
      </w:r>
      <w:r w:rsidR="008C527F" w:rsidRPr="0020357C">
        <w:rPr>
          <w:b/>
          <w:bCs/>
          <w:sz w:val="12"/>
          <w:szCs w:val="12"/>
        </w:rPr>
        <w:t>NW</w:t>
      </w:r>
      <w:r w:rsidR="00DF2940">
        <w:rPr>
          <w:b/>
          <w:bCs/>
          <w:sz w:val="12"/>
          <w:szCs w:val="12"/>
        </w:rPr>
        <w:t>3</w:t>
      </w:r>
      <w:r>
        <w:rPr>
          <w:b/>
          <w:bCs/>
          <w:sz w:val="12"/>
          <w:szCs w:val="12"/>
        </w:rPr>
        <w:t>45</w:t>
      </w:r>
      <w:r w:rsidR="008C527F" w:rsidRPr="0020357C">
        <w:rPr>
          <w:b/>
          <w:bCs/>
          <w:sz w:val="12"/>
          <w:szCs w:val="12"/>
        </w:rPr>
        <w:t>E</w:t>
      </w:r>
    </w:p>
    <w:p w:rsidR="006228AA" w:rsidRDefault="006228AA" w:rsidP="0009345B">
      <w:pPr>
        <w:spacing w:after="360" w:line="240" w:lineRule="auto"/>
        <w:rPr>
          <w:rFonts w:ascii="Arial" w:hAnsi="Arial" w:cs="Arial"/>
          <w:b/>
          <w:bCs/>
          <w:sz w:val="24"/>
          <w:szCs w:val="24"/>
          <w:u w:val="single"/>
          <w:lang w:val="en-US"/>
        </w:rPr>
      </w:pPr>
      <w:r w:rsidRPr="006228AA">
        <w:rPr>
          <w:rFonts w:ascii="Arial" w:hAnsi="Arial" w:cs="Arial"/>
          <w:b/>
          <w:bCs/>
          <w:sz w:val="24"/>
          <w:szCs w:val="24"/>
          <w:u w:val="single"/>
          <w:lang w:val="en-US"/>
        </w:rPr>
        <w:t>REPLY:</w:t>
      </w:r>
    </w:p>
    <w:p w:rsidR="00B00F9C" w:rsidRDefault="00B00F9C" w:rsidP="00B00F9C">
      <w:pPr>
        <w:pStyle w:val="Address"/>
        <w:numPr>
          <w:ilvl w:val="0"/>
          <w:numId w:val="12"/>
        </w:numPr>
        <w:spacing w:line="240" w:lineRule="auto"/>
        <w:ind w:hanging="720"/>
        <w:rPr>
          <w:rFonts w:cs="Arial"/>
          <w:sz w:val="24"/>
          <w:lang w:val="en-ZA" w:eastAsia="en-ZA"/>
        </w:rPr>
      </w:pPr>
      <w:r w:rsidRPr="00B00F9C">
        <w:rPr>
          <w:rFonts w:cs="Arial"/>
          <w:sz w:val="24"/>
          <w:lang w:val="en-ZA" w:eastAsia="en-ZA"/>
        </w:rPr>
        <w:t>Infant Mortality Rate</w:t>
      </w:r>
    </w:p>
    <w:p w:rsidR="00B00F9C" w:rsidRPr="00B00F9C" w:rsidRDefault="00B00F9C" w:rsidP="00B00F9C">
      <w:pPr>
        <w:pStyle w:val="Address"/>
        <w:spacing w:line="240" w:lineRule="auto"/>
        <w:ind w:left="720"/>
        <w:rPr>
          <w:rFonts w:cs="Arial"/>
          <w:sz w:val="24"/>
          <w:lang w:val="en-ZA" w:eastAsia="en-ZA"/>
        </w:rPr>
      </w:pPr>
    </w:p>
    <w:tbl>
      <w:tblPr>
        <w:tblW w:w="9258" w:type="dxa"/>
        <w:tblInd w:w="704" w:type="dxa"/>
        <w:tblLook w:val="04A0"/>
      </w:tblPr>
      <w:tblGrid>
        <w:gridCol w:w="3602"/>
        <w:gridCol w:w="2083"/>
        <w:gridCol w:w="847"/>
        <w:gridCol w:w="848"/>
        <w:gridCol w:w="848"/>
        <w:gridCol w:w="1030"/>
      </w:tblGrid>
      <w:tr w:rsidR="00B00F9C" w:rsidRPr="00B00F9C" w:rsidTr="00B00F9C">
        <w:trPr>
          <w:trHeight w:val="260"/>
        </w:trPr>
        <w:tc>
          <w:tcPr>
            <w:tcW w:w="3602" w:type="dxa"/>
            <w:tcBorders>
              <w:top w:val="single" w:sz="4" w:space="0" w:color="auto"/>
              <w:left w:val="single" w:sz="4" w:space="0" w:color="auto"/>
              <w:bottom w:val="single" w:sz="4" w:space="0" w:color="auto"/>
              <w:right w:val="single" w:sz="4" w:space="0" w:color="auto"/>
            </w:tcBorders>
            <w:vAlign w:val="bottom"/>
            <w:hideMark/>
          </w:tcPr>
          <w:p w:rsidR="00B00F9C" w:rsidRPr="00B00F9C" w:rsidRDefault="00B00F9C" w:rsidP="00B00F9C">
            <w:pPr>
              <w:spacing w:after="0" w:line="240" w:lineRule="auto"/>
              <w:rPr>
                <w:rFonts w:ascii="Arial" w:eastAsia="Calibri" w:hAnsi="Arial" w:cs="Arial"/>
                <w:sz w:val="24"/>
                <w:szCs w:val="24"/>
                <w:lang w:eastAsia="en-ZA"/>
              </w:rPr>
            </w:pPr>
            <w:r w:rsidRPr="00B00F9C">
              <w:rPr>
                <w:rFonts w:ascii="Arial" w:hAnsi="Arial" w:cs="Arial"/>
                <w:b/>
                <w:bCs/>
                <w:sz w:val="24"/>
                <w:szCs w:val="24"/>
                <w:lang w:eastAsia="en-ZA"/>
              </w:rPr>
              <w:t>Chris Hani Baragwanath Hospital -All</w:t>
            </w:r>
            <w:r>
              <w:rPr>
                <w:rFonts w:ascii="Arial" w:hAnsi="Arial" w:cs="Arial"/>
                <w:b/>
                <w:bCs/>
                <w:sz w:val="24"/>
                <w:szCs w:val="24"/>
                <w:lang w:eastAsia="en-ZA"/>
              </w:rPr>
              <w:t xml:space="preserve"> </w:t>
            </w:r>
            <w:r w:rsidRPr="00B00F9C">
              <w:rPr>
                <w:rFonts w:ascii="Arial" w:hAnsi="Arial" w:cs="Arial"/>
                <w:b/>
                <w:bCs/>
                <w:sz w:val="24"/>
                <w:szCs w:val="24"/>
                <w:lang w:eastAsia="en-ZA"/>
              </w:rPr>
              <w:t>Data</w:t>
            </w:r>
          </w:p>
        </w:tc>
        <w:tc>
          <w:tcPr>
            <w:tcW w:w="2083" w:type="dxa"/>
            <w:tcBorders>
              <w:top w:val="single" w:sz="4" w:space="0" w:color="auto"/>
              <w:left w:val="nil"/>
              <w:bottom w:val="single" w:sz="4" w:space="0" w:color="auto"/>
              <w:right w:val="single" w:sz="4" w:space="0" w:color="auto"/>
            </w:tcBorders>
            <w:vAlign w:val="bottom"/>
            <w:hideMark/>
          </w:tcPr>
          <w:p w:rsidR="00B00F9C" w:rsidRPr="00B00F9C" w:rsidRDefault="00B00F9C" w:rsidP="00B00F9C">
            <w:pPr>
              <w:spacing w:after="0" w:line="240" w:lineRule="auto"/>
              <w:jc w:val="center"/>
              <w:rPr>
                <w:rFonts w:ascii="Arial" w:eastAsia="Calibri" w:hAnsi="Arial" w:cs="Arial"/>
                <w:sz w:val="24"/>
                <w:szCs w:val="24"/>
                <w:lang w:eastAsia="en-ZA"/>
              </w:rPr>
            </w:pPr>
            <w:r w:rsidRPr="00B00F9C">
              <w:rPr>
                <w:rFonts w:ascii="Arial" w:hAnsi="Arial" w:cs="Arial"/>
                <w:b/>
                <w:bCs/>
                <w:sz w:val="24"/>
                <w:szCs w:val="24"/>
                <w:lang w:eastAsia="en-ZA"/>
              </w:rPr>
              <w:t>2020</w:t>
            </w:r>
          </w:p>
        </w:tc>
        <w:tc>
          <w:tcPr>
            <w:tcW w:w="847" w:type="dxa"/>
            <w:tcBorders>
              <w:top w:val="single" w:sz="4" w:space="0" w:color="auto"/>
              <w:left w:val="nil"/>
              <w:bottom w:val="single" w:sz="4" w:space="0" w:color="auto"/>
              <w:right w:val="single" w:sz="4" w:space="0" w:color="auto"/>
            </w:tcBorders>
            <w:vAlign w:val="bottom"/>
            <w:hideMark/>
          </w:tcPr>
          <w:p w:rsidR="00B00F9C" w:rsidRPr="00B00F9C" w:rsidRDefault="00B00F9C" w:rsidP="00B00F9C">
            <w:pPr>
              <w:spacing w:after="0" w:line="240" w:lineRule="auto"/>
              <w:jc w:val="center"/>
              <w:rPr>
                <w:rFonts w:ascii="Arial" w:eastAsia="Calibri" w:hAnsi="Arial" w:cs="Arial"/>
                <w:sz w:val="24"/>
                <w:szCs w:val="24"/>
                <w:lang w:eastAsia="en-ZA"/>
              </w:rPr>
            </w:pPr>
            <w:r w:rsidRPr="00B00F9C">
              <w:rPr>
                <w:rFonts w:ascii="Arial" w:hAnsi="Arial" w:cs="Arial"/>
                <w:b/>
                <w:bCs/>
                <w:sz w:val="24"/>
                <w:szCs w:val="24"/>
                <w:lang w:eastAsia="en-ZA"/>
              </w:rPr>
              <w:t>2021</w:t>
            </w:r>
          </w:p>
        </w:tc>
        <w:tc>
          <w:tcPr>
            <w:tcW w:w="848" w:type="dxa"/>
            <w:tcBorders>
              <w:top w:val="single" w:sz="4" w:space="0" w:color="auto"/>
              <w:left w:val="nil"/>
              <w:bottom w:val="single" w:sz="4" w:space="0" w:color="auto"/>
              <w:right w:val="single" w:sz="4" w:space="0" w:color="auto"/>
            </w:tcBorders>
            <w:vAlign w:val="bottom"/>
            <w:hideMark/>
          </w:tcPr>
          <w:p w:rsidR="00B00F9C" w:rsidRPr="00B00F9C" w:rsidRDefault="00B00F9C" w:rsidP="00B00F9C">
            <w:pPr>
              <w:spacing w:after="0" w:line="240" w:lineRule="auto"/>
              <w:jc w:val="center"/>
              <w:rPr>
                <w:rFonts w:ascii="Arial" w:eastAsia="Calibri" w:hAnsi="Arial" w:cs="Arial"/>
                <w:sz w:val="24"/>
                <w:szCs w:val="24"/>
                <w:lang w:eastAsia="en-ZA"/>
              </w:rPr>
            </w:pPr>
            <w:r w:rsidRPr="00B00F9C">
              <w:rPr>
                <w:rFonts w:ascii="Arial" w:hAnsi="Arial" w:cs="Arial"/>
                <w:b/>
                <w:bCs/>
                <w:sz w:val="24"/>
                <w:szCs w:val="24"/>
                <w:lang w:eastAsia="en-ZA"/>
              </w:rPr>
              <w:t>2022</w:t>
            </w:r>
          </w:p>
        </w:tc>
        <w:tc>
          <w:tcPr>
            <w:tcW w:w="848" w:type="dxa"/>
            <w:tcBorders>
              <w:top w:val="single" w:sz="4" w:space="0" w:color="auto"/>
              <w:left w:val="nil"/>
              <w:bottom w:val="single" w:sz="4" w:space="0" w:color="auto"/>
              <w:right w:val="single" w:sz="4" w:space="0" w:color="auto"/>
            </w:tcBorders>
            <w:vAlign w:val="bottom"/>
            <w:hideMark/>
          </w:tcPr>
          <w:p w:rsidR="00B00F9C" w:rsidRPr="00B00F9C" w:rsidRDefault="00B00F9C" w:rsidP="00B00F9C">
            <w:pPr>
              <w:spacing w:after="0" w:line="240" w:lineRule="auto"/>
              <w:jc w:val="center"/>
              <w:rPr>
                <w:rFonts w:ascii="Arial" w:eastAsia="Calibri" w:hAnsi="Arial" w:cs="Arial"/>
                <w:sz w:val="24"/>
                <w:szCs w:val="24"/>
                <w:lang w:eastAsia="en-ZA"/>
              </w:rPr>
            </w:pPr>
            <w:r w:rsidRPr="00B00F9C">
              <w:rPr>
                <w:rFonts w:ascii="Arial" w:hAnsi="Arial" w:cs="Arial"/>
                <w:b/>
                <w:bCs/>
                <w:sz w:val="24"/>
                <w:szCs w:val="24"/>
                <w:lang w:eastAsia="en-ZA"/>
              </w:rPr>
              <w:t>Total</w:t>
            </w:r>
          </w:p>
        </w:tc>
        <w:tc>
          <w:tcPr>
            <w:tcW w:w="1030" w:type="dxa"/>
            <w:tcBorders>
              <w:top w:val="single" w:sz="4" w:space="0" w:color="auto"/>
              <w:left w:val="nil"/>
              <w:bottom w:val="single" w:sz="4" w:space="0" w:color="auto"/>
              <w:right w:val="single" w:sz="4" w:space="0" w:color="auto"/>
            </w:tcBorders>
            <w:vAlign w:val="bottom"/>
            <w:hideMark/>
          </w:tcPr>
          <w:p w:rsidR="00B00F9C" w:rsidRPr="00B00F9C" w:rsidRDefault="00B00F9C" w:rsidP="00B00F9C">
            <w:pPr>
              <w:spacing w:after="0" w:line="240" w:lineRule="auto"/>
              <w:jc w:val="center"/>
              <w:rPr>
                <w:rFonts w:ascii="Arial" w:eastAsia="Calibri" w:hAnsi="Arial" w:cs="Arial"/>
                <w:sz w:val="24"/>
                <w:szCs w:val="24"/>
                <w:lang w:eastAsia="en-ZA"/>
              </w:rPr>
            </w:pPr>
            <w:r w:rsidRPr="00B00F9C">
              <w:rPr>
                <w:rFonts w:ascii="Arial" w:hAnsi="Arial" w:cs="Arial"/>
                <w:sz w:val="24"/>
                <w:szCs w:val="24"/>
                <w:lang w:eastAsia="en-ZA"/>
              </w:rPr>
              <w:t> </w:t>
            </w:r>
          </w:p>
        </w:tc>
      </w:tr>
      <w:tr w:rsidR="00B00F9C" w:rsidRPr="00B00F9C" w:rsidTr="00B00F9C">
        <w:trPr>
          <w:trHeight w:val="250"/>
        </w:trPr>
        <w:tc>
          <w:tcPr>
            <w:tcW w:w="3602" w:type="dxa"/>
            <w:tcBorders>
              <w:top w:val="nil"/>
              <w:left w:val="single" w:sz="4" w:space="0" w:color="auto"/>
              <w:bottom w:val="single" w:sz="4" w:space="0" w:color="auto"/>
              <w:right w:val="single" w:sz="4" w:space="0" w:color="auto"/>
            </w:tcBorders>
            <w:vAlign w:val="bottom"/>
            <w:hideMark/>
          </w:tcPr>
          <w:p w:rsidR="00B00F9C" w:rsidRPr="00B00F9C" w:rsidRDefault="00B00F9C" w:rsidP="00B00F9C">
            <w:pPr>
              <w:spacing w:before="120" w:after="120" w:line="240" w:lineRule="auto"/>
              <w:rPr>
                <w:rFonts w:ascii="Arial" w:eastAsia="Calibri" w:hAnsi="Arial" w:cs="Arial"/>
                <w:sz w:val="24"/>
                <w:szCs w:val="24"/>
                <w:lang w:eastAsia="en-ZA"/>
              </w:rPr>
            </w:pPr>
            <w:r w:rsidRPr="00B00F9C">
              <w:rPr>
                <w:rFonts w:ascii="Arial" w:hAnsi="Arial" w:cs="Arial"/>
                <w:sz w:val="24"/>
                <w:szCs w:val="24"/>
                <w:lang w:eastAsia="en-ZA"/>
              </w:rPr>
              <w:t>Death in facility 0-6 days</w:t>
            </w:r>
          </w:p>
        </w:tc>
        <w:tc>
          <w:tcPr>
            <w:tcW w:w="2083"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359</w:t>
            </w:r>
          </w:p>
        </w:tc>
        <w:tc>
          <w:tcPr>
            <w:tcW w:w="847"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403</w:t>
            </w:r>
          </w:p>
        </w:tc>
        <w:tc>
          <w:tcPr>
            <w:tcW w:w="848"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325</w:t>
            </w:r>
          </w:p>
        </w:tc>
        <w:tc>
          <w:tcPr>
            <w:tcW w:w="848"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1087</w:t>
            </w:r>
          </w:p>
        </w:tc>
        <w:tc>
          <w:tcPr>
            <w:tcW w:w="1030"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59,6%</w:t>
            </w:r>
          </w:p>
        </w:tc>
      </w:tr>
      <w:tr w:rsidR="00B00F9C" w:rsidRPr="00B00F9C" w:rsidTr="00B00F9C">
        <w:trPr>
          <w:trHeight w:val="250"/>
        </w:trPr>
        <w:tc>
          <w:tcPr>
            <w:tcW w:w="3602" w:type="dxa"/>
            <w:tcBorders>
              <w:top w:val="nil"/>
              <w:left w:val="single" w:sz="4" w:space="0" w:color="auto"/>
              <w:bottom w:val="single" w:sz="4" w:space="0" w:color="auto"/>
              <w:right w:val="single" w:sz="4" w:space="0" w:color="auto"/>
            </w:tcBorders>
            <w:vAlign w:val="bottom"/>
            <w:hideMark/>
          </w:tcPr>
          <w:p w:rsidR="00B00F9C" w:rsidRPr="00B00F9C" w:rsidRDefault="00B00F9C" w:rsidP="00B00F9C">
            <w:pPr>
              <w:spacing w:before="120" w:after="120" w:line="240" w:lineRule="auto"/>
              <w:rPr>
                <w:rFonts w:ascii="Arial" w:eastAsia="Calibri" w:hAnsi="Arial" w:cs="Arial"/>
                <w:sz w:val="24"/>
                <w:szCs w:val="24"/>
                <w:lang w:eastAsia="en-ZA"/>
              </w:rPr>
            </w:pPr>
            <w:r w:rsidRPr="00B00F9C">
              <w:rPr>
                <w:rFonts w:ascii="Arial" w:hAnsi="Arial" w:cs="Arial"/>
                <w:sz w:val="24"/>
                <w:szCs w:val="24"/>
                <w:lang w:eastAsia="en-ZA"/>
              </w:rPr>
              <w:t>Death in facility 7-28 days</w:t>
            </w:r>
          </w:p>
        </w:tc>
        <w:tc>
          <w:tcPr>
            <w:tcW w:w="2083"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162</w:t>
            </w:r>
          </w:p>
        </w:tc>
        <w:tc>
          <w:tcPr>
            <w:tcW w:w="847"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162</w:t>
            </w:r>
          </w:p>
        </w:tc>
        <w:tc>
          <w:tcPr>
            <w:tcW w:w="848"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191</w:t>
            </w:r>
          </w:p>
        </w:tc>
        <w:tc>
          <w:tcPr>
            <w:tcW w:w="848"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515</w:t>
            </w:r>
          </w:p>
        </w:tc>
        <w:tc>
          <w:tcPr>
            <w:tcW w:w="1030"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28,2%</w:t>
            </w:r>
          </w:p>
        </w:tc>
      </w:tr>
      <w:tr w:rsidR="00B00F9C" w:rsidRPr="00B00F9C" w:rsidTr="00B00F9C">
        <w:trPr>
          <w:trHeight w:val="250"/>
        </w:trPr>
        <w:tc>
          <w:tcPr>
            <w:tcW w:w="3602" w:type="dxa"/>
            <w:tcBorders>
              <w:top w:val="nil"/>
              <w:left w:val="single" w:sz="4" w:space="0" w:color="auto"/>
              <w:bottom w:val="single" w:sz="4" w:space="0" w:color="auto"/>
              <w:right w:val="single" w:sz="4" w:space="0" w:color="auto"/>
            </w:tcBorders>
            <w:vAlign w:val="bottom"/>
            <w:hideMark/>
          </w:tcPr>
          <w:p w:rsidR="00B00F9C" w:rsidRPr="00B00F9C" w:rsidRDefault="00B00F9C" w:rsidP="00B00F9C">
            <w:pPr>
              <w:spacing w:before="120" w:after="120" w:line="240" w:lineRule="auto"/>
              <w:rPr>
                <w:rFonts w:ascii="Arial" w:eastAsia="Calibri" w:hAnsi="Arial" w:cs="Arial"/>
                <w:sz w:val="24"/>
                <w:szCs w:val="24"/>
                <w:lang w:eastAsia="en-ZA"/>
              </w:rPr>
            </w:pPr>
            <w:r w:rsidRPr="00B00F9C">
              <w:rPr>
                <w:rFonts w:ascii="Arial" w:hAnsi="Arial" w:cs="Arial"/>
                <w:sz w:val="24"/>
                <w:szCs w:val="24"/>
                <w:lang w:eastAsia="en-ZA"/>
              </w:rPr>
              <w:t>Death in facility 29 days - 11 months</w:t>
            </w:r>
          </w:p>
        </w:tc>
        <w:tc>
          <w:tcPr>
            <w:tcW w:w="2083"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43</w:t>
            </w:r>
          </w:p>
        </w:tc>
        <w:tc>
          <w:tcPr>
            <w:tcW w:w="847"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95</w:t>
            </w:r>
          </w:p>
        </w:tc>
        <w:tc>
          <w:tcPr>
            <w:tcW w:w="848"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84</w:t>
            </w:r>
          </w:p>
        </w:tc>
        <w:tc>
          <w:tcPr>
            <w:tcW w:w="848"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222</w:t>
            </w:r>
          </w:p>
        </w:tc>
        <w:tc>
          <w:tcPr>
            <w:tcW w:w="1030"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sz w:val="24"/>
                <w:szCs w:val="24"/>
                <w:lang w:eastAsia="en-ZA"/>
              </w:rPr>
              <w:t>12,2%</w:t>
            </w:r>
          </w:p>
        </w:tc>
      </w:tr>
      <w:tr w:rsidR="00B00F9C" w:rsidRPr="00B00F9C" w:rsidTr="00B00F9C">
        <w:trPr>
          <w:trHeight w:val="260"/>
        </w:trPr>
        <w:tc>
          <w:tcPr>
            <w:tcW w:w="3602" w:type="dxa"/>
            <w:tcBorders>
              <w:top w:val="nil"/>
              <w:left w:val="single" w:sz="4" w:space="0" w:color="auto"/>
              <w:bottom w:val="single" w:sz="4" w:space="0" w:color="auto"/>
              <w:right w:val="single" w:sz="4" w:space="0" w:color="auto"/>
            </w:tcBorders>
            <w:vAlign w:val="bottom"/>
            <w:hideMark/>
          </w:tcPr>
          <w:p w:rsidR="00B00F9C" w:rsidRPr="00B00F9C" w:rsidRDefault="00B00F9C" w:rsidP="00B00F9C">
            <w:pPr>
              <w:spacing w:before="120" w:after="120" w:line="240" w:lineRule="auto"/>
              <w:rPr>
                <w:rFonts w:ascii="Arial" w:eastAsia="Calibri" w:hAnsi="Arial" w:cs="Arial"/>
                <w:sz w:val="24"/>
                <w:szCs w:val="24"/>
                <w:lang w:eastAsia="en-ZA"/>
              </w:rPr>
            </w:pPr>
            <w:r w:rsidRPr="00B00F9C">
              <w:rPr>
                <w:rFonts w:ascii="Arial" w:hAnsi="Arial" w:cs="Arial"/>
                <w:b/>
                <w:bCs/>
                <w:i/>
                <w:iCs/>
                <w:sz w:val="24"/>
                <w:szCs w:val="24"/>
                <w:lang w:eastAsia="en-ZA"/>
              </w:rPr>
              <w:t>Total infant deaths</w:t>
            </w:r>
          </w:p>
        </w:tc>
        <w:tc>
          <w:tcPr>
            <w:tcW w:w="2083"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b/>
                <w:bCs/>
                <w:i/>
                <w:iCs/>
                <w:sz w:val="24"/>
                <w:szCs w:val="24"/>
                <w:lang w:eastAsia="en-ZA"/>
              </w:rPr>
              <w:t>564</w:t>
            </w:r>
          </w:p>
        </w:tc>
        <w:tc>
          <w:tcPr>
            <w:tcW w:w="847"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b/>
                <w:bCs/>
                <w:i/>
                <w:iCs/>
                <w:sz w:val="24"/>
                <w:szCs w:val="24"/>
                <w:lang w:eastAsia="en-ZA"/>
              </w:rPr>
              <w:t>660</w:t>
            </w:r>
          </w:p>
        </w:tc>
        <w:tc>
          <w:tcPr>
            <w:tcW w:w="848"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b/>
                <w:bCs/>
                <w:i/>
                <w:iCs/>
                <w:sz w:val="24"/>
                <w:szCs w:val="24"/>
                <w:lang w:eastAsia="en-ZA"/>
              </w:rPr>
              <w:t>600</w:t>
            </w:r>
          </w:p>
        </w:tc>
        <w:tc>
          <w:tcPr>
            <w:tcW w:w="848"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b/>
                <w:bCs/>
                <w:i/>
                <w:iCs/>
                <w:sz w:val="24"/>
                <w:szCs w:val="24"/>
                <w:lang w:eastAsia="en-ZA"/>
              </w:rPr>
              <w:t>1824</w:t>
            </w:r>
          </w:p>
        </w:tc>
        <w:tc>
          <w:tcPr>
            <w:tcW w:w="1030" w:type="dxa"/>
            <w:tcBorders>
              <w:top w:val="nil"/>
              <w:left w:val="nil"/>
              <w:bottom w:val="single" w:sz="4" w:space="0" w:color="auto"/>
              <w:right w:val="single" w:sz="4" w:space="0" w:color="auto"/>
            </w:tcBorders>
            <w:vAlign w:val="bottom"/>
            <w:hideMark/>
          </w:tcPr>
          <w:p w:rsidR="00B00F9C" w:rsidRPr="00B00F9C" w:rsidRDefault="00B00F9C" w:rsidP="00B00F9C">
            <w:pPr>
              <w:spacing w:before="120" w:after="120" w:line="240" w:lineRule="auto"/>
              <w:jc w:val="center"/>
              <w:rPr>
                <w:rFonts w:ascii="Arial" w:eastAsia="Calibri" w:hAnsi="Arial" w:cs="Arial"/>
                <w:sz w:val="24"/>
                <w:szCs w:val="24"/>
                <w:lang w:eastAsia="en-ZA"/>
              </w:rPr>
            </w:pPr>
            <w:r w:rsidRPr="00B00F9C">
              <w:rPr>
                <w:rFonts w:ascii="Arial" w:hAnsi="Arial" w:cs="Arial"/>
                <w:b/>
                <w:bCs/>
                <w:i/>
                <w:iCs/>
                <w:sz w:val="24"/>
                <w:szCs w:val="24"/>
                <w:lang w:eastAsia="en-ZA"/>
              </w:rPr>
              <w:t>100,0%</w:t>
            </w:r>
          </w:p>
        </w:tc>
      </w:tr>
      <w:tr w:rsidR="00B00F9C" w:rsidRPr="00B00F9C" w:rsidTr="00B00F9C">
        <w:trPr>
          <w:trHeight w:val="260"/>
        </w:trPr>
        <w:tc>
          <w:tcPr>
            <w:tcW w:w="9258" w:type="dxa"/>
            <w:gridSpan w:val="6"/>
            <w:tcBorders>
              <w:top w:val="nil"/>
              <w:left w:val="single" w:sz="4" w:space="0" w:color="auto"/>
              <w:bottom w:val="single" w:sz="4" w:space="0" w:color="auto"/>
              <w:right w:val="single" w:sz="4" w:space="0" w:color="auto"/>
            </w:tcBorders>
            <w:vAlign w:val="bottom"/>
            <w:hideMark/>
          </w:tcPr>
          <w:p w:rsidR="00B00F9C" w:rsidRPr="00B00F9C" w:rsidRDefault="00B00F9C" w:rsidP="00B00F9C">
            <w:pPr>
              <w:spacing w:before="120" w:after="120" w:line="240" w:lineRule="auto"/>
              <w:rPr>
                <w:rFonts w:ascii="Arial" w:eastAsia="Calibri" w:hAnsi="Arial" w:cs="Arial"/>
                <w:sz w:val="24"/>
                <w:szCs w:val="24"/>
                <w:lang w:eastAsia="en-ZA"/>
              </w:rPr>
            </w:pPr>
            <w:r w:rsidRPr="00B00F9C">
              <w:rPr>
                <w:rFonts w:ascii="Arial" w:hAnsi="Arial" w:cs="Arial"/>
                <w:b/>
                <w:bCs/>
                <w:sz w:val="24"/>
                <w:szCs w:val="24"/>
                <w:lang w:eastAsia="en-ZA"/>
              </w:rPr>
              <w:t>DHIS data extracted 20th February 2022</w:t>
            </w:r>
            <w:r w:rsidRPr="00B00F9C">
              <w:rPr>
                <w:rFonts w:ascii="Arial" w:hAnsi="Arial" w:cs="Arial"/>
                <w:sz w:val="24"/>
                <w:szCs w:val="24"/>
                <w:lang w:eastAsia="en-ZA"/>
              </w:rPr>
              <w:t> </w:t>
            </w:r>
          </w:p>
        </w:tc>
      </w:tr>
    </w:tbl>
    <w:p w:rsidR="00B00F9C" w:rsidRPr="00B00F9C" w:rsidRDefault="00B00F9C" w:rsidP="00B00F9C">
      <w:pPr>
        <w:pStyle w:val="Address"/>
        <w:spacing w:line="240" w:lineRule="auto"/>
        <w:rPr>
          <w:rFonts w:cs="Arial"/>
          <w:sz w:val="24"/>
          <w:lang w:val="en-ZA" w:eastAsia="en-ZA"/>
        </w:rPr>
      </w:pPr>
    </w:p>
    <w:p w:rsidR="00B00F9C" w:rsidRPr="00B00F9C" w:rsidRDefault="00B00F9C" w:rsidP="00B00F9C">
      <w:pPr>
        <w:pStyle w:val="Address"/>
        <w:spacing w:line="240" w:lineRule="auto"/>
        <w:ind w:left="720" w:hanging="720"/>
        <w:jc w:val="both"/>
        <w:rPr>
          <w:rFonts w:cs="Arial"/>
          <w:sz w:val="24"/>
          <w:lang w:val="en-ZA" w:eastAsia="en-ZA"/>
        </w:rPr>
      </w:pPr>
      <w:r>
        <w:rPr>
          <w:rFonts w:cs="Arial"/>
          <w:sz w:val="24"/>
        </w:rPr>
        <w:t>(b)-(c)</w:t>
      </w:r>
      <w:r>
        <w:rPr>
          <w:rFonts w:cs="Arial"/>
          <w:sz w:val="24"/>
        </w:rPr>
        <w:tab/>
      </w:r>
      <w:r w:rsidRPr="00B00F9C">
        <w:rPr>
          <w:rFonts w:cs="Arial"/>
          <w:sz w:val="24"/>
        </w:rPr>
        <w:t>Chris Hani Baragwanath Academic Hospital (CHBAH) does not procure ambulances. Provision of ambulances is the responsibility of Gauteng EMS. Gauteng EMS does not have dedicated obstetric ambulances as all ambulances are equipped to treat and transport all emergencies including obstetric cases.</w:t>
      </w:r>
    </w:p>
    <w:p w:rsidR="00B00F9C" w:rsidRDefault="00B00F9C" w:rsidP="00B00F9C">
      <w:pPr>
        <w:spacing w:line="240" w:lineRule="auto"/>
        <w:jc w:val="both"/>
        <w:rPr>
          <w:rFonts w:ascii="Arial" w:hAnsi="Arial" w:cs="Arial"/>
          <w:sz w:val="24"/>
          <w:szCs w:val="24"/>
        </w:rPr>
      </w:pPr>
      <w:r w:rsidRPr="00B00F9C">
        <w:rPr>
          <w:rFonts w:ascii="Arial" w:hAnsi="Arial" w:cs="Arial"/>
          <w:sz w:val="24"/>
          <w:szCs w:val="24"/>
        </w:rPr>
        <w:t> </w:t>
      </w:r>
    </w:p>
    <w:p w:rsidR="00B00F9C" w:rsidRPr="00B00F9C" w:rsidRDefault="00B00F9C" w:rsidP="00B00F9C">
      <w:pPr>
        <w:spacing w:line="240" w:lineRule="auto"/>
        <w:ind w:left="720"/>
        <w:jc w:val="both"/>
        <w:rPr>
          <w:rFonts w:ascii="Arial" w:hAnsi="Arial" w:cs="Arial"/>
          <w:sz w:val="24"/>
          <w:szCs w:val="24"/>
        </w:rPr>
      </w:pPr>
      <w:r w:rsidRPr="00B00F9C">
        <w:rPr>
          <w:rFonts w:ascii="Arial" w:hAnsi="Arial" w:cs="Arial"/>
          <w:sz w:val="24"/>
          <w:szCs w:val="24"/>
        </w:rPr>
        <w:t>Gauteng EMS is piloting the Gauteng Scheduled Emergency Transport (G-SET) which is a scheduled transport system between high call volume facilities like CHBAH. We are encouraged by the improved response times and plan to expand G-SET during the new financial year subject to recruitment of additional staff.</w:t>
      </w:r>
    </w:p>
    <w:p w:rsidR="00B00F9C" w:rsidRDefault="00B00F9C" w:rsidP="00B00F9C">
      <w:pPr>
        <w:spacing w:line="240" w:lineRule="auto"/>
        <w:rPr>
          <w:rFonts w:ascii="Arial" w:hAnsi="Arial" w:cs="Arial"/>
          <w:b/>
          <w:bCs/>
          <w:sz w:val="24"/>
          <w:szCs w:val="24"/>
        </w:rPr>
      </w:pPr>
    </w:p>
    <w:p w:rsidR="00B00F9C" w:rsidRDefault="00B00F9C" w:rsidP="00B00F9C">
      <w:pPr>
        <w:spacing w:line="240" w:lineRule="auto"/>
        <w:rPr>
          <w:rFonts w:ascii="Arial" w:hAnsi="Arial" w:cs="Arial"/>
          <w:b/>
          <w:bCs/>
          <w:sz w:val="24"/>
          <w:szCs w:val="24"/>
          <w:lang w:eastAsia="en-ZA"/>
        </w:rPr>
      </w:pPr>
    </w:p>
    <w:p w:rsidR="00B00F9C" w:rsidRDefault="00B00F9C" w:rsidP="00B00F9C">
      <w:pPr>
        <w:spacing w:line="240" w:lineRule="auto"/>
        <w:rPr>
          <w:rFonts w:ascii="Arial" w:hAnsi="Arial" w:cs="Arial"/>
          <w:b/>
          <w:bCs/>
          <w:sz w:val="24"/>
          <w:szCs w:val="24"/>
          <w:lang w:eastAsia="en-ZA"/>
        </w:rPr>
      </w:pPr>
    </w:p>
    <w:p w:rsidR="00B00F9C" w:rsidRDefault="00B00F9C" w:rsidP="00B00F9C">
      <w:pPr>
        <w:spacing w:line="240" w:lineRule="auto"/>
        <w:rPr>
          <w:rFonts w:ascii="Arial" w:hAnsi="Arial" w:cs="Arial"/>
          <w:b/>
          <w:bCs/>
          <w:sz w:val="24"/>
          <w:szCs w:val="24"/>
          <w:lang w:eastAsia="en-ZA"/>
        </w:rPr>
      </w:pPr>
    </w:p>
    <w:p w:rsidR="00B00F9C" w:rsidRPr="00B00F9C" w:rsidRDefault="00B00F9C" w:rsidP="00B00F9C">
      <w:pPr>
        <w:spacing w:line="240" w:lineRule="auto"/>
        <w:rPr>
          <w:rFonts w:ascii="Arial" w:eastAsiaTheme="majorEastAsia" w:hAnsi="Arial" w:cs="Arial"/>
          <w:kern w:val="24"/>
          <w:sz w:val="24"/>
          <w:szCs w:val="24"/>
        </w:rPr>
      </w:pPr>
      <w:r w:rsidRPr="00B00F9C">
        <w:rPr>
          <w:rFonts w:ascii="Arial" w:hAnsi="Arial" w:cs="Arial"/>
          <w:sz w:val="24"/>
          <w:szCs w:val="24"/>
          <w:lang w:eastAsia="en-ZA"/>
        </w:rPr>
        <w:t xml:space="preserve">(d) </w:t>
      </w:r>
      <w:r w:rsidRPr="00B00F9C">
        <w:rPr>
          <w:rFonts w:ascii="Arial" w:hAnsi="Arial" w:cs="Arial"/>
          <w:sz w:val="24"/>
          <w:szCs w:val="24"/>
          <w:lang w:eastAsia="en-ZA"/>
        </w:rPr>
        <w:tab/>
        <w:t>(i)</w:t>
      </w:r>
      <w:r w:rsidRPr="00B00F9C">
        <w:rPr>
          <w:rFonts w:ascii="Arial" w:hAnsi="Arial" w:cs="Arial"/>
          <w:sz w:val="24"/>
          <w:szCs w:val="24"/>
          <w:lang w:eastAsia="en-ZA"/>
        </w:rPr>
        <w:tab/>
        <w:t>Action plans to reduce avoidable mortality</w:t>
      </w:r>
    </w:p>
    <w:p w:rsidR="00B00F9C" w:rsidRPr="00B00F9C" w:rsidRDefault="00B00F9C" w:rsidP="00B00F9C">
      <w:pPr>
        <w:pStyle w:val="ListParagraph"/>
        <w:numPr>
          <w:ilvl w:val="0"/>
          <w:numId w:val="14"/>
        </w:numPr>
        <w:spacing w:after="240" w:line="240" w:lineRule="auto"/>
        <w:ind w:left="2127" w:hanging="709"/>
        <w:contextualSpacing w:val="0"/>
        <w:jc w:val="both"/>
        <w:rPr>
          <w:rFonts w:ascii="Arial" w:hAnsi="Arial" w:cs="Arial"/>
          <w:sz w:val="24"/>
          <w:szCs w:val="24"/>
        </w:rPr>
      </w:pPr>
      <w:r w:rsidRPr="00B00F9C">
        <w:rPr>
          <w:rFonts w:ascii="Arial" w:hAnsi="Arial" w:cs="Arial"/>
          <w:sz w:val="24"/>
          <w:szCs w:val="24"/>
        </w:rPr>
        <w:t>All Health care facilities should have monitoring and evaluation team that monitors perinatal mortality data using the Perinatal Problem Identification Program (PPIP) to exclude avoidable deaths.</w:t>
      </w:r>
    </w:p>
    <w:p w:rsidR="00B00F9C" w:rsidRPr="00B00F9C" w:rsidRDefault="00B00F9C" w:rsidP="00B00F9C">
      <w:pPr>
        <w:pStyle w:val="ListParagraph"/>
        <w:numPr>
          <w:ilvl w:val="0"/>
          <w:numId w:val="14"/>
        </w:numPr>
        <w:spacing w:after="240" w:line="240" w:lineRule="auto"/>
        <w:ind w:left="2127" w:hanging="709"/>
        <w:contextualSpacing w:val="0"/>
        <w:jc w:val="both"/>
        <w:rPr>
          <w:rFonts w:ascii="Arial" w:hAnsi="Arial" w:cs="Arial"/>
          <w:sz w:val="24"/>
          <w:szCs w:val="24"/>
        </w:rPr>
      </w:pPr>
      <w:r w:rsidRPr="00B00F9C">
        <w:rPr>
          <w:rFonts w:ascii="Arial" w:hAnsi="Arial" w:cs="Arial"/>
          <w:sz w:val="24"/>
          <w:szCs w:val="24"/>
        </w:rPr>
        <w:t>Integrate PPIP programme into M &amp; E teams at all levels of care.</w:t>
      </w:r>
    </w:p>
    <w:p w:rsidR="00B00F9C" w:rsidRPr="00B00F9C" w:rsidRDefault="00B00F9C" w:rsidP="00B00F9C">
      <w:pPr>
        <w:pStyle w:val="ListParagraph"/>
        <w:numPr>
          <w:ilvl w:val="0"/>
          <w:numId w:val="14"/>
        </w:numPr>
        <w:spacing w:after="240" w:line="240" w:lineRule="auto"/>
        <w:ind w:left="2127" w:hanging="709"/>
        <w:contextualSpacing w:val="0"/>
        <w:jc w:val="both"/>
        <w:rPr>
          <w:rFonts w:ascii="Arial" w:hAnsi="Arial" w:cs="Arial"/>
          <w:sz w:val="24"/>
          <w:szCs w:val="24"/>
        </w:rPr>
      </w:pPr>
      <w:r w:rsidRPr="00B00F9C">
        <w:rPr>
          <w:rFonts w:ascii="Arial" w:hAnsi="Arial" w:cs="Arial"/>
          <w:sz w:val="24"/>
          <w:szCs w:val="24"/>
        </w:rPr>
        <w:t>Facility management should develop quality improvement plan focussing on avoidable factors of death and address them.</w:t>
      </w:r>
    </w:p>
    <w:p w:rsidR="00B00F9C" w:rsidRPr="00B00F9C" w:rsidRDefault="00B00F9C" w:rsidP="00B00F9C">
      <w:pPr>
        <w:pStyle w:val="ListParagraph"/>
        <w:numPr>
          <w:ilvl w:val="0"/>
          <w:numId w:val="14"/>
        </w:numPr>
        <w:spacing w:after="240" w:line="240" w:lineRule="auto"/>
        <w:ind w:left="2127" w:hanging="709"/>
        <w:contextualSpacing w:val="0"/>
        <w:jc w:val="both"/>
        <w:rPr>
          <w:rFonts w:ascii="Arial" w:hAnsi="Arial" w:cs="Arial"/>
          <w:sz w:val="24"/>
          <w:szCs w:val="24"/>
        </w:rPr>
      </w:pPr>
      <w:r w:rsidRPr="00B00F9C">
        <w:rPr>
          <w:rFonts w:ascii="Arial" w:hAnsi="Arial" w:cs="Arial"/>
          <w:sz w:val="24"/>
          <w:szCs w:val="24"/>
        </w:rPr>
        <w:t xml:space="preserve">Facility Management must ensure that all delivering institution discuss every death within 7 days, report on PPIP, develop and follow up on implementation of Quality Improvement Plans (QIP) </w:t>
      </w:r>
    </w:p>
    <w:p w:rsidR="00B00F9C" w:rsidRPr="00B00F9C" w:rsidRDefault="00B00F9C" w:rsidP="00B00F9C">
      <w:pPr>
        <w:pStyle w:val="ListParagraph"/>
        <w:numPr>
          <w:ilvl w:val="0"/>
          <w:numId w:val="14"/>
        </w:numPr>
        <w:spacing w:after="240" w:line="240" w:lineRule="auto"/>
        <w:ind w:left="2127" w:hanging="709"/>
        <w:contextualSpacing w:val="0"/>
        <w:jc w:val="both"/>
        <w:rPr>
          <w:rFonts w:ascii="Arial" w:hAnsi="Arial" w:cs="Arial"/>
          <w:sz w:val="24"/>
          <w:szCs w:val="24"/>
        </w:rPr>
      </w:pPr>
      <w:r w:rsidRPr="00B00F9C">
        <w:rPr>
          <w:rFonts w:ascii="Arial" w:hAnsi="Arial" w:cs="Arial"/>
          <w:sz w:val="24"/>
          <w:szCs w:val="24"/>
        </w:rPr>
        <w:t>Senior management must ensure that junior staff is provided technical support on the job and onsite corrective measures.</w:t>
      </w:r>
    </w:p>
    <w:p w:rsidR="00B00F9C" w:rsidRPr="00B00F9C" w:rsidRDefault="00B00F9C" w:rsidP="00B00F9C">
      <w:pPr>
        <w:pStyle w:val="ListParagraph"/>
        <w:numPr>
          <w:ilvl w:val="0"/>
          <w:numId w:val="14"/>
        </w:numPr>
        <w:spacing w:after="240" w:line="240" w:lineRule="auto"/>
        <w:ind w:left="2127" w:hanging="709"/>
        <w:contextualSpacing w:val="0"/>
        <w:jc w:val="both"/>
        <w:rPr>
          <w:rFonts w:ascii="Arial" w:hAnsi="Arial" w:cs="Arial"/>
          <w:sz w:val="24"/>
          <w:szCs w:val="24"/>
        </w:rPr>
      </w:pPr>
      <w:r w:rsidRPr="00B00F9C">
        <w:rPr>
          <w:rFonts w:ascii="Arial" w:hAnsi="Arial" w:cs="Arial"/>
          <w:sz w:val="24"/>
          <w:szCs w:val="24"/>
        </w:rPr>
        <w:t>Provincial Management to submit and verify their PPIP data to NDoH establish Provincial Perinatal Mortality Meetings Committee, NDOH, Provinces, MNCH cluster.</w:t>
      </w:r>
    </w:p>
    <w:p w:rsidR="00B00F9C" w:rsidRPr="00B00F9C" w:rsidRDefault="00B00F9C" w:rsidP="00B00F9C">
      <w:pPr>
        <w:spacing w:line="240" w:lineRule="auto"/>
        <w:ind w:left="1418" w:hanging="698"/>
        <w:jc w:val="both"/>
        <w:rPr>
          <w:rFonts w:ascii="Arial" w:hAnsi="Arial" w:cs="Arial"/>
          <w:sz w:val="24"/>
          <w:szCs w:val="24"/>
        </w:rPr>
      </w:pPr>
      <w:r w:rsidRPr="00B00F9C">
        <w:rPr>
          <w:rFonts w:ascii="Arial" w:eastAsiaTheme="majorEastAsia" w:hAnsi="Arial" w:cs="Arial"/>
          <w:kern w:val="24"/>
          <w:sz w:val="24"/>
          <w:szCs w:val="24"/>
        </w:rPr>
        <w:t>(ii)</w:t>
      </w:r>
      <w:r>
        <w:rPr>
          <w:rFonts w:ascii="Arial" w:eastAsiaTheme="majorEastAsia" w:hAnsi="Arial" w:cs="Arial"/>
          <w:kern w:val="24"/>
          <w:sz w:val="24"/>
          <w:szCs w:val="24"/>
        </w:rPr>
        <w:tab/>
      </w:r>
      <w:r w:rsidRPr="00B00F9C">
        <w:rPr>
          <w:rFonts w:ascii="Arial" w:eastAsiaTheme="majorEastAsia" w:hAnsi="Arial" w:cs="Arial"/>
          <w:kern w:val="24"/>
          <w:sz w:val="24"/>
          <w:szCs w:val="24"/>
          <w:lang w:eastAsia="en-ZA"/>
        </w:rPr>
        <w:t>Promote the prevention, early identification, and comprehensive management of the stabilisation phase of children with Severe Acute Malnutrition (SAM)</w:t>
      </w:r>
    </w:p>
    <w:p w:rsidR="00B00F9C" w:rsidRPr="00B00F9C" w:rsidRDefault="00B00F9C" w:rsidP="00B00F9C">
      <w:pPr>
        <w:pStyle w:val="NormalWeb"/>
        <w:numPr>
          <w:ilvl w:val="0"/>
          <w:numId w:val="13"/>
        </w:numPr>
        <w:spacing w:before="0" w:beforeAutospacing="0" w:after="0" w:afterAutospacing="0"/>
        <w:ind w:left="2127" w:hanging="709"/>
        <w:jc w:val="both"/>
        <w:rPr>
          <w:rFonts w:ascii="Arial" w:hAnsi="Arial" w:cs="Arial"/>
        </w:rPr>
      </w:pPr>
      <w:r w:rsidRPr="00B00F9C">
        <w:rPr>
          <w:rFonts w:ascii="Arial" w:eastAsiaTheme="majorEastAsia" w:hAnsi="Arial" w:cs="Arial"/>
          <w:kern w:val="24"/>
        </w:rPr>
        <w:t>Strengthen the capacity of hospitals to identify and care for acutely sick children not limited to the following:</w:t>
      </w:r>
    </w:p>
    <w:p w:rsidR="00B00F9C" w:rsidRPr="00B00F9C" w:rsidRDefault="00B00F9C" w:rsidP="00B00F9C">
      <w:pPr>
        <w:pStyle w:val="NormalWeb"/>
        <w:spacing w:before="0" w:beforeAutospacing="0" w:after="0" w:afterAutospacing="0"/>
        <w:ind w:left="2127"/>
        <w:jc w:val="both"/>
        <w:rPr>
          <w:rFonts w:ascii="Arial" w:hAnsi="Arial" w:cs="Arial"/>
        </w:rPr>
      </w:pPr>
    </w:p>
    <w:p w:rsidR="00B00F9C" w:rsidRPr="00B00F9C" w:rsidRDefault="00B00F9C" w:rsidP="00B00F9C">
      <w:pPr>
        <w:pStyle w:val="NormalWeb"/>
        <w:numPr>
          <w:ilvl w:val="0"/>
          <w:numId w:val="16"/>
        </w:numPr>
        <w:spacing w:before="0" w:beforeAutospacing="0" w:after="0" w:afterAutospacing="0" w:line="360" w:lineRule="auto"/>
        <w:ind w:left="2694" w:hanging="502"/>
        <w:jc w:val="both"/>
        <w:rPr>
          <w:rFonts w:ascii="Arial" w:hAnsi="Arial" w:cs="Arial"/>
        </w:rPr>
      </w:pPr>
      <w:r w:rsidRPr="00B00F9C">
        <w:rPr>
          <w:rFonts w:ascii="Arial" w:eastAsiaTheme="minorEastAsia" w:hAnsi="Arial" w:cs="Arial"/>
          <w:kern w:val="24"/>
          <w:lang w:val="en-US"/>
        </w:rPr>
        <w:t>Equitable allocation and non-rotation of staff</w:t>
      </w:r>
    </w:p>
    <w:p w:rsidR="00B00F9C" w:rsidRPr="00B00F9C" w:rsidRDefault="00B00F9C" w:rsidP="00B00F9C">
      <w:pPr>
        <w:pStyle w:val="NormalWeb"/>
        <w:numPr>
          <w:ilvl w:val="0"/>
          <w:numId w:val="16"/>
        </w:numPr>
        <w:spacing w:before="0" w:beforeAutospacing="0" w:after="0" w:afterAutospacing="0" w:line="360" w:lineRule="auto"/>
        <w:ind w:left="2694" w:hanging="502"/>
        <w:jc w:val="both"/>
        <w:rPr>
          <w:rFonts w:ascii="Arial" w:hAnsi="Arial" w:cs="Arial"/>
        </w:rPr>
      </w:pPr>
      <w:r w:rsidRPr="00B00F9C">
        <w:rPr>
          <w:rFonts w:ascii="Arial" w:eastAsiaTheme="minorEastAsia" w:hAnsi="Arial" w:cs="Arial"/>
          <w:kern w:val="24"/>
          <w:lang w:val="en-US"/>
        </w:rPr>
        <w:t>Ensure effective triage system in hospitals.</w:t>
      </w:r>
    </w:p>
    <w:p w:rsidR="00B00F9C" w:rsidRPr="00B00F9C" w:rsidRDefault="00B00F9C" w:rsidP="00B00F9C">
      <w:pPr>
        <w:pStyle w:val="NormalWeb"/>
        <w:numPr>
          <w:ilvl w:val="0"/>
          <w:numId w:val="16"/>
        </w:numPr>
        <w:spacing w:before="0" w:beforeAutospacing="0" w:after="0" w:afterAutospacing="0" w:line="360" w:lineRule="auto"/>
        <w:ind w:left="2694" w:hanging="502"/>
        <w:jc w:val="both"/>
        <w:rPr>
          <w:rFonts w:ascii="Arial" w:hAnsi="Arial" w:cs="Arial"/>
        </w:rPr>
      </w:pPr>
      <w:r w:rsidRPr="00B00F9C">
        <w:rPr>
          <w:rFonts w:ascii="Arial" w:eastAsiaTheme="minorEastAsia" w:hAnsi="Arial" w:cs="Arial"/>
          <w:kern w:val="24"/>
          <w:lang w:val="en-US"/>
        </w:rPr>
        <w:t>Strengthen daily ward rounds including on weekends.</w:t>
      </w:r>
    </w:p>
    <w:p w:rsidR="00B00F9C" w:rsidRPr="00B00F9C" w:rsidRDefault="00B00F9C" w:rsidP="00B00F9C">
      <w:pPr>
        <w:pStyle w:val="NormalWeb"/>
        <w:numPr>
          <w:ilvl w:val="0"/>
          <w:numId w:val="16"/>
        </w:numPr>
        <w:spacing w:before="0" w:beforeAutospacing="0" w:after="0" w:afterAutospacing="0"/>
        <w:ind w:left="2694" w:hanging="502"/>
        <w:jc w:val="both"/>
        <w:rPr>
          <w:rFonts w:ascii="Arial" w:hAnsi="Arial" w:cs="Arial"/>
        </w:rPr>
      </w:pPr>
      <w:r w:rsidRPr="00B00F9C">
        <w:rPr>
          <w:rFonts w:ascii="Arial" w:eastAsiaTheme="minorEastAsia" w:hAnsi="Arial" w:cs="Arial"/>
          <w:kern w:val="24"/>
          <w:lang w:val="en-US"/>
        </w:rPr>
        <w:t>Sustain Outreach support to District Hospitals</w:t>
      </w:r>
    </w:p>
    <w:p w:rsidR="00B00F9C" w:rsidRPr="00B00F9C" w:rsidRDefault="00B00F9C" w:rsidP="00B00F9C">
      <w:pPr>
        <w:pStyle w:val="NormalWeb"/>
        <w:spacing w:before="0" w:beforeAutospacing="0" w:after="0" w:afterAutospacing="0"/>
        <w:ind w:left="2694"/>
        <w:jc w:val="both"/>
        <w:rPr>
          <w:rFonts w:ascii="Arial" w:hAnsi="Arial" w:cs="Arial"/>
        </w:rPr>
      </w:pPr>
    </w:p>
    <w:p w:rsidR="00B00F9C" w:rsidRPr="00B00F9C" w:rsidRDefault="00B00F9C" w:rsidP="00B00F9C">
      <w:pPr>
        <w:pStyle w:val="NormalWeb"/>
        <w:numPr>
          <w:ilvl w:val="0"/>
          <w:numId w:val="13"/>
        </w:numPr>
        <w:spacing w:before="0" w:beforeAutospacing="0" w:after="0" w:afterAutospacing="0"/>
        <w:ind w:left="2127" w:hanging="709"/>
        <w:jc w:val="both"/>
        <w:rPr>
          <w:rFonts w:ascii="Arial" w:hAnsi="Arial" w:cs="Arial"/>
        </w:rPr>
      </w:pPr>
      <w:r w:rsidRPr="00B00F9C">
        <w:rPr>
          <w:rFonts w:ascii="Arial" w:eastAsiaTheme="majorEastAsia" w:hAnsi="Arial" w:cs="Arial"/>
          <w:kern w:val="24"/>
        </w:rPr>
        <w:t>Empower households and strengthen community services to promote early entry into the health service and reduce barriers.</w:t>
      </w:r>
    </w:p>
    <w:p w:rsidR="00B00F9C" w:rsidRPr="00B00F9C" w:rsidRDefault="00B00F9C" w:rsidP="00B00F9C">
      <w:pPr>
        <w:pStyle w:val="NormalWeb"/>
        <w:spacing w:before="0" w:beforeAutospacing="0" w:after="0" w:afterAutospacing="0"/>
        <w:ind w:left="2127"/>
        <w:jc w:val="both"/>
        <w:rPr>
          <w:rFonts w:ascii="Arial" w:hAnsi="Arial" w:cs="Arial"/>
        </w:rPr>
      </w:pPr>
    </w:p>
    <w:p w:rsidR="00B00F9C" w:rsidRPr="00B00F9C" w:rsidRDefault="00B00F9C" w:rsidP="00B00F9C">
      <w:pPr>
        <w:pStyle w:val="NormalWeb"/>
        <w:numPr>
          <w:ilvl w:val="0"/>
          <w:numId w:val="13"/>
        </w:numPr>
        <w:spacing w:before="0" w:beforeAutospacing="0" w:after="0" w:afterAutospacing="0"/>
        <w:ind w:left="2127" w:hanging="709"/>
        <w:jc w:val="both"/>
        <w:rPr>
          <w:rFonts w:ascii="Arial" w:hAnsi="Arial" w:cs="Arial"/>
        </w:rPr>
      </w:pPr>
      <w:r w:rsidRPr="00B00F9C">
        <w:rPr>
          <w:rFonts w:ascii="Arial" w:eastAsiaTheme="majorEastAsia" w:hAnsi="Arial" w:cs="Arial"/>
          <w:kern w:val="24"/>
        </w:rPr>
        <w:t>Create a safe home and social environments for children to reduce non-natural deaths, such as burns prevention and road traffic accidents.</w:t>
      </w:r>
    </w:p>
    <w:p w:rsidR="00B00F9C" w:rsidRDefault="00B00F9C" w:rsidP="00B00F9C">
      <w:pPr>
        <w:pStyle w:val="ListParagraph"/>
        <w:rPr>
          <w:rFonts w:ascii="Arial" w:eastAsiaTheme="majorEastAsia" w:hAnsi="Arial" w:cs="Arial"/>
          <w:kern w:val="24"/>
        </w:rPr>
      </w:pPr>
    </w:p>
    <w:p w:rsidR="00B00F9C" w:rsidRPr="00B00F9C" w:rsidRDefault="00B00F9C" w:rsidP="00B00F9C">
      <w:pPr>
        <w:pStyle w:val="NormalWeb"/>
        <w:numPr>
          <w:ilvl w:val="0"/>
          <w:numId w:val="13"/>
        </w:numPr>
        <w:spacing w:before="0" w:beforeAutospacing="0" w:after="0" w:afterAutospacing="0"/>
        <w:ind w:left="2127" w:hanging="709"/>
        <w:jc w:val="both"/>
        <w:rPr>
          <w:rFonts w:ascii="Arial" w:hAnsi="Arial" w:cs="Arial"/>
        </w:rPr>
      </w:pPr>
      <w:r w:rsidRPr="00B00F9C">
        <w:rPr>
          <w:rFonts w:ascii="Arial" w:eastAsiaTheme="majorEastAsia" w:hAnsi="Arial" w:cs="Arial"/>
          <w:kern w:val="24"/>
        </w:rPr>
        <w:t>Strengthen the capacity of community and primary health care services to address common childhood illnesses.</w:t>
      </w:r>
    </w:p>
    <w:p w:rsidR="00B00F9C" w:rsidRPr="00B00F9C" w:rsidRDefault="00B00F9C" w:rsidP="00B00F9C">
      <w:pPr>
        <w:pStyle w:val="NormalWeb"/>
        <w:spacing w:before="0" w:beforeAutospacing="0" w:after="0" w:afterAutospacing="0"/>
        <w:jc w:val="both"/>
        <w:rPr>
          <w:rFonts w:ascii="Arial" w:hAnsi="Arial" w:cs="Arial"/>
        </w:rPr>
      </w:pPr>
    </w:p>
    <w:p w:rsidR="00B00F9C" w:rsidRDefault="00B00F9C" w:rsidP="00B00F9C">
      <w:pPr>
        <w:pStyle w:val="Address"/>
        <w:spacing w:line="240" w:lineRule="auto"/>
        <w:ind w:left="709" w:hanging="709"/>
        <w:jc w:val="both"/>
        <w:rPr>
          <w:rFonts w:cs="Arial"/>
          <w:sz w:val="24"/>
          <w:lang w:val="en-ZA" w:eastAsia="en-ZA"/>
        </w:rPr>
      </w:pPr>
      <w:r w:rsidRPr="00B00F9C">
        <w:rPr>
          <w:rFonts w:cs="Arial"/>
          <w:sz w:val="24"/>
          <w:lang w:val="en-ZA" w:eastAsia="en-ZA"/>
        </w:rPr>
        <w:t>(e)</w:t>
      </w:r>
      <w:r>
        <w:rPr>
          <w:rFonts w:cs="Arial"/>
          <w:sz w:val="24"/>
          <w:lang w:val="en-ZA" w:eastAsia="en-ZA"/>
        </w:rPr>
        <w:tab/>
      </w:r>
      <w:r w:rsidRPr="00B00F9C">
        <w:rPr>
          <w:rFonts w:cs="Arial"/>
          <w:sz w:val="24"/>
          <w:lang w:val="en-ZA" w:eastAsia="en-ZA"/>
        </w:rPr>
        <w:t>The Department of Health reached the sustainable development goal set target of</w:t>
      </w:r>
      <w:r>
        <w:rPr>
          <w:rFonts w:cs="Arial"/>
          <w:sz w:val="24"/>
          <w:lang w:val="en-ZA" w:eastAsia="en-ZA"/>
        </w:rPr>
        <w:t xml:space="preserve"> </w:t>
      </w:r>
      <w:r w:rsidRPr="00B00F9C">
        <w:rPr>
          <w:rFonts w:cs="Arial"/>
          <w:sz w:val="24"/>
          <w:lang w:val="en-ZA" w:eastAsia="en-ZA"/>
        </w:rPr>
        <w:t xml:space="preserve">&lt;12/1 000live births by 2030 for newborn nationally which is part of the infant mortality rate. The Department is therefore striving to sustain the performance not to regress below the current achievement, however. </w:t>
      </w:r>
    </w:p>
    <w:p w:rsidR="00B00F9C" w:rsidRDefault="00B00F9C" w:rsidP="00B00F9C">
      <w:pPr>
        <w:pStyle w:val="Address"/>
        <w:spacing w:line="240" w:lineRule="auto"/>
        <w:ind w:left="709" w:hanging="709"/>
        <w:jc w:val="both"/>
        <w:rPr>
          <w:rFonts w:cs="Arial"/>
          <w:sz w:val="24"/>
          <w:lang w:val="en-ZA" w:eastAsia="en-ZA"/>
        </w:rPr>
      </w:pPr>
    </w:p>
    <w:p w:rsidR="00B00F9C" w:rsidRPr="00B00F9C" w:rsidRDefault="00B00F9C" w:rsidP="00B00F9C">
      <w:pPr>
        <w:pStyle w:val="Address"/>
        <w:spacing w:line="240" w:lineRule="auto"/>
        <w:ind w:left="709"/>
        <w:jc w:val="both"/>
        <w:rPr>
          <w:rFonts w:cs="Arial"/>
          <w:sz w:val="24"/>
          <w:lang w:val="en-ZA" w:eastAsia="en-ZA"/>
        </w:rPr>
      </w:pPr>
      <w:r w:rsidRPr="00B00F9C">
        <w:rPr>
          <w:rFonts w:cs="Arial"/>
          <w:sz w:val="24"/>
          <w:lang w:val="en-ZA" w:eastAsia="en-ZA"/>
        </w:rPr>
        <w:t xml:space="preserve">The Infant Mortality Rate sustainable development goal which is also the Departmental </w:t>
      </w:r>
      <w:r w:rsidRPr="00B00F9C">
        <w:rPr>
          <w:rFonts w:cs="Arial"/>
          <w:sz w:val="24"/>
          <w:lang w:val="en-ZA" w:eastAsia="en-ZA"/>
        </w:rPr>
        <w:tab/>
        <w:t>goal is set at 20/1 000 live births by 2030</w:t>
      </w:r>
      <w:r>
        <w:rPr>
          <w:rFonts w:cs="Arial"/>
          <w:sz w:val="24"/>
          <w:lang w:val="en-ZA" w:eastAsia="en-ZA"/>
        </w:rPr>
        <w:t>.</w:t>
      </w:r>
    </w:p>
    <w:p w:rsidR="00B00F9C" w:rsidRDefault="00B00F9C" w:rsidP="00B00F9C">
      <w:pPr>
        <w:pStyle w:val="Address"/>
        <w:spacing w:line="240" w:lineRule="auto"/>
        <w:rPr>
          <w:rFonts w:cs="Arial"/>
          <w:sz w:val="24"/>
          <w:lang w:val="en-ZA" w:eastAsia="en-ZA"/>
        </w:rPr>
      </w:pPr>
    </w:p>
    <w:p w:rsidR="00B00F9C" w:rsidRDefault="00B00F9C" w:rsidP="00B00F9C">
      <w:pPr>
        <w:pStyle w:val="Address"/>
        <w:spacing w:line="240" w:lineRule="auto"/>
        <w:rPr>
          <w:rFonts w:cs="Arial"/>
          <w:sz w:val="24"/>
          <w:lang w:val="en-ZA" w:eastAsia="en-ZA"/>
        </w:rPr>
      </w:pPr>
    </w:p>
    <w:p w:rsidR="00B00F9C" w:rsidRPr="00B00F9C" w:rsidRDefault="00B00F9C" w:rsidP="00B00F9C">
      <w:pPr>
        <w:pStyle w:val="Address"/>
        <w:spacing w:line="240" w:lineRule="auto"/>
        <w:rPr>
          <w:rFonts w:cs="Arial"/>
          <w:sz w:val="24"/>
          <w:lang w:val="en-ZA" w:eastAsia="en-ZA"/>
        </w:rPr>
      </w:pPr>
    </w:p>
    <w:p w:rsidR="00B00F9C" w:rsidRPr="00B00F9C" w:rsidRDefault="00B00F9C" w:rsidP="00B00F9C">
      <w:pPr>
        <w:pStyle w:val="Address"/>
        <w:spacing w:line="240" w:lineRule="auto"/>
        <w:ind w:left="709" w:hanging="709"/>
        <w:jc w:val="both"/>
        <w:rPr>
          <w:rFonts w:cs="Arial"/>
          <w:sz w:val="24"/>
          <w:lang w:val="en-ZA" w:eastAsia="en-ZA"/>
        </w:rPr>
      </w:pPr>
      <w:r w:rsidRPr="00B00F9C">
        <w:rPr>
          <w:rFonts w:cs="Arial"/>
          <w:sz w:val="24"/>
          <w:lang w:val="en-ZA" w:eastAsia="en-ZA"/>
        </w:rPr>
        <w:t>(f)</w:t>
      </w:r>
      <w:r>
        <w:rPr>
          <w:rFonts w:cs="Arial"/>
          <w:sz w:val="24"/>
          <w:lang w:val="en-ZA" w:eastAsia="en-ZA"/>
        </w:rPr>
        <w:tab/>
      </w:r>
      <w:r w:rsidRPr="00B00F9C">
        <w:rPr>
          <w:rFonts w:cs="Arial"/>
          <w:sz w:val="24"/>
          <w:lang w:val="en-ZA" w:eastAsia="en-ZA"/>
        </w:rPr>
        <w:t>The Department of Health reached the sustainable development goal set target of</w:t>
      </w:r>
      <w:r>
        <w:rPr>
          <w:rFonts w:cs="Arial"/>
          <w:sz w:val="24"/>
          <w:lang w:val="en-ZA" w:eastAsia="en-ZA"/>
        </w:rPr>
        <w:t xml:space="preserve"> </w:t>
      </w:r>
      <w:r w:rsidRPr="00B00F9C">
        <w:rPr>
          <w:rFonts w:cs="Arial"/>
          <w:sz w:val="24"/>
          <w:lang w:val="en-ZA" w:eastAsia="en-ZA"/>
        </w:rPr>
        <w:t>&lt;12/1 000live births by 2030 for newborn nationally and the infant mortality rate l recorded in 2020 was 23.6.</w:t>
      </w:r>
    </w:p>
    <w:p w:rsidR="00B00F9C" w:rsidRDefault="00B00F9C" w:rsidP="00B00F9C">
      <w:pPr>
        <w:pStyle w:val="Address"/>
        <w:spacing w:line="240" w:lineRule="auto"/>
        <w:ind w:left="720"/>
        <w:rPr>
          <w:rFonts w:cs="Arial"/>
          <w:szCs w:val="22"/>
          <w:lang w:val="en-ZA" w:eastAsia="en-ZA"/>
        </w:rPr>
      </w:pPr>
    </w:p>
    <w:p w:rsidR="00B00F9C" w:rsidRDefault="00B00F9C" w:rsidP="0009345B">
      <w:pPr>
        <w:spacing w:line="240" w:lineRule="auto"/>
        <w:jc w:val="both"/>
        <w:rPr>
          <w:rFonts w:ascii="Arial" w:hAnsi="Arial" w:cs="Arial"/>
          <w:color w:val="000000" w:themeColor="text1"/>
          <w:sz w:val="24"/>
          <w:szCs w:val="24"/>
          <w:lang w:val="en-US"/>
        </w:rPr>
      </w:pPr>
    </w:p>
    <w:p w:rsidR="00E134D1" w:rsidRPr="00E134D1" w:rsidRDefault="00E134D1" w:rsidP="0009345B">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26" w:rsidRDefault="00F21D26" w:rsidP="00BF747C">
      <w:pPr>
        <w:spacing w:after="0" w:line="240" w:lineRule="auto"/>
      </w:pPr>
      <w:r>
        <w:separator/>
      </w:r>
    </w:p>
  </w:endnote>
  <w:endnote w:type="continuationSeparator" w:id="0">
    <w:p w:rsidR="00F21D26" w:rsidRDefault="00F21D2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521362"/>
      <w:docPartObj>
        <w:docPartGallery w:val="Page Numbers (Bottom of Page)"/>
        <w:docPartUnique/>
      </w:docPartObj>
    </w:sdtPr>
    <w:sdtEndPr>
      <w:rPr>
        <w:rFonts w:ascii="Arial" w:hAnsi="Arial" w:cs="Arial"/>
        <w:noProof/>
        <w:sz w:val="24"/>
        <w:szCs w:val="24"/>
      </w:rPr>
    </w:sdtEndPr>
    <w:sdtContent>
      <w:p w:rsidR="00B00F9C" w:rsidRPr="00B00F9C" w:rsidRDefault="00005DAE" w:rsidP="00B00F9C">
        <w:pPr>
          <w:pStyle w:val="Footer"/>
          <w:jc w:val="center"/>
          <w:rPr>
            <w:rFonts w:ascii="Arial" w:hAnsi="Arial" w:cs="Arial"/>
            <w:sz w:val="24"/>
            <w:szCs w:val="24"/>
          </w:rPr>
        </w:pPr>
        <w:r w:rsidRPr="00B00F9C">
          <w:rPr>
            <w:rFonts w:ascii="Arial" w:hAnsi="Arial" w:cs="Arial"/>
            <w:sz w:val="24"/>
            <w:szCs w:val="24"/>
          </w:rPr>
          <w:fldChar w:fldCharType="begin"/>
        </w:r>
        <w:r w:rsidR="00B00F9C" w:rsidRPr="00B00F9C">
          <w:rPr>
            <w:rFonts w:ascii="Arial" w:hAnsi="Arial" w:cs="Arial"/>
            <w:sz w:val="24"/>
            <w:szCs w:val="24"/>
          </w:rPr>
          <w:instrText xml:space="preserve"> PAGE   \* MERGEFORMAT </w:instrText>
        </w:r>
        <w:r w:rsidRPr="00B00F9C">
          <w:rPr>
            <w:rFonts w:ascii="Arial" w:hAnsi="Arial" w:cs="Arial"/>
            <w:sz w:val="24"/>
            <w:szCs w:val="24"/>
          </w:rPr>
          <w:fldChar w:fldCharType="separate"/>
        </w:r>
        <w:r w:rsidR="00F21D26">
          <w:rPr>
            <w:rFonts w:ascii="Arial" w:hAnsi="Arial" w:cs="Arial"/>
            <w:noProof/>
            <w:sz w:val="24"/>
            <w:szCs w:val="24"/>
          </w:rPr>
          <w:t>1</w:t>
        </w:r>
        <w:r w:rsidRPr="00B00F9C">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26" w:rsidRDefault="00F21D26" w:rsidP="00BF747C">
      <w:pPr>
        <w:spacing w:after="0" w:line="240" w:lineRule="auto"/>
      </w:pPr>
      <w:r>
        <w:separator/>
      </w:r>
    </w:p>
  </w:footnote>
  <w:footnote w:type="continuationSeparator" w:id="0">
    <w:p w:rsidR="00F21D26" w:rsidRDefault="00F21D2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2E30160D"/>
    <w:multiLevelType w:val="hybridMultilevel"/>
    <w:tmpl w:val="44F015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39227BB2"/>
    <w:multiLevelType w:val="hybridMultilevel"/>
    <w:tmpl w:val="340AF48C"/>
    <w:lvl w:ilvl="0" w:tplc="0D1C4E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D10B0"/>
    <w:multiLevelType w:val="hybridMultilevel"/>
    <w:tmpl w:val="E43424DC"/>
    <w:lvl w:ilvl="0" w:tplc="1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CD40281"/>
    <w:multiLevelType w:val="hybridMultilevel"/>
    <w:tmpl w:val="11D2F2F4"/>
    <w:lvl w:ilvl="0" w:tplc="6AA836C8">
      <w:start w:val="2"/>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7D754C6D"/>
    <w:multiLevelType w:val="hybridMultilevel"/>
    <w:tmpl w:val="5DF4B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15"/>
  </w:num>
  <w:num w:numId="5">
    <w:abstractNumId w:val="4"/>
  </w:num>
  <w:num w:numId="6">
    <w:abstractNumId w:val="13"/>
  </w:num>
  <w:num w:numId="7">
    <w:abstractNumId w:val="8"/>
  </w:num>
  <w:num w:numId="8">
    <w:abstractNumId w:val="2"/>
  </w:num>
  <w:num w:numId="9">
    <w:abstractNumId w:val="7"/>
  </w:num>
  <w:num w:numId="10">
    <w:abstractNumId w:val="0"/>
  </w:num>
  <w:num w:numId="11">
    <w:abstractNumId w:val="3"/>
  </w:num>
  <w:num w:numId="12">
    <w:abstractNumId w:val="9"/>
  </w:num>
  <w:num w:numId="13">
    <w:abstractNumId w:val="6"/>
  </w:num>
  <w:num w:numId="14">
    <w:abstractNumId w:val="14"/>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05DAE"/>
    <w:rsid w:val="00013511"/>
    <w:rsid w:val="0003692D"/>
    <w:rsid w:val="00071657"/>
    <w:rsid w:val="0009345B"/>
    <w:rsid w:val="000B5C30"/>
    <w:rsid w:val="001F5233"/>
    <w:rsid w:val="002032D2"/>
    <w:rsid w:val="0020357C"/>
    <w:rsid w:val="00275DB0"/>
    <w:rsid w:val="002D383B"/>
    <w:rsid w:val="00306F90"/>
    <w:rsid w:val="0037106C"/>
    <w:rsid w:val="003A2C56"/>
    <w:rsid w:val="003B2854"/>
    <w:rsid w:val="00464595"/>
    <w:rsid w:val="004B46FE"/>
    <w:rsid w:val="004E157F"/>
    <w:rsid w:val="005C3DC0"/>
    <w:rsid w:val="005E20E3"/>
    <w:rsid w:val="005E4831"/>
    <w:rsid w:val="005F024D"/>
    <w:rsid w:val="00605168"/>
    <w:rsid w:val="006228AA"/>
    <w:rsid w:val="0069149E"/>
    <w:rsid w:val="007645A8"/>
    <w:rsid w:val="007C4945"/>
    <w:rsid w:val="007E1F8F"/>
    <w:rsid w:val="007F0AE0"/>
    <w:rsid w:val="008B5385"/>
    <w:rsid w:val="008C527F"/>
    <w:rsid w:val="00942EDC"/>
    <w:rsid w:val="009D32AF"/>
    <w:rsid w:val="00A14AFD"/>
    <w:rsid w:val="00A33B6B"/>
    <w:rsid w:val="00AE1551"/>
    <w:rsid w:val="00B00F9C"/>
    <w:rsid w:val="00BB3958"/>
    <w:rsid w:val="00BE1738"/>
    <w:rsid w:val="00BF4846"/>
    <w:rsid w:val="00BF747C"/>
    <w:rsid w:val="00C2436E"/>
    <w:rsid w:val="00C36128"/>
    <w:rsid w:val="00C94EDC"/>
    <w:rsid w:val="00CE2151"/>
    <w:rsid w:val="00D03A1B"/>
    <w:rsid w:val="00D514C2"/>
    <w:rsid w:val="00D566C6"/>
    <w:rsid w:val="00D702F8"/>
    <w:rsid w:val="00DB5964"/>
    <w:rsid w:val="00DF2940"/>
    <w:rsid w:val="00E04188"/>
    <w:rsid w:val="00E134D1"/>
    <w:rsid w:val="00E165E7"/>
    <w:rsid w:val="00E207B7"/>
    <w:rsid w:val="00E310B6"/>
    <w:rsid w:val="00E45F7A"/>
    <w:rsid w:val="00E5287A"/>
    <w:rsid w:val="00EA7633"/>
    <w:rsid w:val="00EB790D"/>
    <w:rsid w:val="00F00309"/>
    <w:rsid w:val="00F21D26"/>
    <w:rsid w:val="00F31174"/>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AE"/>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unhideWhenUsed/>
    <w:rsid w:val="0009345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2023-03-17T11:24:00Z</dcterms:created>
  <dcterms:modified xsi:type="dcterms:W3CDTF">2023-03-17T11:24:00Z</dcterms:modified>
</cp:coreProperties>
</file>