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9A3" w:rsidRPr="007C72D3" w:rsidRDefault="00794FF1" w:rsidP="006459A3">
      <w:pPr>
        <w:spacing w:before="100" w:beforeAutospacing="1" w:after="100" w:afterAutospacing="1" w:line="240" w:lineRule="auto"/>
        <w:ind w:left="720" w:hanging="720"/>
        <w:jc w:val="center"/>
        <w:outlineLvl w:val="0"/>
        <w:rPr>
          <w:rFonts w:ascii="Arial" w:eastAsia="Times New Roman" w:hAnsi="Arial" w:cs="Arial"/>
          <w:b/>
          <w:snapToGrid w:val="0"/>
          <w:color w:val="000000"/>
          <w:sz w:val="28"/>
          <w:szCs w:val="28"/>
          <w:lang w:val="en-GB"/>
        </w:rPr>
      </w:pPr>
      <w:bookmarkStart w:id="0" w:name="_GoBack"/>
      <w:bookmarkEnd w:id="0"/>
      <w:r>
        <w:rPr>
          <w:rFonts w:ascii="Arial" w:eastAsia="Times New Roman" w:hAnsi="Arial" w:cs="Arial"/>
          <w:b/>
          <w:snapToGrid w:val="0"/>
          <w:color w:val="000000"/>
          <w:sz w:val="28"/>
          <w:szCs w:val="28"/>
          <w:lang w:val="en-GB"/>
        </w:rPr>
        <w:t>N</w:t>
      </w:r>
      <w:r w:rsidR="006459A3" w:rsidRPr="007C72D3">
        <w:rPr>
          <w:rFonts w:ascii="Arial" w:eastAsia="Times New Roman" w:hAnsi="Arial" w:cs="Arial"/>
          <w:b/>
          <w:snapToGrid w:val="0"/>
          <w:color w:val="000000"/>
          <w:sz w:val="28"/>
          <w:szCs w:val="28"/>
          <w:lang w:val="en-GB"/>
        </w:rPr>
        <w:t>ATIONAL ASSEMBLY</w:t>
      </w:r>
    </w:p>
    <w:p w:rsidR="006459A3" w:rsidRPr="007C72D3" w:rsidRDefault="006459A3" w:rsidP="006459A3">
      <w:pPr>
        <w:spacing w:before="100" w:beforeAutospacing="1" w:after="100" w:afterAutospacing="1" w:line="240" w:lineRule="auto"/>
        <w:ind w:left="720" w:hanging="720"/>
        <w:jc w:val="center"/>
        <w:outlineLvl w:val="0"/>
        <w:rPr>
          <w:rFonts w:ascii="Arial" w:eastAsia="Times New Roman" w:hAnsi="Arial" w:cs="Arial"/>
          <w:b/>
          <w:snapToGrid w:val="0"/>
          <w:color w:val="000000"/>
          <w:sz w:val="28"/>
          <w:szCs w:val="28"/>
          <w:lang w:val="en-GB"/>
        </w:rPr>
      </w:pPr>
      <w:r w:rsidRPr="007C72D3">
        <w:rPr>
          <w:rFonts w:ascii="Arial" w:eastAsia="Times New Roman" w:hAnsi="Arial" w:cs="Arial"/>
          <w:b/>
          <w:snapToGrid w:val="0"/>
          <w:color w:val="000000"/>
          <w:sz w:val="28"/>
          <w:szCs w:val="28"/>
          <w:lang w:val="en-GB"/>
        </w:rPr>
        <w:t>QUESTION FOR ORAL REPLY</w:t>
      </w:r>
    </w:p>
    <w:p w:rsidR="006459A3" w:rsidRPr="007C72D3" w:rsidRDefault="007C72D3" w:rsidP="006459A3">
      <w:pPr>
        <w:spacing w:before="100" w:beforeAutospacing="1" w:after="100" w:afterAutospacing="1" w:line="240" w:lineRule="auto"/>
        <w:ind w:left="720" w:hanging="720"/>
        <w:jc w:val="center"/>
        <w:outlineLvl w:val="0"/>
        <w:rPr>
          <w:rFonts w:ascii="Arial" w:eastAsia="Times New Roman" w:hAnsi="Arial" w:cs="Arial"/>
          <w:b/>
          <w:snapToGrid w:val="0"/>
          <w:sz w:val="28"/>
          <w:szCs w:val="28"/>
          <w:lang w:val="en-GB"/>
        </w:rPr>
      </w:pPr>
      <w:r w:rsidRPr="007C72D3">
        <w:rPr>
          <w:rFonts w:ascii="Arial" w:eastAsia="Times New Roman" w:hAnsi="Arial" w:cs="Arial"/>
          <w:b/>
          <w:snapToGrid w:val="0"/>
          <w:sz w:val="28"/>
          <w:szCs w:val="28"/>
          <w:lang w:val="en-GB"/>
        </w:rPr>
        <w:t>QUESTION NUMBER: 33</w:t>
      </w:r>
      <w:r w:rsidR="006459A3" w:rsidRPr="007C72D3">
        <w:rPr>
          <w:rFonts w:ascii="Arial" w:eastAsia="Times New Roman" w:hAnsi="Arial" w:cs="Arial"/>
          <w:b/>
          <w:snapToGrid w:val="0"/>
          <w:sz w:val="28"/>
          <w:szCs w:val="28"/>
          <w:lang w:val="en-GB"/>
        </w:rPr>
        <w:tab/>
      </w:r>
    </w:p>
    <w:p w:rsidR="006459A3" w:rsidRPr="007C72D3" w:rsidRDefault="006459A3" w:rsidP="006459A3">
      <w:pPr>
        <w:spacing w:after="120" w:line="240" w:lineRule="auto"/>
        <w:jc w:val="center"/>
        <w:rPr>
          <w:rFonts w:ascii="Arial" w:eastAsia="Times New Roman" w:hAnsi="Arial" w:cs="Arial"/>
          <w:b/>
          <w:snapToGrid w:val="0"/>
          <w:sz w:val="28"/>
          <w:szCs w:val="28"/>
          <w:lang w:val="en-GB"/>
        </w:rPr>
      </w:pPr>
      <w:r w:rsidRPr="007C72D3">
        <w:rPr>
          <w:rFonts w:ascii="Arial" w:eastAsia="Times New Roman" w:hAnsi="Arial" w:cs="Arial"/>
          <w:b/>
          <w:snapToGrid w:val="0"/>
          <w:sz w:val="28"/>
          <w:szCs w:val="28"/>
          <w:lang w:val="en-GB"/>
        </w:rPr>
        <w:t>DATE OF PUBLICATION IN INTERNAL QUESTION PAPER: 13 FEBRUARY 2020</w:t>
      </w:r>
    </w:p>
    <w:p w:rsidR="006459A3" w:rsidRPr="007C72D3" w:rsidRDefault="006459A3" w:rsidP="006459A3">
      <w:pPr>
        <w:pBdr>
          <w:bottom w:val="single" w:sz="12" w:space="1" w:color="auto"/>
        </w:pBdr>
        <w:spacing w:after="0" w:line="240" w:lineRule="auto"/>
        <w:jc w:val="center"/>
        <w:rPr>
          <w:rFonts w:ascii="Arial" w:eastAsia="Times New Roman" w:hAnsi="Arial" w:cs="Arial"/>
          <w:b/>
          <w:snapToGrid w:val="0"/>
          <w:sz w:val="28"/>
          <w:szCs w:val="28"/>
          <w:lang w:val="en-GB"/>
        </w:rPr>
      </w:pPr>
      <w:r w:rsidRPr="007C72D3">
        <w:rPr>
          <w:rFonts w:ascii="Arial" w:eastAsia="Times New Roman" w:hAnsi="Arial" w:cs="Arial"/>
          <w:b/>
          <w:snapToGrid w:val="0"/>
          <w:sz w:val="28"/>
          <w:szCs w:val="28"/>
          <w:lang w:val="en-GB"/>
        </w:rPr>
        <w:t>INTERNAL QUESTION PAPER NUMBER:  01 - 2020</w:t>
      </w:r>
    </w:p>
    <w:p w:rsidR="007C72D3" w:rsidRPr="007C72D3" w:rsidRDefault="007C72D3" w:rsidP="007C72D3">
      <w:pPr>
        <w:spacing w:before="100" w:beforeAutospacing="1" w:after="100" w:afterAutospacing="1" w:line="240" w:lineRule="auto"/>
        <w:jc w:val="both"/>
        <w:rPr>
          <w:rFonts w:ascii="Arial" w:hAnsi="Arial" w:cs="Arial"/>
          <w:sz w:val="28"/>
          <w:szCs w:val="28"/>
        </w:rPr>
      </w:pPr>
      <w:r w:rsidRPr="007C72D3">
        <w:rPr>
          <w:rFonts w:ascii="Arial" w:hAnsi="Arial" w:cs="Arial"/>
          <w:sz w:val="28"/>
          <w:szCs w:val="28"/>
        </w:rPr>
        <w:t xml:space="preserve">33. Ms A L A Abrahams (DA) to ask the Minister of Social Development: </w:t>
      </w:r>
    </w:p>
    <w:p w:rsidR="007C72D3" w:rsidRPr="007C72D3" w:rsidRDefault="007C72D3" w:rsidP="007C72D3">
      <w:pPr>
        <w:spacing w:before="100" w:beforeAutospacing="1" w:after="100" w:afterAutospacing="1" w:line="240" w:lineRule="auto"/>
        <w:jc w:val="both"/>
        <w:rPr>
          <w:rFonts w:ascii="Arial" w:hAnsi="Arial" w:cs="Arial"/>
          <w:sz w:val="28"/>
          <w:szCs w:val="28"/>
        </w:rPr>
      </w:pPr>
      <w:r w:rsidRPr="007C72D3">
        <w:rPr>
          <w:rFonts w:ascii="Arial" w:hAnsi="Arial" w:cs="Arial"/>
          <w:sz w:val="28"/>
          <w:szCs w:val="28"/>
        </w:rPr>
        <w:t xml:space="preserve">(1) In light of the fact that the National Development Agency (NDA) was selected and advertised as the facilitating and implementing agent of the R100 million Coalition Against Rape and Abuse Victim Empowerment Programme on 9 January 2020 by her department and that the closing date for funding submissions from civil society organisations was 31 January 2020, what are the reasons (a) that the NDA, with its bad financial record, is best suited to administer this process and (b) for the 6% administration fee charged by the NDA; </w:t>
      </w:r>
    </w:p>
    <w:p w:rsidR="007C72D3" w:rsidRPr="007C72D3" w:rsidRDefault="007C72D3" w:rsidP="007C72D3">
      <w:pPr>
        <w:spacing w:before="100" w:beforeAutospacing="1" w:after="100" w:afterAutospacing="1" w:line="240" w:lineRule="auto"/>
        <w:jc w:val="both"/>
        <w:rPr>
          <w:rFonts w:ascii="Arial" w:hAnsi="Arial" w:cs="Arial"/>
          <w:sz w:val="28"/>
          <w:szCs w:val="28"/>
        </w:rPr>
      </w:pPr>
      <w:r w:rsidRPr="007C72D3">
        <w:rPr>
          <w:rFonts w:ascii="Arial" w:hAnsi="Arial" w:cs="Arial"/>
          <w:sz w:val="28"/>
          <w:szCs w:val="28"/>
        </w:rPr>
        <w:t xml:space="preserve">(2) </w:t>
      </w:r>
      <w:r>
        <w:rPr>
          <w:rFonts w:ascii="Arial" w:hAnsi="Arial" w:cs="Arial"/>
          <w:sz w:val="28"/>
          <w:szCs w:val="28"/>
        </w:rPr>
        <w:t>w</w:t>
      </w:r>
      <w:r w:rsidRPr="007C72D3">
        <w:rPr>
          <w:rFonts w:ascii="Arial" w:hAnsi="Arial" w:cs="Arial"/>
          <w:sz w:val="28"/>
          <w:szCs w:val="28"/>
        </w:rPr>
        <w:t xml:space="preserve">hether a memorandum of understanding (MOU) will be signed between her department and the NDA before the closing date of submissions; if not, why not; if so, what are the relevant details; </w:t>
      </w:r>
    </w:p>
    <w:p w:rsidR="007C72D3" w:rsidRPr="007C72D3" w:rsidRDefault="007C72D3" w:rsidP="007C72D3">
      <w:pPr>
        <w:spacing w:before="100" w:beforeAutospacing="1" w:after="100" w:afterAutospacing="1" w:line="240" w:lineRule="auto"/>
        <w:jc w:val="both"/>
        <w:rPr>
          <w:rFonts w:ascii="Arial" w:hAnsi="Arial" w:cs="Arial"/>
          <w:sz w:val="28"/>
          <w:szCs w:val="28"/>
        </w:rPr>
      </w:pPr>
      <w:r w:rsidRPr="007C72D3">
        <w:rPr>
          <w:rFonts w:ascii="Arial" w:hAnsi="Arial" w:cs="Arial"/>
          <w:sz w:val="28"/>
          <w:szCs w:val="28"/>
        </w:rPr>
        <w:t xml:space="preserve">(3) whether she will furnish Ms </w:t>
      </w:r>
      <w:proofErr w:type="gramStart"/>
      <w:r w:rsidRPr="007C72D3">
        <w:rPr>
          <w:rFonts w:ascii="Arial" w:hAnsi="Arial" w:cs="Arial"/>
          <w:sz w:val="28"/>
          <w:szCs w:val="28"/>
        </w:rPr>
        <w:t>A</w:t>
      </w:r>
      <w:proofErr w:type="gramEnd"/>
      <w:r w:rsidRPr="007C72D3">
        <w:rPr>
          <w:rFonts w:ascii="Arial" w:hAnsi="Arial" w:cs="Arial"/>
          <w:sz w:val="28"/>
          <w:szCs w:val="28"/>
        </w:rPr>
        <w:t xml:space="preserve"> L A Abrahams with the MOU between her department and the NDA; if not, why not; if so, on what date; </w:t>
      </w:r>
    </w:p>
    <w:p w:rsidR="007C72D3" w:rsidRPr="007C72D3" w:rsidRDefault="007C72D3" w:rsidP="007C72D3">
      <w:pPr>
        <w:spacing w:before="100" w:beforeAutospacing="1" w:after="100" w:afterAutospacing="1" w:line="240" w:lineRule="auto"/>
        <w:jc w:val="both"/>
        <w:rPr>
          <w:rFonts w:ascii="Arial" w:hAnsi="Arial" w:cs="Arial"/>
          <w:sz w:val="28"/>
          <w:szCs w:val="28"/>
        </w:rPr>
      </w:pPr>
      <w:r w:rsidRPr="007C72D3">
        <w:rPr>
          <w:rFonts w:ascii="Arial" w:hAnsi="Arial" w:cs="Arial"/>
          <w:sz w:val="28"/>
          <w:szCs w:val="28"/>
        </w:rPr>
        <w:t xml:space="preserve">(4) whether she will disclose (a) the number of submissions received by each province and (b) all advertising portals used for the call for submissions; if not, why not in each case; if so, what are the relevant details in each case; </w:t>
      </w:r>
    </w:p>
    <w:p w:rsidR="007C72D3" w:rsidRDefault="007C72D3" w:rsidP="007C72D3">
      <w:pPr>
        <w:spacing w:before="100" w:beforeAutospacing="1" w:after="100" w:afterAutospacing="1" w:line="240" w:lineRule="auto"/>
        <w:jc w:val="both"/>
        <w:rPr>
          <w:rFonts w:ascii="Arial" w:hAnsi="Arial" w:cs="Arial"/>
          <w:sz w:val="28"/>
          <w:szCs w:val="28"/>
        </w:rPr>
      </w:pPr>
      <w:r w:rsidRPr="007C72D3">
        <w:rPr>
          <w:rFonts w:ascii="Arial" w:hAnsi="Arial" w:cs="Arial"/>
          <w:sz w:val="28"/>
          <w:szCs w:val="28"/>
        </w:rPr>
        <w:t xml:space="preserve">(5) what (a) are the reasons that the call for submissions was not discussed with provinces prior to its advertisement and (b) is the allocation of funds to each province?  </w:t>
      </w:r>
      <w:r w:rsidRPr="007C72D3">
        <w:rPr>
          <w:rFonts w:ascii="Arial" w:hAnsi="Arial" w:cs="Arial"/>
          <w:sz w:val="28"/>
          <w:szCs w:val="28"/>
        </w:rPr>
        <w:tab/>
      </w:r>
      <w:r w:rsidRPr="007C72D3">
        <w:rPr>
          <w:rFonts w:ascii="Arial" w:hAnsi="Arial" w:cs="Arial"/>
          <w:sz w:val="28"/>
          <w:szCs w:val="28"/>
        </w:rPr>
        <w:tab/>
      </w:r>
      <w:r w:rsidRPr="007C72D3">
        <w:rPr>
          <w:rFonts w:ascii="Arial" w:hAnsi="Arial" w:cs="Arial"/>
          <w:sz w:val="28"/>
          <w:szCs w:val="28"/>
        </w:rPr>
        <w:tab/>
      </w:r>
      <w:r w:rsidRPr="007C72D3">
        <w:rPr>
          <w:rFonts w:ascii="Arial" w:hAnsi="Arial" w:cs="Arial"/>
          <w:sz w:val="28"/>
          <w:szCs w:val="28"/>
        </w:rPr>
        <w:tab/>
      </w:r>
      <w:r w:rsidRPr="007C72D3">
        <w:rPr>
          <w:rFonts w:ascii="Arial" w:hAnsi="Arial" w:cs="Arial"/>
          <w:sz w:val="28"/>
          <w:szCs w:val="28"/>
        </w:rPr>
        <w:tab/>
      </w:r>
      <w:r w:rsidRPr="007C72D3">
        <w:rPr>
          <w:rFonts w:ascii="Arial" w:hAnsi="Arial" w:cs="Arial"/>
          <w:sz w:val="28"/>
          <w:szCs w:val="28"/>
        </w:rPr>
        <w:tab/>
      </w:r>
      <w:r w:rsidRPr="007C72D3">
        <w:rPr>
          <w:rFonts w:ascii="Arial" w:hAnsi="Arial" w:cs="Arial"/>
          <w:sz w:val="28"/>
          <w:szCs w:val="28"/>
        </w:rPr>
        <w:tab/>
      </w:r>
      <w:r w:rsidRPr="007C72D3">
        <w:rPr>
          <w:rFonts w:ascii="Arial" w:hAnsi="Arial" w:cs="Arial"/>
          <w:sz w:val="28"/>
          <w:szCs w:val="28"/>
        </w:rPr>
        <w:tab/>
      </w:r>
      <w:r w:rsidRPr="007C72D3">
        <w:rPr>
          <w:rFonts w:ascii="Arial" w:hAnsi="Arial" w:cs="Arial"/>
          <w:sz w:val="28"/>
          <w:szCs w:val="28"/>
        </w:rPr>
        <w:tab/>
      </w:r>
      <w:r w:rsidRPr="007C72D3">
        <w:rPr>
          <w:rFonts w:ascii="Arial" w:hAnsi="Arial" w:cs="Arial"/>
          <w:sz w:val="28"/>
          <w:szCs w:val="28"/>
        </w:rPr>
        <w:tab/>
      </w:r>
      <w:r w:rsidRPr="007C72D3">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7C72D3">
        <w:rPr>
          <w:rFonts w:ascii="Arial" w:hAnsi="Arial" w:cs="Arial"/>
          <w:sz w:val="28"/>
          <w:szCs w:val="28"/>
        </w:rPr>
        <w:t>NW36E</w:t>
      </w:r>
      <w:r w:rsidR="006459A3" w:rsidRPr="007C72D3">
        <w:rPr>
          <w:rFonts w:ascii="Arial" w:hAnsi="Arial" w:cs="Arial"/>
          <w:sz w:val="28"/>
          <w:szCs w:val="28"/>
        </w:rPr>
        <w:tab/>
      </w:r>
      <w:r w:rsidR="006459A3" w:rsidRPr="007C72D3">
        <w:rPr>
          <w:rFonts w:ascii="Arial" w:hAnsi="Arial" w:cs="Arial"/>
          <w:sz w:val="28"/>
          <w:szCs w:val="28"/>
        </w:rPr>
        <w:tab/>
      </w:r>
      <w:r w:rsidR="006459A3" w:rsidRPr="007C72D3">
        <w:rPr>
          <w:rFonts w:ascii="Arial" w:hAnsi="Arial" w:cs="Arial"/>
          <w:sz w:val="28"/>
          <w:szCs w:val="28"/>
        </w:rPr>
        <w:tab/>
      </w:r>
    </w:p>
    <w:p w:rsidR="006459A3" w:rsidRPr="007C72D3" w:rsidRDefault="006459A3" w:rsidP="006459A3">
      <w:pPr>
        <w:spacing w:after="0" w:line="240" w:lineRule="auto"/>
        <w:jc w:val="both"/>
        <w:rPr>
          <w:rFonts w:ascii="Arial" w:eastAsia="Times New Roman" w:hAnsi="Arial" w:cs="Arial"/>
          <w:b/>
          <w:snapToGrid w:val="0"/>
          <w:color w:val="000000"/>
          <w:sz w:val="28"/>
          <w:szCs w:val="28"/>
        </w:rPr>
      </w:pPr>
      <w:r w:rsidRPr="007C72D3">
        <w:rPr>
          <w:rFonts w:ascii="Arial" w:eastAsia="Times New Roman" w:hAnsi="Arial" w:cs="Arial"/>
          <w:b/>
          <w:snapToGrid w:val="0"/>
          <w:color w:val="000000"/>
          <w:sz w:val="28"/>
          <w:szCs w:val="28"/>
        </w:rPr>
        <w:lastRenderedPageBreak/>
        <w:t xml:space="preserve">National Assembly </w:t>
      </w:r>
      <w:r w:rsidRPr="007C72D3">
        <w:rPr>
          <w:rFonts w:ascii="Arial" w:eastAsia="Times New Roman" w:hAnsi="Arial" w:cs="Arial"/>
          <w:b/>
          <w:snapToGrid w:val="0"/>
          <w:color w:val="FF0000"/>
          <w:sz w:val="28"/>
          <w:szCs w:val="28"/>
        </w:rPr>
        <w:t>written Reply</w:t>
      </w:r>
      <w:r w:rsidR="007C72D3" w:rsidRPr="007C72D3">
        <w:rPr>
          <w:rFonts w:ascii="Arial" w:eastAsia="Times New Roman" w:hAnsi="Arial" w:cs="Arial"/>
          <w:b/>
          <w:snapToGrid w:val="0"/>
          <w:color w:val="000000"/>
          <w:sz w:val="28"/>
          <w:szCs w:val="28"/>
        </w:rPr>
        <w:t>: 33</w:t>
      </w:r>
      <w:r w:rsidRPr="007C72D3">
        <w:rPr>
          <w:rFonts w:ascii="Arial" w:eastAsia="Times New Roman" w:hAnsi="Arial" w:cs="Arial"/>
          <w:b/>
          <w:snapToGrid w:val="0"/>
          <w:color w:val="000000"/>
          <w:sz w:val="28"/>
          <w:szCs w:val="28"/>
        </w:rPr>
        <w:t xml:space="preserve"> of 2020</w:t>
      </w:r>
    </w:p>
    <w:p w:rsidR="006459A3" w:rsidRPr="007C72D3" w:rsidRDefault="006459A3" w:rsidP="006459A3">
      <w:pPr>
        <w:spacing w:after="0" w:line="240" w:lineRule="auto"/>
        <w:jc w:val="both"/>
        <w:rPr>
          <w:rFonts w:ascii="Arial" w:eastAsia="Times New Roman" w:hAnsi="Arial" w:cs="Arial"/>
          <w:snapToGrid w:val="0"/>
          <w:color w:val="000000"/>
          <w:sz w:val="28"/>
          <w:szCs w:val="28"/>
          <w:lang w:val="en-GB"/>
        </w:rPr>
      </w:pPr>
    </w:p>
    <w:p w:rsidR="006459A3" w:rsidRPr="007C72D3" w:rsidRDefault="006459A3" w:rsidP="006459A3">
      <w:pPr>
        <w:spacing w:after="0" w:line="240" w:lineRule="auto"/>
        <w:jc w:val="both"/>
        <w:rPr>
          <w:rFonts w:ascii="Arial" w:eastAsia="Times New Roman" w:hAnsi="Arial" w:cs="Arial"/>
          <w:snapToGrid w:val="0"/>
          <w:color w:val="000000"/>
          <w:sz w:val="28"/>
          <w:szCs w:val="28"/>
          <w:lang w:val="en-GB"/>
        </w:rPr>
      </w:pPr>
    </w:p>
    <w:p w:rsidR="006459A3" w:rsidRPr="007C72D3" w:rsidRDefault="006459A3" w:rsidP="006459A3">
      <w:pPr>
        <w:spacing w:after="0" w:line="240" w:lineRule="auto"/>
        <w:jc w:val="both"/>
        <w:rPr>
          <w:rFonts w:ascii="Arial" w:eastAsia="Times New Roman" w:hAnsi="Arial" w:cs="Arial"/>
          <w:b/>
          <w:snapToGrid w:val="0"/>
          <w:color w:val="000000"/>
          <w:sz w:val="28"/>
          <w:szCs w:val="28"/>
          <w:lang w:val="en-GB"/>
        </w:rPr>
      </w:pPr>
      <w:r w:rsidRPr="007C72D3">
        <w:rPr>
          <w:rFonts w:ascii="Arial" w:eastAsia="Times New Roman" w:hAnsi="Arial" w:cs="Arial"/>
          <w:b/>
          <w:snapToGrid w:val="0"/>
          <w:color w:val="000000"/>
          <w:sz w:val="28"/>
          <w:szCs w:val="28"/>
          <w:lang w:val="en-GB"/>
        </w:rPr>
        <w:t xml:space="preserve">REPLY: </w:t>
      </w:r>
    </w:p>
    <w:p w:rsidR="006459A3" w:rsidRPr="007C72D3" w:rsidRDefault="006459A3" w:rsidP="006459A3">
      <w:pPr>
        <w:spacing w:after="0" w:line="240" w:lineRule="auto"/>
        <w:jc w:val="both"/>
        <w:rPr>
          <w:rFonts w:ascii="Arial" w:eastAsia="Times New Roman" w:hAnsi="Arial" w:cs="Arial"/>
          <w:snapToGrid w:val="0"/>
          <w:color w:val="000000"/>
          <w:sz w:val="28"/>
          <w:szCs w:val="28"/>
          <w:lang w:val="en-GB"/>
        </w:rPr>
      </w:pPr>
    </w:p>
    <w:p w:rsidR="00F82931" w:rsidRPr="007C72D3" w:rsidRDefault="006459A3" w:rsidP="007C72D3">
      <w:pPr>
        <w:jc w:val="both"/>
        <w:rPr>
          <w:rFonts w:ascii="Arial" w:hAnsi="Arial" w:cs="Arial"/>
          <w:sz w:val="24"/>
          <w:szCs w:val="24"/>
        </w:rPr>
      </w:pPr>
      <w:r w:rsidRPr="007C72D3">
        <w:rPr>
          <w:rFonts w:ascii="Arial" w:hAnsi="Arial" w:cs="Arial"/>
          <w:sz w:val="24"/>
          <w:szCs w:val="24"/>
        </w:rPr>
        <w:t xml:space="preserve">1(a). It is imperative to contextualise the relationship between the Department of Social </w:t>
      </w:r>
      <w:r w:rsidR="007C72D3" w:rsidRPr="007C72D3">
        <w:rPr>
          <w:rFonts w:ascii="Arial" w:hAnsi="Arial" w:cs="Arial"/>
          <w:sz w:val="24"/>
          <w:szCs w:val="24"/>
        </w:rPr>
        <w:t>Development</w:t>
      </w:r>
      <w:r w:rsidRPr="007C72D3">
        <w:rPr>
          <w:rFonts w:ascii="Arial" w:hAnsi="Arial" w:cs="Arial"/>
          <w:sz w:val="24"/>
          <w:szCs w:val="24"/>
        </w:rPr>
        <w:t xml:space="preserve"> and (NDA) National Development Agency. As </w:t>
      </w:r>
      <w:r w:rsidR="007C72D3" w:rsidRPr="007C72D3">
        <w:rPr>
          <w:rFonts w:ascii="Arial" w:hAnsi="Arial" w:cs="Arial"/>
          <w:sz w:val="24"/>
          <w:szCs w:val="24"/>
        </w:rPr>
        <w:t>you</w:t>
      </w:r>
      <w:r w:rsidRPr="007C72D3">
        <w:rPr>
          <w:rFonts w:ascii="Arial" w:hAnsi="Arial" w:cs="Arial"/>
          <w:sz w:val="24"/>
          <w:szCs w:val="24"/>
        </w:rPr>
        <w:t xml:space="preserve"> may be aware, the NDA is a National Development Agency, which falls within the Social Development Portfolio. The Department and </w:t>
      </w:r>
      <w:r w:rsidR="007C72D3" w:rsidRPr="007C72D3">
        <w:rPr>
          <w:rFonts w:ascii="Arial" w:hAnsi="Arial" w:cs="Arial"/>
          <w:sz w:val="24"/>
          <w:szCs w:val="24"/>
        </w:rPr>
        <w:t>its</w:t>
      </w:r>
      <w:r w:rsidRPr="007C72D3">
        <w:rPr>
          <w:rFonts w:ascii="Arial" w:hAnsi="Arial" w:cs="Arial"/>
          <w:sz w:val="24"/>
          <w:szCs w:val="24"/>
        </w:rPr>
        <w:t xml:space="preserve"> two Agencies, which are South African Social Security Agency(SASSA) and the NDA have adopted the “Portfolio Approach” which  is a more impactful approach used to deliver on our joint mandate and implement programme to avoid fragmentation and improve </w:t>
      </w:r>
      <w:r w:rsidR="007C72D3" w:rsidRPr="007C72D3">
        <w:rPr>
          <w:rFonts w:ascii="Arial" w:hAnsi="Arial" w:cs="Arial"/>
          <w:sz w:val="24"/>
          <w:szCs w:val="24"/>
        </w:rPr>
        <w:t>integration</w:t>
      </w:r>
      <w:r w:rsidRPr="007C72D3">
        <w:rPr>
          <w:rFonts w:ascii="Arial" w:hAnsi="Arial" w:cs="Arial"/>
          <w:sz w:val="24"/>
          <w:szCs w:val="24"/>
        </w:rPr>
        <w:t>. This approach is inclusive of the three spheres of government. The role of the NDA in the CARA project is therefore against this background and should not be viewed as a commercial service provider to the Department.</w:t>
      </w:r>
    </w:p>
    <w:p w:rsidR="006459A3" w:rsidRPr="007C72D3" w:rsidRDefault="007C72D3" w:rsidP="007C72D3">
      <w:pPr>
        <w:jc w:val="both"/>
        <w:rPr>
          <w:rFonts w:ascii="Arial" w:hAnsi="Arial" w:cs="Arial"/>
          <w:sz w:val="24"/>
          <w:szCs w:val="24"/>
        </w:rPr>
      </w:pPr>
      <w:r w:rsidRPr="007C72D3">
        <w:rPr>
          <w:rFonts w:ascii="Arial" w:hAnsi="Arial" w:cs="Arial"/>
          <w:sz w:val="24"/>
          <w:szCs w:val="24"/>
        </w:rPr>
        <w:t>Furthermore</w:t>
      </w:r>
      <w:r w:rsidR="006459A3" w:rsidRPr="007C72D3">
        <w:rPr>
          <w:rFonts w:ascii="Arial" w:hAnsi="Arial" w:cs="Arial"/>
          <w:sz w:val="24"/>
          <w:szCs w:val="24"/>
        </w:rPr>
        <w:t xml:space="preserve">, section 4 of the National Development Agency Act, 1998 (Act No. 108 of 1998) mandates the NDA to act as a key conduit for funding from the Government of the Republic, foreign </w:t>
      </w:r>
      <w:r w:rsidRPr="007C72D3">
        <w:rPr>
          <w:rFonts w:ascii="Arial" w:hAnsi="Arial" w:cs="Arial"/>
          <w:sz w:val="24"/>
          <w:szCs w:val="24"/>
        </w:rPr>
        <w:t>governments</w:t>
      </w:r>
      <w:r w:rsidR="006459A3" w:rsidRPr="007C72D3">
        <w:rPr>
          <w:rFonts w:ascii="Arial" w:hAnsi="Arial" w:cs="Arial"/>
          <w:sz w:val="24"/>
          <w:szCs w:val="24"/>
        </w:rPr>
        <w:t xml:space="preserve"> and other National and International donors for development work to be carried out by CSO’s. The CARA project is one of a few projects which are aimed at fulfilling this legislative mandate of the NDA and is therefore in line with the current legislative framework.</w:t>
      </w:r>
    </w:p>
    <w:p w:rsidR="006459A3" w:rsidRPr="007C72D3" w:rsidRDefault="006459A3" w:rsidP="007C72D3">
      <w:pPr>
        <w:jc w:val="both"/>
        <w:rPr>
          <w:rFonts w:ascii="Arial" w:hAnsi="Arial" w:cs="Arial"/>
          <w:sz w:val="24"/>
          <w:szCs w:val="24"/>
        </w:rPr>
      </w:pPr>
    </w:p>
    <w:p w:rsidR="006459A3" w:rsidRPr="007C72D3" w:rsidRDefault="006459A3" w:rsidP="007C72D3">
      <w:pPr>
        <w:jc w:val="both"/>
        <w:rPr>
          <w:rFonts w:ascii="Arial" w:hAnsi="Arial" w:cs="Arial"/>
          <w:sz w:val="24"/>
          <w:szCs w:val="24"/>
        </w:rPr>
      </w:pPr>
      <w:r w:rsidRPr="007C72D3">
        <w:rPr>
          <w:rFonts w:ascii="Arial" w:hAnsi="Arial" w:cs="Arial"/>
          <w:sz w:val="24"/>
          <w:szCs w:val="24"/>
        </w:rPr>
        <w:t xml:space="preserve">As far as I am aware the NDA has received an unqualified audit opinion </w:t>
      </w:r>
      <w:r w:rsidR="009E6D4B" w:rsidRPr="007C72D3">
        <w:rPr>
          <w:rFonts w:ascii="Arial" w:hAnsi="Arial" w:cs="Arial"/>
          <w:sz w:val="24"/>
          <w:szCs w:val="24"/>
        </w:rPr>
        <w:t>with findings for the past three audits periods namely 2016/17, 2017/18 and 2018/19. After a clean audit, the unqualified audit opinion is seconded best audit opinion the Auditor General SA assessed the overall financial viability of the NDA as good and this is contained in pages 22-24 of the 2018-19 management letter.</w:t>
      </w:r>
    </w:p>
    <w:p w:rsidR="009E6D4B" w:rsidRPr="007C72D3" w:rsidRDefault="009E6D4B" w:rsidP="007C72D3">
      <w:pPr>
        <w:jc w:val="both"/>
        <w:rPr>
          <w:rFonts w:ascii="Arial" w:hAnsi="Arial" w:cs="Arial"/>
          <w:sz w:val="24"/>
          <w:szCs w:val="24"/>
        </w:rPr>
      </w:pPr>
    </w:p>
    <w:p w:rsidR="009E6D4B" w:rsidRPr="007C72D3" w:rsidRDefault="009E6D4B" w:rsidP="007C72D3">
      <w:pPr>
        <w:jc w:val="both"/>
        <w:rPr>
          <w:rFonts w:ascii="Arial" w:hAnsi="Arial" w:cs="Arial"/>
          <w:sz w:val="24"/>
          <w:szCs w:val="24"/>
        </w:rPr>
      </w:pPr>
      <w:r w:rsidRPr="007C72D3">
        <w:rPr>
          <w:rFonts w:ascii="Arial" w:hAnsi="Arial" w:cs="Arial"/>
          <w:sz w:val="24"/>
          <w:szCs w:val="24"/>
        </w:rPr>
        <w:t xml:space="preserve">(b) the administration fee of the 6% is intended to cover all administrative expenses associated with </w:t>
      </w:r>
      <w:r w:rsidR="007C72D3" w:rsidRPr="007C72D3">
        <w:rPr>
          <w:rFonts w:ascii="Arial" w:hAnsi="Arial" w:cs="Arial"/>
          <w:sz w:val="24"/>
          <w:szCs w:val="24"/>
        </w:rPr>
        <w:t>the</w:t>
      </w:r>
      <w:r w:rsidRPr="007C72D3">
        <w:rPr>
          <w:rFonts w:ascii="Arial" w:hAnsi="Arial" w:cs="Arial"/>
          <w:sz w:val="24"/>
          <w:szCs w:val="24"/>
        </w:rPr>
        <w:t xml:space="preserve"> implementation of the projects because this extra work would not have been catered for in the finalised budget.</w:t>
      </w:r>
    </w:p>
    <w:p w:rsidR="009E6D4B" w:rsidRPr="007C72D3" w:rsidRDefault="009E6D4B" w:rsidP="007C72D3">
      <w:pPr>
        <w:jc w:val="both"/>
        <w:rPr>
          <w:rFonts w:ascii="Arial" w:hAnsi="Arial" w:cs="Arial"/>
          <w:sz w:val="24"/>
          <w:szCs w:val="24"/>
        </w:rPr>
      </w:pPr>
    </w:p>
    <w:p w:rsidR="009E6D4B" w:rsidRPr="007C72D3" w:rsidRDefault="009E6D4B" w:rsidP="007C72D3">
      <w:pPr>
        <w:jc w:val="both"/>
        <w:rPr>
          <w:rFonts w:ascii="Arial" w:hAnsi="Arial" w:cs="Arial"/>
          <w:sz w:val="24"/>
          <w:szCs w:val="24"/>
        </w:rPr>
      </w:pPr>
      <w:r w:rsidRPr="007C72D3">
        <w:rPr>
          <w:rFonts w:ascii="Arial" w:hAnsi="Arial" w:cs="Arial"/>
          <w:sz w:val="24"/>
          <w:szCs w:val="24"/>
        </w:rPr>
        <w:lastRenderedPageBreak/>
        <w:t>2. The Memorandum of Understanding (MOU) between NDA and DSD has not yet been finalised and signed. The MoU is currently being vetted by legal services after which it will be signed by both parties before money is transferred.</w:t>
      </w:r>
    </w:p>
    <w:p w:rsidR="009E6D4B" w:rsidRPr="007C72D3" w:rsidRDefault="009E6D4B" w:rsidP="007C72D3">
      <w:pPr>
        <w:jc w:val="both"/>
        <w:rPr>
          <w:rFonts w:ascii="Arial" w:hAnsi="Arial" w:cs="Arial"/>
          <w:sz w:val="24"/>
          <w:szCs w:val="24"/>
        </w:rPr>
      </w:pPr>
      <w:r w:rsidRPr="007C72D3">
        <w:rPr>
          <w:rFonts w:ascii="Arial" w:hAnsi="Arial" w:cs="Arial"/>
          <w:sz w:val="24"/>
          <w:szCs w:val="24"/>
        </w:rPr>
        <w:t>3. The MoU will be made available once it has been signed.</w:t>
      </w:r>
    </w:p>
    <w:p w:rsidR="009E6D4B" w:rsidRPr="007C72D3" w:rsidRDefault="009E6D4B" w:rsidP="007C72D3">
      <w:pPr>
        <w:jc w:val="both"/>
        <w:rPr>
          <w:rFonts w:ascii="Arial" w:hAnsi="Arial" w:cs="Arial"/>
          <w:sz w:val="24"/>
          <w:szCs w:val="24"/>
        </w:rPr>
      </w:pPr>
      <w:r w:rsidRPr="007C72D3">
        <w:rPr>
          <w:rFonts w:ascii="Arial" w:hAnsi="Arial" w:cs="Arial"/>
          <w:sz w:val="24"/>
          <w:szCs w:val="24"/>
        </w:rPr>
        <w:t xml:space="preserve">4. (a) The total number of proposals received </w:t>
      </w:r>
      <w:r w:rsidR="000441B3" w:rsidRPr="007C72D3">
        <w:rPr>
          <w:rFonts w:ascii="Arial" w:hAnsi="Arial" w:cs="Arial"/>
          <w:sz w:val="24"/>
          <w:szCs w:val="24"/>
        </w:rPr>
        <w:t xml:space="preserve">is </w:t>
      </w:r>
      <w:proofErr w:type="gramStart"/>
      <w:r w:rsidR="000441B3" w:rsidRPr="007C72D3">
        <w:rPr>
          <w:rFonts w:ascii="Arial" w:hAnsi="Arial" w:cs="Arial"/>
          <w:sz w:val="24"/>
          <w:szCs w:val="24"/>
        </w:rPr>
        <w:t>592,with</w:t>
      </w:r>
      <w:proofErr w:type="gramEnd"/>
      <w:r w:rsidR="000441B3" w:rsidRPr="007C72D3">
        <w:rPr>
          <w:rFonts w:ascii="Arial" w:hAnsi="Arial" w:cs="Arial"/>
          <w:sz w:val="24"/>
          <w:szCs w:val="24"/>
        </w:rPr>
        <w:t xml:space="preserve"> the following provincial breakdown: </w:t>
      </w:r>
    </w:p>
    <w:tbl>
      <w:tblPr>
        <w:tblStyle w:val="TableGrid"/>
        <w:tblW w:w="0" w:type="auto"/>
        <w:tblLook w:val="04A0" w:firstRow="1" w:lastRow="0" w:firstColumn="1" w:lastColumn="0" w:noHBand="0" w:noVBand="1"/>
      </w:tblPr>
      <w:tblGrid>
        <w:gridCol w:w="1604"/>
        <w:gridCol w:w="1723"/>
      </w:tblGrid>
      <w:tr w:rsidR="000441B3" w:rsidRPr="007C72D3" w:rsidTr="000441B3">
        <w:tc>
          <w:tcPr>
            <w:tcW w:w="1555" w:type="dxa"/>
            <w:shd w:val="clear" w:color="auto" w:fill="7F7F7F" w:themeFill="text1" w:themeFillTint="80"/>
          </w:tcPr>
          <w:p w:rsidR="000441B3" w:rsidRPr="007C72D3" w:rsidRDefault="000441B3" w:rsidP="007C72D3">
            <w:pPr>
              <w:jc w:val="both"/>
              <w:rPr>
                <w:rFonts w:ascii="Arial" w:hAnsi="Arial" w:cs="Arial"/>
                <w:b/>
                <w:sz w:val="24"/>
                <w:szCs w:val="24"/>
              </w:rPr>
            </w:pPr>
            <w:r w:rsidRPr="007C72D3">
              <w:rPr>
                <w:rFonts w:ascii="Arial" w:hAnsi="Arial" w:cs="Arial"/>
                <w:b/>
                <w:sz w:val="24"/>
                <w:szCs w:val="24"/>
              </w:rPr>
              <w:t>PROVINCE</w:t>
            </w:r>
          </w:p>
        </w:tc>
        <w:tc>
          <w:tcPr>
            <w:tcW w:w="1543" w:type="dxa"/>
            <w:shd w:val="clear" w:color="auto" w:fill="7F7F7F" w:themeFill="text1" w:themeFillTint="80"/>
          </w:tcPr>
          <w:p w:rsidR="000441B3" w:rsidRPr="007C72D3" w:rsidRDefault="000441B3" w:rsidP="007C72D3">
            <w:pPr>
              <w:jc w:val="both"/>
              <w:rPr>
                <w:rFonts w:ascii="Arial" w:hAnsi="Arial" w:cs="Arial"/>
                <w:b/>
                <w:sz w:val="24"/>
                <w:szCs w:val="24"/>
              </w:rPr>
            </w:pPr>
            <w:r w:rsidRPr="007C72D3">
              <w:rPr>
                <w:rFonts w:ascii="Arial" w:hAnsi="Arial" w:cs="Arial"/>
                <w:b/>
                <w:sz w:val="24"/>
                <w:szCs w:val="24"/>
              </w:rPr>
              <w:t>RECEIVED PROPOSALS</w:t>
            </w:r>
          </w:p>
        </w:tc>
      </w:tr>
      <w:tr w:rsidR="000441B3" w:rsidRPr="007C72D3" w:rsidTr="000441B3">
        <w:tc>
          <w:tcPr>
            <w:tcW w:w="1555" w:type="dxa"/>
          </w:tcPr>
          <w:p w:rsidR="000441B3" w:rsidRPr="007C72D3" w:rsidRDefault="000441B3" w:rsidP="007C72D3">
            <w:pPr>
              <w:jc w:val="both"/>
              <w:rPr>
                <w:rFonts w:ascii="Arial" w:hAnsi="Arial" w:cs="Arial"/>
                <w:sz w:val="24"/>
                <w:szCs w:val="24"/>
              </w:rPr>
            </w:pPr>
            <w:r w:rsidRPr="007C72D3">
              <w:rPr>
                <w:rFonts w:ascii="Arial" w:hAnsi="Arial" w:cs="Arial"/>
                <w:sz w:val="24"/>
                <w:szCs w:val="24"/>
              </w:rPr>
              <w:t>Gauteng</w:t>
            </w:r>
          </w:p>
        </w:tc>
        <w:tc>
          <w:tcPr>
            <w:tcW w:w="1543" w:type="dxa"/>
          </w:tcPr>
          <w:p w:rsidR="000441B3" w:rsidRPr="007C72D3" w:rsidRDefault="000441B3" w:rsidP="007C72D3">
            <w:pPr>
              <w:jc w:val="both"/>
              <w:rPr>
                <w:rFonts w:ascii="Arial" w:hAnsi="Arial" w:cs="Arial"/>
                <w:sz w:val="24"/>
                <w:szCs w:val="24"/>
              </w:rPr>
            </w:pPr>
            <w:r w:rsidRPr="007C72D3">
              <w:rPr>
                <w:rFonts w:ascii="Arial" w:hAnsi="Arial" w:cs="Arial"/>
                <w:sz w:val="24"/>
                <w:szCs w:val="24"/>
              </w:rPr>
              <w:t>105</w:t>
            </w:r>
          </w:p>
        </w:tc>
      </w:tr>
      <w:tr w:rsidR="000441B3" w:rsidRPr="007C72D3" w:rsidTr="000441B3">
        <w:tc>
          <w:tcPr>
            <w:tcW w:w="1555" w:type="dxa"/>
          </w:tcPr>
          <w:p w:rsidR="000441B3" w:rsidRPr="007C72D3" w:rsidRDefault="000441B3" w:rsidP="007C72D3">
            <w:pPr>
              <w:jc w:val="both"/>
              <w:rPr>
                <w:rFonts w:ascii="Arial" w:hAnsi="Arial" w:cs="Arial"/>
                <w:sz w:val="24"/>
                <w:szCs w:val="24"/>
              </w:rPr>
            </w:pPr>
            <w:r w:rsidRPr="007C72D3">
              <w:rPr>
                <w:rFonts w:ascii="Arial" w:hAnsi="Arial" w:cs="Arial"/>
                <w:sz w:val="24"/>
                <w:szCs w:val="24"/>
              </w:rPr>
              <w:t>Eastern Cape</w:t>
            </w:r>
          </w:p>
        </w:tc>
        <w:tc>
          <w:tcPr>
            <w:tcW w:w="1543" w:type="dxa"/>
          </w:tcPr>
          <w:p w:rsidR="000441B3" w:rsidRPr="007C72D3" w:rsidRDefault="000441B3" w:rsidP="007C72D3">
            <w:pPr>
              <w:jc w:val="both"/>
              <w:rPr>
                <w:rFonts w:ascii="Arial" w:hAnsi="Arial" w:cs="Arial"/>
                <w:sz w:val="24"/>
                <w:szCs w:val="24"/>
              </w:rPr>
            </w:pPr>
            <w:r w:rsidRPr="007C72D3">
              <w:rPr>
                <w:rFonts w:ascii="Arial" w:hAnsi="Arial" w:cs="Arial"/>
                <w:sz w:val="24"/>
                <w:szCs w:val="24"/>
              </w:rPr>
              <w:t>102</w:t>
            </w:r>
          </w:p>
        </w:tc>
      </w:tr>
      <w:tr w:rsidR="000441B3" w:rsidRPr="007C72D3" w:rsidTr="000441B3">
        <w:tc>
          <w:tcPr>
            <w:tcW w:w="1555" w:type="dxa"/>
          </w:tcPr>
          <w:p w:rsidR="000441B3" w:rsidRPr="007C72D3" w:rsidRDefault="000441B3" w:rsidP="007C72D3">
            <w:pPr>
              <w:jc w:val="both"/>
              <w:rPr>
                <w:rFonts w:ascii="Arial" w:hAnsi="Arial" w:cs="Arial"/>
                <w:sz w:val="24"/>
                <w:szCs w:val="24"/>
              </w:rPr>
            </w:pPr>
            <w:r w:rsidRPr="007C72D3">
              <w:rPr>
                <w:rFonts w:ascii="Arial" w:hAnsi="Arial" w:cs="Arial"/>
                <w:sz w:val="24"/>
                <w:szCs w:val="24"/>
              </w:rPr>
              <w:t xml:space="preserve">Western Cape </w:t>
            </w:r>
          </w:p>
        </w:tc>
        <w:tc>
          <w:tcPr>
            <w:tcW w:w="1543" w:type="dxa"/>
          </w:tcPr>
          <w:p w:rsidR="000441B3" w:rsidRPr="007C72D3" w:rsidRDefault="000441B3" w:rsidP="007C72D3">
            <w:pPr>
              <w:jc w:val="both"/>
              <w:rPr>
                <w:rFonts w:ascii="Arial" w:hAnsi="Arial" w:cs="Arial"/>
                <w:sz w:val="24"/>
                <w:szCs w:val="24"/>
              </w:rPr>
            </w:pPr>
            <w:r w:rsidRPr="007C72D3">
              <w:rPr>
                <w:rFonts w:ascii="Arial" w:hAnsi="Arial" w:cs="Arial"/>
                <w:sz w:val="24"/>
                <w:szCs w:val="24"/>
              </w:rPr>
              <w:t>56</w:t>
            </w:r>
          </w:p>
        </w:tc>
      </w:tr>
      <w:tr w:rsidR="000441B3" w:rsidRPr="007C72D3" w:rsidTr="000441B3">
        <w:tc>
          <w:tcPr>
            <w:tcW w:w="1555" w:type="dxa"/>
          </w:tcPr>
          <w:p w:rsidR="000441B3" w:rsidRPr="007C72D3" w:rsidRDefault="000441B3" w:rsidP="007C72D3">
            <w:pPr>
              <w:jc w:val="both"/>
              <w:rPr>
                <w:rFonts w:ascii="Arial" w:hAnsi="Arial" w:cs="Arial"/>
                <w:sz w:val="24"/>
                <w:szCs w:val="24"/>
              </w:rPr>
            </w:pPr>
            <w:r w:rsidRPr="007C72D3">
              <w:rPr>
                <w:rFonts w:ascii="Arial" w:hAnsi="Arial" w:cs="Arial"/>
                <w:sz w:val="24"/>
                <w:szCs w:val="24"/>
              </w:rPr>
              <w:t>Mpumalanga</w:t>
            </w:r>
          </w:p>
        </w:tc>
        <w:tc>
          <w:tcPr>
            <w:tcW w:w="1543" w:type="dxa"/>
          </w:tcPr>
          <w:p w:rsidR="000441B3" w:rsidRPr="007C72D3" w:rsidRDefault="000441B3" w:rsidP="007C72D3">
            <w:pPr>
              <w:jc w:val="both"/>
              <w:rPr>
                <w:rFonts w:ascii="Arial" w:hAnsi="Arial" w:cs="Arial"/>
                <w:sz w:val="24"/>
                <w:szCs w:val="24"/>
              </w:rPr>
            </w:pPr>
            <w:r w:rsidRPr="007C72D3">
              <w:rPr>
                <w:rFonts w:ascii="Arial" w:hAnsi="Arial" w:cs="Arial"/>
                <w:sz w:val="24"/>
                <w:szCs w:val="24"/>
              </w:rPr>
              <w:t>97</w:t>
            </w:r>
          </w:p>
        </w:tc>
      </w:tr>
      <w:tr w:rsidR="000441B3" w:rsidRPr="007C72D3" w:rsidTr="000441B3">
        <w:tc>
          <w:tcPr>
            <w:tcW w:w="1555" w:type="dxa"/>
          </w:tcPr>
          <w:p w:rsidR="000441B3" w:rsidRPr="007C72D3" w:rsidRDefault="000441B3" w:rsidP="007C72D3">
            <w:pPr>
              <w:jc w:val="both"/>
              <w:rPr>
                <w:rFonts w:ascii="Arial" w:hAnsi="Arial" w:cs="Arial"/>
                <w:sz w:val="24"/>
                <w:szCs w:val="24"/>
              </w:rPr>
            </w:pPr>
            <w:r w:rsidRPr="007C72D3">
              <w:rPr>
                <w:rFonts w:ascii="Arial" w:hAnsi="Arial" w:cs="Arial"/>
                <w:sz w:val="24"/>
                <w:szCs w:val="24"/>
              </w:rPr>
              <w:t>Free State</w:t>
            </w:r>
          </w:p>
        </w:tc>
        <w:tc>
          <w:tcPr>
            <w:tcW w:w="1543" w:type="dxa"/>
          </w:tcPr>
          <w:p w:rsidR="000441B3" w:rsidRPr="007C72D3" w:rsidRDefault="000441B3" w:rsidP="007C72D3">
            <w:pPr>
              <w:jc w:val="both"/>
              <w:rPr>
                <w:rFonts w:ascii="Arial" w:hAnsi="Arial" w:cs="Arial"/>
                <w:sz w:val="24"/>
                <w:szCs w:val="24"/>
              </w:rPr>
            </w:pPr>
            <w:r w:rsidRPr="007C72D3">
              <w:rPr>
                <w:rFonts w:ascii="Arial" w:hAnsi="Arial" w:cs="Arial"/>
                <w:sz w:val="24"/>
                <w:szCs w:val="24"/>
              </w:rPr>
              <w:t>29</w:t>
            </w:r>
          </w:p>
        </w:tc>
      </w:tr>
      <w:tr w:rsidR="000441B3" w:rsidRPr="007C72D3" w:rsidTr="000441B3">
        <w:tc>
          <w:tcPr>
            <w:tcW w:w="1555" w:type="dxa"/>
          </w:tcPr>
          <w:p w:rsidR="000441B3" w:rsidRPr="007C72D3" w:rsidRDefault="000441B3" w:rsidP="007C72D3">
            <w:pPr>
              <w:jc w:val="both"/>
              <w:rPr>
                <w:rFonts w:ascii="Arial" w:hAnsi="Arial" w:cs="Arial"/>
                <w:sz w:val="24"/>
                <w:szCs w:val="24"/>
              </w:rPr>
            </w:pPr>
            <w:r w:rsidRPr="007C72D3">
              <w:rPr>
                <w:rFonts w:ascii="Arial" w:hAnsi="Arial" w:cs="Arial"/>
                <w:sz w:val="24"/>
                <w:szCs w:val="24"/>
              </w:rPr>
              <w:t>Northern Cape</w:t>
            </w:r>
          </w:p>
        </w:tc>
        <w:tc>
          <w:tcPr>
            <w:tcW w:w="1543" w:type="dxa"/>
          </w:tcPr>
          <w:p w:rsidR="000441B3" w:rsidRPr="007C72D3" w:rsidRDefault="000441B3" w:rsidP="007C72D3">
            <w:pPr>
              <w:jc w:val="both"/>
              <w:rPr>
                <w:rFonts w:ascii="Arial" w:hAnsi="Arial" w:cs="Arial"/>
                <w:sz w:val="24"/>
                <w:szCs w:val="24"/>
              </w:rPr>
            </w:pPr>
            <w:r w:rsidRPr="007C72D3">
              <w:rPr>
                <w:rFonts w:ascii="Arial" w:hAnsi="Arial" w:cs="Arial"/>
                <w:sz w:val="24"/>
                <w:szCs w:val="24"/>
              </w:rPr>
              <w:t>29</w:t>
            </w:r>
          </w:p>
        </w:tc>
      </w:tr>
      <w:tr w:rsidR="000441B3" w:rsidRPr="007C72D3" w:rsidTr="000441B3">
        <w:tc>
          <w:tcPr>
            <w:tcW w:w="1555" w:type="dxa"/>
          </w:tcPr>
          <w:p w:rsidR="000441B3" w:rsidRPr="007C72D3" w:rsidRDefault="000441B3" w:rsidP="007C72D3">
            <w:pPr>
              <w:jc w:val="both"/>
              <w:rPr>
                <w:rFonts w:ascii="Arial" w:hAnsi="Arial" w:cs="Arial"/>
                <w:sz w:val="24"/>
                <w:szCs w:val="24"/>
              </w:rPr>
            </w:pPr>
            <w:r w:rsidRPr="007C72D3">
              <w:rPr>
                <w:rFonts w:ascii="Arial" w:hAnsi="Arial" w:cs="Arial"/>
                <w:sz w:val="24"/>
                <w:szCs w:val="24"/>
              </w:rPr>
              <w:t>North West</w:t>
            </w:r>
          </w:p>
        </w:tc>
        <w:tc>
          <w:tcPr>
            <w:tcW w:w="1543" w:type="dxa"/>
          </w:tcPr>
          <w:p w:rsidR="000441B3" w:rsidRPr="007C72D3" w:rsidRDefault="000441B3" w:rsidP="007C72D3">
            <w:pPr>
              <w:jc w:val="both"/>
              <w:rPr>
                <w:rFonts w:ascii="Arial" w:hAnsi="Arial" w:cs="Arial"/>
                <w:sz w:val="24"/>
                <w:szCs w:val="24"/>
              </w:rPr>
            </w:pPr>
            <w:r w:rsidRPr="007C72D3">
              <w:rPr>
                <w:rFonts w:ascii="Arial" w:hAnsi="Arial" w:cs="Arial"/>
                <w:sz w:val="24"/>
                <w:szCs w:val="24"/>
              </w:rPr>
              <w:t>19</w:t>
            </w:r>
          </w:p>
        </w:tc>
      </w:tr>
      <w:tr w:rsidR="000441B3" w:rsidRPr="007C72D3" w:rsidTr="000441B3">
        <w:tc>
          <w:tcPr>
            <w:tcW w:w="1555" w:type="dxa"/>
          </w:tcPr>
          <w:p w:rsidR="000441B3" w:rsidRPr="007C72D3" w:rsidRDefault="000441B3" w:rsidP="007C72D3">
            <w:pPr>
              <w:jc w:val="both"/>
              <w:rPr>
                <w:rFonts w:ascii="Arial" w:hAnsi="Arial" w:cs="Arial"/>
                <w:sz w:val="24"/>
                <w:szCs w:val="24"/>
              </w:rPr>
            </w:pPr>
            <w:r w:rsidRPr="007C72D3">
              <w:rPr>
                <w:rFonts w:ascii="Arial" w:hAnsi="Arial" w:cs="Arial"/>
                <w:sz w:val="24"/>
                <w:szCs w:val="24"/>
              </w:rPr>
              <w:t>Limpopo</w:t>
            </w:r>
          </w:p>
        </w:tc>
        <w:tc>
          <w:tcPr>
            <w:tcW w:w="1543" w:type="dxa"/>
          </w:tcPr>
          <w:p w:rsidR="000441B3" w:rsidRPr="007C72D3" w:rsidRDefault="000441B3" w:rsidP="007C72D3">
            <w:pPr>
              <w:jc w:val="both"/>
              <w:rPr>
                <w:rFonts w:ascii="Arial" w:hAnsi="Arial" w:cs="Arial"/>
                <w:sz w:val="24"/>
                <w:szCs w:val="24"/>
              </w:rPr>
            </w:pPr>
            <w:r w:rsidRPr="007C72D3">
              <w:rPr>
                <w:rFonts w:ascii="Arial" w:hAnsi="Arial" w:cs="Arial"/>
                <w:sz w:val="24"/>
                <w:szCs w:val="24"/>
              </w:rPr>
              <w:t>98</w:t>
            </w:r>
          </w:p>
        </w:tc>
      </w:tr>
      <w:tr w:rsidR="000441B3" w:rsidRPr="007C72D3" w:rsidTr="000441B3">
        <w:tc>
          <w:tcPr>
            <w:tcW w:w="1555" w:type="dxa"/>
          </w:tcPr>
          <w:p w:rsidR="000441B3" w:rsidRPr="007C72D3" w:rsidRDefault="000441B3" w:rsidP="007C72D3">
            <w:pPr>
              <w:jc w:val="both"/>
              <w:rPr>
                <w:rFonts w:ascii="Arial" w:hAnsi="Arial" w:cs="Arial"/>
                <w:sz w:val="24"/>
                <w:szCs w:val="24"/>
              </w:rPr>
            </w:pPr>
            <w:r w:rsidRPr="007C72D3">
              <w:rPr>
                <w:rFonts w:ascii="Arial" w:hAnsi="Arial" w:cs="Arial"/>
                <w:sz w:val="24"/>
                <w:szCs w:val="24"/>
              </w:rPr>
              <w:t>KwaZulu Natal</w:t>
            </w:r>
          </w:p>
        </w:tc>
        <w:tc>
          <w:tcPr>
            <w:tcW w:w="1543" w:type="dxa"/>
          </w:tcPr>
          <w:p w:rsidR="000441B3" w:rsidRPr="007C72D3" w:rsidRDefault="000441B3" w:rsidP="007C72D3">
            <w:pPr>
              <w:jc w:val="both"/>
              <w:rPr>
                <w:rFonts w:ascii="Arial" w:hAnsi="Arial" w:cs="Arial"/>
                <w:sz w:val="24"/>
                <w:szCs w:val="24"/>
              </w:rPr>
            </w:pPr>
            <w:r w:rsidRPr="007C72D3">
              <w:rPr>
                <w:rFonts w:ascii="Arial" w:hAnsi="Arial" w:cs="Arial"/>
                <w:sz w:val="24"/>
                <w:szCs w:val="24"/>
              </w:rPr>
              <w:t>57</w:t>
            </w:r>
          </w:p>
        </w:tc>
      </w:tr>
      <w:tr w:rsidR="000441B3" w:rsidRPr="007C72D3" w:rsidTr="000441B3">
        <w:tc>
          <w:tcPr>
            <w:tcW w:w="1555" w:type="dxa"/>
          </w:tcPr>
          <w:p w:rsidR="000441B3" w:rsidRPr="007C72D3" w:rsidRDefault="000441B3" w:rsidP="007C72D3">
            <w:pPr>
              <w:jc w:val="both"/>
              <w:rPr>
                <w:rFonts w:ascii="Arial" w:hAnsi="Arial" w:cs="Arial"/>
                <w:b/>
                <w:sz w:val="24"/>
                <w:szCs w:val="24"/>
              </w:rPr>
            </w:pPr>
            <w:r w:rsidRPr="007C72D3">
              <w:rPr>
                <w:rFonts w:ascii="Arial" w:hAnsi="Arial" w:cs="Arial"/>
                <w:b/>
                <w:sz w:val="24"/>
                <w:szCs w:val="24"/>
              </w:rPr>
              <w:t xml:space="preserve">Total </w:t>
            </w:r>
          </w:p>
        </w:tc>
        <w:tc>
          <w:tcPr>
            <w:tcW w:w="1543" w:type="dxa"/>
          </w:tcPr>
          <w:p w:rsidR="000441B3" w:rsidRPr="007C72D3" w:rsidRDefault="000441B3" w:rsidP="007C72D3">
            <w:pPr>
              <w:jc w:val="both"/>
              <w:rPr>
                <w:rFonts w:ascii="Arial" w:hAnsi="Arial" w:cs="Arial"/>
                <w:b/>
                <w:sz w:val="24"/>
                <w:szCs w:val="24"/>
              </w:rPr>
            </w:pPr>
            <w:r w:rsidRPr="007C72D3">
              <w:rPr>
                <w:rFonts w:ascii="Arial" w:hAnsi="Arial" w:cs="Arial"/>
                <w:b/>
                <w:sz w:val="24"/>
                <w:szCs w:val="24"/>
              </w:rPr>
              <w:t>592</w:t>
            </w:r>
          </w:p>
        </w:tc>
      </w:tr>
    </w:tbl>
    <w:p w:rsidR="000441B3" w:rsidRPr="007C72D3" w:rsidRDefault="000441B3" w:rsidP="007C72D3">
      <w:pPr>
        <w:jc w:val="both"/>
        <w:rPr>
          <w:rFonts w:ascii="Arial" w:hAnsi="Arial" w:cs="Arial"/>
          <w:sz w:val="24"/>
          <w:szCs w:val="24"/>
        </w:rPr>
      </w:pPr>
    </w:p>
    <w:p w:rsidR="000441B3" w:rsidRPr="007C72D3" w:rsidRDefault="000441B3" w:rsidP="007C72D3">
      <w:pPr>
        <w:jc w:val="both"/>
        <w:rPr>
          <w:rFonts w:ascii="Arial" w:hAnsi="Arial" w:cs="Arial"/>
          <w:sz w:val="24"/>
          <w:szCs w:val="24"/>
        </w:rPr>
      </w:pPr>
      <w:r w:rsidRPr="007C72D3">
        <w:rPr>
          <w:rFonts w:ascii="Arial" w:hAnsi="Arial" w:cs="Arial"/>
          <w:sz w:val="24"/>
          <w:szCs w:val="24"/>
        </w:rPr>
        <w:t xml:space="preserve">4(b) </w:t>
      </w:r>
      <w:r w:rsidR="007C72D3">
        <w:rPr>
          <w:rFonts w:ascii="Arial" w:hAnsi="Arial" w:cs="Arial"/>
          <w:sz w:val="24"/>
          <w:szCs w:val="24"/>
        </w:rPr>
        <w:t>T</w:t>
      </w:r>
      <w:r w:rsidR="007C72D3" w:rsidRPr="007C72D3">
        <w:rPr>
          <w:rFonts w:ascii="Arial" w:hAnsi="Arial" w:cs="Arial"/>
          <w:sz w:val="24"/>
          <w:szCs w:val="24"/>
        </w:rPr>
        <w:t>he</w:t>
      </w:r>
      <w:r w:rsidRPr="007C72D3">
        <w:rPr>
          <w:rFonts w:ascii="Arial" w:hAnsi="Arial" w:cs="Arial"/>
          <w:sz w:val="24"/>
          <w:szCs w:val="24"/>
        </w:rPr>
        <w:t xml:space="preserve"> request for Proposal was advertised in the City Press on Sunday 12</w:t>
      </w:r>
      <w:r w:rsidRPr="007C72D3">
        <w:rPr>
          <w:rFonts w:ascii="Arial" w:hAnsi="Arial" w:cs="Arial"/>
          <w:sz w:val="24"/>
          <w:szCs w:val="24"/>
          <w:vertAlign w:val="superscript"/>
        </w:rPr>
        <w:t>th</w:t>
      </w:r>
      <w:r w:rsidRPr="007C72D3">
        <w:rPr>
          <w:rFonts w:ascii="Arial" w:hAnsi="Arial" w:cs="Arial"/>
          <w:sz w:val="24"/>
          <w:szCs w:val="24"/>
        </w:rPr>
        <w:t xml:space="preserve"> January and the Daily Sun on Monday 13</w:t>
      </w:r>
      <w:r w:rsidRPr="007C72D3">
        <w:rPr>
          <w:rFonts w:ascii="Arial" w:hAnsi="Arial" w:cs="Arial"/>
          <w:sz w:val="24"/>
          <w:szCs w:val="24"/>
          <w:vertAlign w:val="superscript"/>
        </w:rPr>
        <w:t>th</w:t>
      </w:r>
      <w:r w:rsidRPr="007C72D3">
        <w:rPr>
          <w:rFonts w:ascii="Arial" w:hAnsi="Arial" w:cs="Arial"/>
          <w:sz w:val="24"/>
          <w:szCs w:val="24"/>
        </w:rPr>
        <w:t xml:space="preserve"> January. The City Press is a Sunday weekly newspaper with a circulation of 39 172 and a readership of 1 68 000. The Daily Sun is the biggest daily newspaper in the country with a circulation of 105 131 and readership of 3 821 000. </w:t>
      </w:r>
    </w:p>
    <w:p w:rsidR="000441B3" w:rsidRPr="007C72D3" w:rsidRDefault="000441B3" w:rsidP="007C72D3">
      <w:pPr>
        <w:jc w:val="both"/>
        <w:rPr>
          <w:rFonts w:ascii="Arial" w:hAnsi="Arial" w:cs="Arial"/>
          <w:sz w:val="24"/>
          <w:szCs w:val="24"/>
        </w:rPr>
      </w:pPr>
      <w:r w:rsidRPr="007C72D3">
        <w:rPr>
          <w:rFonts w:ascii="Arial" w:hAnsi="Arial" w:cs="Arial"/>
          <w:sz w:val="24"/>
          <w:szCs w:val="24"/>
        </w:rPr>
        <w:lastRenderedPageBreak/>
        <w:t xml:space="preserve">5(a) The Criminal Assets Recovery Account Funding has been a standing item in the VEP Management Forum quarterly meetings with Provincial VEP Coordinators and process reports have been presented in the </w:t>
      </w:r>
      <w:r w:rsidR="000E3435" w:rsidRPr="007C72D3">
        <w:rPr>
          <w:rFonts w:ascii="Arial" w:hAnsi="Arial" w:cs="Arial"/>
          <w:sz w:val="24"/>
          <w:szCs w:val="24"/>
        </w:rPr>
        <w:t>presence of Provincial VEP Coordinators. Furthermore, when the date for advertising the call for proposal was announced by NDA a communication sent to all Social Development Provincial VEP Coordinators with an indication to communicate this information to NGOs within their Provinces.</w:t>
      </w:r>
    </w:p>
    <w:p w:rsidR="000E3435" w:rsidRPr="007C72D3" w:rsidRDefault="000E3435" w:rsidP="007C72D3">
      <w:pPr>
        <w:jc w:val="both"/>
        <w:rPr>
          <w:rFonts w:ascii="Arial" w:hAnsi="Arial" w:cs="Arial"/>
          <w:sz w:val="24"/>
          <w:szCs w:val="24"/>
        </w:rPr>
      </w:pPr>
      <w:r w:rsidRPr="007C72D3">
        <w:rPr>
          <w:rFonts w:ascii="Arial" w:hAnsi="Arial" w:cs="Arial"/>
          <w:sz w:val="24"/>
          <w:szCs w:val="24"/>
        </w:rPr>
        <w:tab/>
        <w:t>(b) There is no specific allocation per Province.</w:t>
      </w:r>
    </w:p>
    <w:p w:rsidR="000E3435" w:rsidRPr="007C72D3" w:rsidRDefault="000E3435" w:rsidP="007C72D3">
      <w:pPr>
        <w:ind w:left="720"/>
        <w:jc w:val="both"/>
        <w:rPr>
          <w:rFonts w:ascii="Arial" w:hAnsi="Arial" w:cs="Arial"/>
          <w:sz w:val="24"/>
          <w:szCs w:val="24"/>
        </w:rPr>
      </w:pPr>
      <w:r w:rsidRPr="007C72D3">
        <w:rPr>
          <w:rFonts w:ascii="Arial" w:hAnsi="Arial" w:cs="Arial"/>
          <w:sz w:val="24"/>
          <w:szCs w:val="24"/>
        </w:rPr>
        <w:t>The provincial allocation will be based on the qualifying and approved proposal after the assessment.</w:t>
      </w:r>
    </w:p>
    <w:p w:rsidR="009E6D4B" w:rsidRDefault="009E6D4B"/>
    <w:p w:rsidR="006459A3" w:rsidRDefault="006459A3"/>
    <w:p w:rsidR="006459A3" w:rsidRDefault="006459A3"/>
    <w:sectPr w:rsidR="006459A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188" w:rsidRDefault="00E62188" w:rsidP="007C72D3">
      <w:pPr>
        <w:spacing w:after="0" w:line="240" w:lineRule="auto"/>
      </w:pPr>
      <w:r>
        <w:separator/>
      </w:r>
    </w:p>
  </w:endnote>
  <w:endnote w:type="continuationSeparator" w:id="0">
    <w:p w:rsidR="00E62188" w:rsidRDefault="00E62188" w:rsidP="007C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188" w:rsidRDefault="00E62188" w:rsidP="007C72D3">
      <w:pPr>
        <w:spacing w:after="0" w:line="240" w:lineRule="auto"/>
      </w:pPr>
      <w:r>
        <w:separator/>
      </w:r>
    </w:p>
  </w:footnote>
  <w:footnote w:type="continuationSeparator" w:id="0">
    <w:p w:rsidR="00E62188" w:rsidRDefault="00E62188" w:rsidP="007C7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2D3" w:rsidRDefault="007C72D3">
    <w:pPr>
      <w:pStyle w:val="Header"/>
    </w:pPr>
    <w:r>
      <w:tab/>
    </w:r>
    <w:r>
      <w:rPr>
        <w:noProof/>
        <w:lang w:val="en-US"/>
      </w:rPr>
      <w:drawing>
        <wp:inline distT="0" distB="0" distL="0" distR="0" wp14:anchorId="534B027C" wp14:editId="63B9C4BB">
          <wp:extent cx="4143375" cy="1714500"/>
          <wp:effectExtent l="0" t="0" r="9525" b="0"/>
          <wp:docPr id="2" name="Picture 2" descr="header"/>
          <wp:cNvGraphicFramePr/>
          <a:graphic xmlns:a="http://schemas.openxmlformats.org/drawingml/2006/main">
            <a:graphicData uri="http://schemas.openxmlformats.org/drawingml/2006/picture">
              <pic:pic xmlns:pic="http://schemas.openxmlformats.org/drawingml/2006/picture">
                <pic:nvPicPr>
                  <pic:cNvPr id="2" name="Picture 2" descr="header"/>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850EF"/>
    <w:multiLevelType w:val="hybridMultilevel"/>
    <w:tmpl w:val="2D8E209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A3"/>
    <w:rsid w:val="000441B3"/>
    <w:rsid w:val="000C03D3"/>
    <w:rsid w:val="000E3435"/>
    <w:rsid w:val="003E0690"/>
    <w:rsid w:val="004B42A3"/>
    <w:rsid w:val="006459A3"/>
    <w:rsid w:val="00794FF1"/>
    <w:rsid w:val="007C72D3"/>
    <w:rsid w:val="009E6D4B"/>
    <w:rsid w:val="00A92ABD"/>
    <w:rsid w:val="00CE2519"/>
    <w:rsid w:val="00E62188"/>
    <w:rsid w:val="00F829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18769-FDB1-4A9E-A1FB-27859CA2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9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9A3"/>
    <w:pPr>
      <w:ind w:left="720"/>
      <w:contextualSpacing/>
    </w:pPr>
  </w:style>
  <w:style w:type="table" w:styleId="TableGrid">
    <w:name w:val="Table Grid"/>
    <w:basedOn w:val="TableNormal"/>
    <w:uiPriority w:val="39"/>
    <w:rsid w:val="00044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7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2D3"/>
  </w:style>
  <w:style w:type="paragraph" w:styleId="Footer">
    <w:name w:val="footer"/>
    <w:basedOn w:val="Normal"/>
    <w:link w:val="FooterChar"/>
    <w:uiPriority w:val="99"/>
    <w:unhideWhenUsed/>
    <w:rsid w:val="007C7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8191-BA2E-4F70-B9C7-474918A7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Rhulani Ngobeni</dc:creator>
  <cp:keywords/>
  <dc:description/>
  <cp:lastModifiedBy>Nikiwe Ncetezo</cp:lastModifiedBy>
  <cp:revision>2</cp:revision>
  <dcterms:created xsi:type="dcterms:W3CDTF">2020-05-08T10:18:00Z</dcterms:created>
  <dcterms:modified xsi:type="dcterms:W3CDTF">2020-05-08T10:18:00Z</dcterms:modified>
</cp:coreProperties>
</file>