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E6" w:rsidRDefault="00F8567B" w:rsidP="00E30CE6">
      <w:pPr>
        <w:spacing w:before="100" w:beforeAutospacing="1" w:after="100" w:afterAutospacing="1" w:line="240" w:lineRule="auto"/>
        <w:ind w:left="2250" w:firstLine="63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27552">
        <w:rPr>
          <w:rFonts w:ascii="Times New Roman" w:hAnsi="Times New Roman"/>
          <w:b/>
          <w:sz w:val="24"/>
          <w:szCs w:val="24"/>
        </w:rPr>
        <w:tab/>
      </w:r>
      <w:r w:rsidR="00E27552">
        <w:rPr>
          <w:rFonts w:ascii="Times New Roman" w:hAnsi="Times New Roman"/>
          <w:b/>
          <w:sz w:val="24"/>
          <w:szCs w:val="24"/>
        </w:rPr>
        <w:tab/>
        <w:t xml:space="preserve">THE NATIONAL ASSEMBLY </w:t>
      </w:r>
    </w:p>
    <w:p w:rsidR="00F8567B" w:rsidRPr="00E1358C" w:rsidRDefault="00F8567B" w:rsidP="00F8567B">
      <w:pPr>
        <w:spacing w:before="100" w:beforeAutospacing="1" w:after="100" w:afterAutospacing="1" w:line="240" w:lineRule="auto"/>
        <w:ind w:left="810" w:hanging="810"/>
        <w:jc w:val="both"/>
        <w:outlineLvl w:val="0"/>
        <w:rPr>
          <w:rFonts w:ascii="Arial" w:hAnsi="Arial" w:cs="Arial"/>
          <w:b/>
        </w:rPr>
      </w:pPr>
      <w:r w:rsidRPr="00E1358C">
        <w:rPr>
          <w:rFonts w:ascii="Arial" w:hAnsi="Arial" w:cs="Arial"/>
          <w:b/>
        </w:rPr>
        <w:tab/>
      </w:r>
      <w:r w:rsidRPr="00E1358C">
        <w:rPr>
          <w:rFonts w:ascii="Arial" w:hAnsi="Arial" w:cs="Arial"/>
          <w:b/>
        </w:rPr>
        <w:tab/>
      </w:r>
      <w:r w:rsidRPr="00E1358C">
        <w:rPr>
          <w:rFonts w:ascii="Arial" w:hAnsi="Arial" w:cs="Arial"/>
          <w:b/>
        </w:rPr>
        <w:tab/>
      </w:r>
      <w:r w:rsidRPr="00E1358C">
        <w:rPr>
          <w:rFonts w:ascii="Arial" w:hAnsi="Arial" w:cs="Arial"/>
          <w:b/>
        </w:rPr>
        <w:tab/>
      </w:r>
      <w:r w:rsidR="00E27552">
        <w:rPr>
          <w:rFonts w:ascii="Arial" w:hAnsi="Arial" w:cs="Arial"/>
          <w:b/>
        </w:rPr>
        <w:tab/>
      </w:r>
      <w:r w:rsidR="00E27552">
        <w:rPr>
          <w:rFonts w:ascii="Arial" w:hAnsi="Arial" w:cs="Arial"/>
          <w:b/>
        </w:rPr>
        <w:tab/>
      </w:r>
      <w:r w:rsidRPr="00E1358C">
        <w:rPr>
          <w:rFonts w:ascii="Arial" w:hAnsi="Arial" w:cs="Arial"/>
          <w:b/>
        </w:rPr>
        <w:t xml:space="preserve">QUESTION FOR WRITTEN REPLY </w:t>
      </w:r>
    </w:p>
    <w:p w:rsidR="00993AF5" w:rsidRPr="00E1358C" w:rsidRDefault="00993AF5" w:rsidP="00993AF5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E1358C">
        <w:rPr>
          <w:rFonts w:ascii="Arial" w:hAnsi="Arial" w:cs="Arial"/>
          <w:b/>
        </w:rPr>
        <w:t>3292.</w:t>
      </w:r>
      <w:r w:rsidRPr="00E1358C">
        <w:rPr>
          <w:rFonts w:ascii="Arial" w:hAnsi="Arial" w:cs="Arial"/>
          <w:b/>
        </w:rPr>
        <w:tab/>
        <w:t>Mrs E N Ntlangwini (EFF) to ask the Minister of Trade and Industry:</w:t>
      </w:r>
    </w:p>
    <w:p w:rsidR="00993AF5" w:rsidRDefault="00993AF5" w:rsidP="00C913E5">
      <w:pPr>
        <w:pStyle w:val="ListParagraph"/>
        <w:spacing w:after="100" w:afterAutospacing="1" w:line="240" w:lineRule="auto"/>
        <w:contextualSpacing w:val="0"/>
        <w:jc w:val="both"/>
        <w:rPr>
          <w:rFonts w:ascii="Arial" w:hAnsi="Arial" w:cs="Arial"/>
        </w:rPr>
      </w:pPr>
      <w:r w:rsidRPr="00E1358C">
        <w:rPr>
          <w:rFonts w:ascii="Arial" w:hAnsi="Arial" w:cs="Arial"/>
        </w:rPr>
        <w:t>Whether (a) his department and/or (b) entities reporting to him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and departmental procurement guidelines?NW3725E</w:t>
      </w:r>
    </w:p>
    <w:p w:rsidR="00660E60" w:rsidRPr="00660E60" w:rsidRDefault="00660E60" w:rsidP="00660E60">
      <w:pPr>
        <w:pStyle w:val="ListParagraph"/>
        <w:spacing w:after="100" w:afterAutospacing="1" w:line="240" w:lineRule="auto"/>
        <w:contextualSpacing w:val="0"/>
        <w:jc w:val="both"/>
        <w:rPr>
          <w:rFonts w:ascii="Arial" w:hAnsi="Arial" w:cs="Arial"/>
          <w:b/>
        </w:rPr>
      </w:pPr>
      <w:r w:rsidRPr="00660E60">
        <w:rPr>
          <w:rFonts w:ascii="Arial" w:hAnsi="Arial" w:cs="Arial"/>
          <w:b/>
        </w:rPr>
        <w:t>Response from the Department</w:t>
      </w:r>
    </w:p>
    <w:p w:rsidR="00660E60" w:rsidRPr="00F13250" w:rsidRDefault="00F13250" w:rsidP="00F13250">
      <w:pPr>
        <w:spacing w:after="100" w:afterAutospacing="1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13250">
        <w:rPr>
          <w:rFonts w:ascii="Arial" w:hAnsi="Arial" w:cs="Arial"/>
        </w:rPr>
        <w:t xml:space="preserve">o contracts and/or tenders were awarded by </w:t>
      </w:r>
      <w:r w:rsidRPr="00F13250">
        <w:rPr>
          <w:rFonts w:ascii="Arial" w:hAnsi="Arial" w:cs="Arial"/>
          <w:b/>
        </w:rPr>
        <w:t>the dti</w:t>
      </w:r>
      <w:r w:rsidRPr="00F13250">
        <w:rPr>
          <w:rFonts w:ascii="Arial" w:hAnsi="Arial" w:cs="Arial"/>
        </w:rPr>
        <w:t xml:space="preserve"> to the companies listed in your Annexure A.</w:t>
      </w:r>
    </w:p>
    <w:p w:rsidR="00660E60" w:rsidRDefault="00660E60" w:rsidP="00660E60">
      <w:pPr>
        <w:pStyle w:val="ListParagraph"/>
        <w:spacing w:after="100" w:afterAutospacing="1" w:line="240" w:lineRule="auto"/>
        <w:contextualSpacing w:val="0"/>
        <w:jc w:val="both"/>
        <w:rPr>
          <w:rFonts w:ascii="Arial" w:hAnsi="Arial" w:cs="Arial"/>
        </w:rPr>
      </w:pPr>
    </w:p>
    <w:p w:rsidR="00660E60" w:rsidRPr="00660E60" w:rsidRDefault="00660E60" w:rsidP="00660E60">
      <w:pPr>
        <w:pStyle w:val="ListParagraph"/>
        <w:spacing w:after="100" w:afterAutospacing="1" w:line="240" w:lineRule="auto"/>
        <w:contextualSpacing w:val="0"/>
        <w:jc w:val="both"/>
        <w:rPr>
          <w:rFonts w:ascii="Arial" w:hAnsi="Arial" w:cs="Arial"/>
          <w:b/>
        </w:rPr>
      </w:pPr>
      <w:r w:rsidRPr="00660E60">
        <w:rPr>
          <w:rFonts w:ascii="Arial" w:hAnsi="Arial" w:cs="Arial"/>
          <w:b/>
        </w:rPr>
        <w:t>Response from the Entities</w:t>
      </w:r>
    </w:p>
    <w:p w:rsidR="00660E60" w:rsidRPr="00E1358C" w:rsidRDefault="00660E60" w:rsidP="00C913E5">
      <w:pPr>
        <w:pStyle w:val="ListParagraph"/>
        <w:spacing w:after="100" w:afterAutospacing="1" w:line="240" w:lineRule="auto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559"/>
        <w:gridCol w:w="1560"/>
        <w:gridCol w:w="2268"/>
        <w:gridCol w:w="2693"/>
      </w:tblGrid>
      <w:tr w:rsidR="00E615E6" w:rsidRPr="00660E60" w:rsidTr="003C4682">
        <w:trPr>
          <w:trHeight w:val="357"/>
          <w:tblHeader/>
        </w:trPr>
        <w:tc>
          <w:tcPr>
            <w:tcW w:w="2127" w:type="dxa"/>
            <w:shd w:val="clear" w:color="auto" w:fill="FFC000"/>
          </w:tcPr>
          <w:p w:rsidR="007E2CE3" w:rsidRPr="00660E60" w:rsidRDefault="007E2CE3" w:rsidP="00E615E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Entity</w:t>
            </w:r>
          </w:p>
        </w:tc>
        <w:tc>
          <w:tcPr>
            <w:tcW w:w="2126" w:type="dxa"/>
            <w:shd w:val="clear" w:color="auto" w:fill="FFC000"/>
          </w:tcPr>
          <w:p w:rsidR="007E2CE3" w:rsidRPr="00660E60" w:rsidRDefault="00ED3592" w:rsidP="00E135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E60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  <w:tc>
          <w:tcPr>
            <w:tcW w:w="2126" w:type="dxa"/>
            <w:shd w:val="clear" w:color="auto" w:fill="FFC000"/>
          </w:tcPr>
          <w:p w:rsidR="007E2CE3" w:rsidRPr="00660E60" w:rsidRDefault="00ED3592" w:rsidP="00E1358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="007E2CE3" w:rsidRPr="00660E60">
              <w:rPr>
                <w:rFonts w:ascii="Arial" w:hAnsi="Arial" w:cs="Arial"/>
                <w:b/>
                <w:sz w:val="20"/>
                <w:szCs w:val="20"/>
              </w:rPr>
              <w:t xml:space="preserve">(i) </w:t>
            </w:r>
          </w:p>
        </w:tc>
        <w:tc>
          <w:tcPr>
            <w:tcW w:w="1559" w:type="dxa"/>
            <w:shd w:val="clear" w:color="auto" w:fill="FFC000"/>
          </w:tcPr>
          <w:p w:rsidR="007E2CE3" w:rsidRPr="00660E60" w:rsidRDefault="007E2CE3" w:rsidP="00E1358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592" w:rsidRPr="00660E60">
              <w:rPr>
                <w:rFonts w:ascii="Arial" w:hAnsi="Arial" w:cs="Arial"/>
                <w:b/>
                <w:sz w:val="20"/>
                <w:szCs w:val="20"/>
              </w:rPr>
              <w:t>(b)(ii)</w:t>
            </w:r>
            <w:r w:rsidRPr="00660E60">
              <w:rPr>
                <w:rFonts w:ascii="Arial" w:hAnsi="Arial" w:cs="Arial"/>
                <w:b/>
                <w:sz w:val="20"/>
                <w:szCs w:val="20"/>
              </w:rPr>
              <w:t xml:space="preserve">(aa) </w:t>
            </w:r>
          </w:p>
        </w:tc>
        <w:tc>
          <w:tcPr>
            <w:tcW w:w="1560" w:type="dxa"/>
            <w:shd w:val="clear" w:color="auto" w:fill="FFC000"/>
          </w:tcPr>
          <w:p w:rsidR="007E2CE3" w:rsidRPr="00660E60" w:rsidRDefault="00ED3592" w:rsidP="00E1358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</w:rPr>
              <w:t>(b)</w:t>
            </w:r>
            <w:r w:rsidR="007E2CE3" w:rsidRPr="00660E60">
              <w:rPr>
                <w:rFonts w:ascii="Arial" w:hAnsi="Arial" w:cs="Arial"/>
                <w:b/>
                <w:sz w:val="20"/>
                <w:szCs w:val="20"/>
              </w:rPr>
              <w:t xml:space="preserve">(ii) (bb) </w:t>
            </w:r>
          </w:p>
        </w:tc>
        <w:tc>
          <w:tcPr>
            <w:tcW w:w="2268" w:type="dxa"/>
            <w:shd w:val="clear" w:color="auto" w:fill="FFC000"/>
          </w:tcPr>
          <w:p w:rsidR="007E2CE3" w:rsidRPr="00660E60" w:rsidRDefault="007E2CE3" w:rsidP="00E1358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</w:rPr>
              <w:t xml:space="preserve">(iii) </w:t>
            </w:r>
          </w:p>
        </w:tc>
        <w:tc>
          <w:tcPr>
            <w:tcW w:w="2693" w:type="dxa"/>
            <w:shd w:val="clear" w:color="auto" w:fill="FFC000"/>
          </w:tcPr>
          <w:p w:rsidR="007E2CE3" w:rsidRPr="00660E60" w:rsidRDefault="007E2CE3" w:rsidP="00E1358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</w:rPr>
              <w:t>(iv</w:t>
            </w:r>
            <w:r w:rsidR="00ED3592" w:rsidRPr="00660E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615E6" w:rsidRPr="00660E60" w:rsidTr="003C4682">
        <w:trPr>
          <w:trHeight w:val="1024"/>
        </w:trPr>
        <w:tc>
          <w:tcPr>
            <w:tcW w:w="2127" w:type="dxa"/>
            <w:shd w:val="clear" w:color="auto" w:fill="FFFFFF" w:themeFill="background1"/>
          </w:tcPr>
          <w:p w:rsidR="00C913E5" w:rsidRPr="00660E60" w:rsidRDefault="00C913E5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Companies and Intellectual Property Commission (CIPC)</w:t>
            </w:r>
          </w:p>
        </w:tc>
        <w:tc>
          <w:tcPr>
            <w:tcW w:w="2126" w:type="dxa"/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 CIPC had contracts or tenders with Vox Telecommunications</w:t>
            </w:r>
          </w:p>
        </w:tc>
        <w:tc>
          <w:tcPr>
            <w:tcW w:w="2126" w:type="dxa"/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4MB Uncapped ADSL Bandwidth for Dat</w:t>
            </w:r>
            <w:r w:rsidR="00AE4DE7" w:rsidRPr="00660E60">
              <w:rPr>
                <w:rFonts w:ascii="Arial" w:hAnsi="Arial" w:cs="Arial"/>
                <w:sz w:val="20"/>
                <w:szCs w:val="20"/>
              </w:rPr>
              <w:t>a, Voice &amp; Internet Services</w:t>
            </w:r>
          </w:p>
        </w:tc>
        <w:tc>
          <w:tcPr>
            <w:tcW w:w="1559" w:type="dxa"/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R75 618.00</w:t>
            </w:r>
          </w:p>
        </w:tc>
        <w:tc>
          <w:tcPr>
            <w:tcW w:w="1560" w:type="dxa"/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01/04/2015: over a period of 18 months</w:t>
            </w:r>
          </w:p>
        </w:tc>
        <w:tc>
          <w:tcPr>
            <w:tcW w:w="2268" w:type="dxa"/>
            <w:shd w:val="clear" w:color="auto" w:fill="FFFFFF" w:themeFill="background1"/>
          </w:tcPr>
          <w:p w:rsidR="00C913E5" w:rsidRPr="00660E60" w:rsidRDefault="00AE4DE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The Accounting Authority Ms. Astrid Ludin </w:t>
            </w:r>
          </w:p>
        </w:tc>
        <w:tc>
          <w:tcPr>
            <w:tcW w:w="2693" w:type="dxa"/>
            <w:shd w:val="clear" w:color="auto" w:fill="FFFFFF" w:themeFill="background1"/>
          </w:tcPr>
          <w:p w:rsidR="00C913E5" w:rsidRPr="00660E60" w:rsidRDefault="00AE4DE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Yes, The procurement followed the required legislative prescripts applicable.</w:t>
            </w:r>
          </w:p>
        </w:tc>
      </w:tr>
      <w:tr w:rsidR="00E615E6" w:rsidRPr="00660E60" w:rsidTr="003C4682">
        <w:trPr>
          <w:trHeight w:val="651"/>
        </w:trPr>
        <w:tc>
          <w:tcPr>
            <w:tcW w:w="2127" w:type="dxa"/>
            <w:shd w:val="clear" w:color="auto" w:fill="FFFFFF" w:themeFill="background1"/>
          </w:tcPr>
          <w:p w:rsidR="00172453" w:rsidRPr="00660E60" w:rsidRDefault="00172453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Companies Tribunal (CT)</w:t>
            </w:r>
          </w:p>
        </w:tc>
        <w:tc>
          <w:tcPr>
            <w:tcW w:w="2126" w:type="dxa"/>
            <w:shd w:val="clear" w:color="auto" w:fill="FFFFFF" w:themeFill="background1"/>
          </w:tcPr>
          <w:p w:rsidR="00172453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 CT had no contracts or tenders between 2009 – 2018 with the listed companies</w:t>
            </w:r>
          </w:p>
        </w:tc>
        <w:tc>
          <w:tcPr>
            <w:tcW w:w="2126" w:type="dxa"/>
            <w:shd w:val="clear" w:color="auto" w:fill="FFFFFF" w:themeFill="background1"/>
          </w:tcPr>
          <w:p w:rsidR="00E1358C" w:rsidRPr="00660E60" w:rsidRDefault="0017245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172453" w:rsidRPr="00660E60" w:rsidRDefault="0017245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59" w:type="dxa"/>
            <w:shd w:val="clear" w:color="auto" w:fill="FFFFFF" w:themeFill="background1"/>
          </w:tcPr>
          <w:p w:rsidR="00E1358C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172453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1560" w:type="dxa"/>
            <w:shd w:val="clear" w:color="auto" w:fill="FFFFFF" w:themeFill="background1"/>
          </w:tcPr>
          <w:p w:rsidR="00E1358C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Not</w:t>
            </w:r>
          </w:p>
          <w:p w:rsidR="00172453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 applicable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8C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172453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172453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E615E6" w:rsidRPr="00660E60" w:rsidTr="003C4682">
        <w:trPr>
          <w:trHeight w:val="56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453" w:rsidRPr="00660E60" w:rsidRDefault="00172453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Export Credit Insurance Corporation (ECIC)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453" w:rsidRPr="00660E60" w:rsidRDefault="00172453" w:rsidP="00E1358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C74ED">
              <w:rPr>
                <w:rFonts w:ascii="Arial" w:hAnsi="Arial" w:cs="Arial"/>
                <w:sz w:val="20"/>
                <w:szCs w:val="20"/>
              </w:rPr>
              <w:t>ECIC had no contracts or tender</w:t>
            </w:r>
            <w:r w:rsidRPr="00660E60">
              <w:rPr>
                <w:rFonts w:ascii="Arial" w:hAnsi="Arial" w:cs="Arial"/>
                <w:sz w:val="20"/>
                <w:szCs w:val="20"/>
              </w:rPr>
              <w:t xml:space="preserve"> between 2009 – 2018 with the listed companies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58C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172453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58C" w:rsidRPr="00660E60" w:rsidRDefault="0017245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172453" w:rsidRPr="00660E60" w:rsidRDefault="0017245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58C" w:rsidRPr="00660E60" w:rsidRDefault="0017245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172453" w:rsidRPr="00660E60" w:rsidRDefault="0017245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58C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172453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172453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</w:tr>
      <w:tr w:rsidR="00E615E6" w:rsidRPr="00660E60" w:rsidTr="003C4682">
        <w:trPr>
          <w:trHeight w:val="1372"/>
        </w:trPr>
        <w:tc>
          <w:tcPr>
            <w:tcW w:w="2127" w:type="dxa"/>
            <w:shd w:val="clear" w:color="auto" w:fill="FFFFFF" w:themeFill="background1"/>
          </w:tcPr>
          <w:p w:rsidR="00C913E5" w:rsidRPr="00660E60" w:rsidRDefault="00C913E5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Consumer Commission (NCC)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4C74ED" w:rsidP="00E1358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NCC had  a contract</w:t>
            </w:r>
            <w:r w:rsidR="00C913E5" w:rsidRPr="00660E60">
              <w:rPr>
                <w:rFonts w:ascii="Arial" w:hAnsi="Arial" w:cs="Arial"/>
                <w:sz w:val="20"/>
                <w:szCs w:val="20"/>
              </w:rPr>
              <w:t xml:space="preserve"> or tenders with Vox Telecommunications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Security equipment and installation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R44 319.78</w:t>
            </w:r>
          </w:p>
        </w:tc>
        <w:tc>
          <w:tcPr>
            <w:tcW w:w="1560" w:type="dxa"/>
            <w:shd w:val="clear" w:color="auto" w:fill="FFFFFF" w:themeFill="background1"/>
          </w:tcPr>
          <w:p w:rsidR="00E158C3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25/03/2015</w:t>
            </w:r>
          </w:p>
          <w:p w:rsidR="00C913E5" w:rsidRPr="00660E60" w:rsidRDefault="008D49D7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(Once off)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The Accounting Authority of the National Consumer Commission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4C74E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Yes, it was in</w:t>
            </w:r>
            <w:r w:rsidR="00C913E5"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with</w:t>
            </w:r>
            <w:r w:rsidR="00C913E5"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the National with all National Treasury and Departmental Procurement guidelines</w:t>
            </w:r>
          </w:p>
        </w:tc>
      </w:tr>
      <w:tr w:rsidR="00E615E6" w:rsidRPr="00660E60" w:rsidTr="003C4682">
        <w:trPr>
          <w:trHeight w:val="1263"/>
        </w:trPr>
        <w:tc>
          <w:tcPr>
            <w:tcW w:w="2127" w:type="dxa"/>
            <w:shd w:val="clear" w:color="auto" w:fill="FFFFFF" w:themeFill="background1"/>
          </w:tcPr>
          <w:p w:rsidR="00C913E5" w:rsidRPr="00660E60" w:rsidRDefault="00604626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Consumer Tribunal (NCT)</w:t>
            </w:r>
          </w:p>
        </w:tc>
        <w:tc>
          <w:tcPr>
            <w:tcW w:w="2126" w:type="dxa"/>
            <w:shd w:val="clear" w:color="auto" w:fill="FFFFFF" w:themeFill="background1"/>
          </w:tcPr>
          <w:p w:rsidR="00C913E5" w:rsidRPr="00660E60" w:rsidRDefault="00C913E5" w:rsidP="00E1358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 NCT had no contracts or tenders between 2009 – 2018 with the listed companies</w:t>
            </w:r>
          </w:p>
        </w:tc>
        <w:tc>
          <w:tcPr>
            <w:tcW w:w="2126" w:type="dxa"/>
            <w:shd w:val="clear" w:color="auto" w:fill="FFFFFF" w:themeFill="background1"/>
          </w:tcPr>
          <w:p w:rsidR="00E1358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Not</w:t>
            </w:r>
          </w:p>
          <w:p w:rsidR="00F3463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59" w:type="dxa"/>
            <w:shd w:val="clear" w:color="auto" w:fill="FFFFFF" w:themeFill="background1"/>
          </w:tcPr>
          <w:p w:rsidR="00E1358C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C913E5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60" w:type="dxa"/>
            <w:shd w:val="clear" w:color="auto" w:fill="FFFFFF" w:themeFill="background1"/>
          </w:tcPr>
          <w:p w:rsidR="00E1358C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C913E5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8C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  <w:p w:rsidR="00A40E1E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t applicable</w:t>
            </w:r>
          </w:p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C913E5" w:rsidRPr="00660E60" w:rsidRDefault="00C913E5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</w:tr>
      <w:tr w:rsidR="00E615E6" w:rsidRPr="00660E60" w:rsidTr="003C4682">
        <w:trPr>
          <w:trHeight w:val="1076"/>
        </w:trPr>
        <w:tc>
          <w:tcPr>
            <w:tcW w:w="2127" w:type="dxa"/>
            <w:shd w:val="clear" w:color="auto" w:fill="FFFFFF" w:themeFill="background1"/>
          </w:tcPr>
          <w:p w:rsidR="00042F57" w:rsidRPr="00660E60" w:rsidRDefault="00042F57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Credit Regulator (NCR)</w:t>
            </w:r>
          </w:p>
        </w:tc>
        <w:tc>
          <w:tcPr>
            <w:tcW w:w="2126" w:type="dxa"/>
            <w:shd w:val="clear" w:color="auto" w:fill="FFFFFF" w:themeFill="background1"/>
          </w:tcPr>
          <w:p w:rsidR="00042F57" w:rsidRPr="00660E60" w:rsidRDefault="004C74ED" w:rsidP="00E1358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NCR had a contract or tender</w:t>
            </w:r>
            <w:r w:rsidR="00042F57" w:rsidRPr="00660E60">
              <w:rPr>
                <w:rFonts w:ascii="Arial" w:hAnsi="Arial" w:cs="Arial"/>
                <w:sz w:val="20"/>
                <w:szCs w:val="20"/>
              </w:rPr>
              <w:t xml:space="preserve"> with Vox Telecommunications</w:t>
            </w:r>
          </w:p>
        </w:tc>
        <w:tc>
          <w:tcPr>
            <w:tcW w:w="2126" w:type="dxa"/>
            <w:shd w:val="clear" w:color="auto" w:fill="FFFFFF" w:themeFill="background1"/>
          </w:tcPr>
          <w:p w:rsidR="00042F57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E-mail archiving services</w:t>
            </w:r>
          </w:p>
        </w:tc>
        <w:tc>
          <w:tcPr>
            <w:tcW w:w="1559" w:type="dxa"/>
            <w:shd w:val="clear" w:color="auto" w:fill="FFFFFF" w:themeFill="background1"/>
          </w:tcPr>
          <w:p w:rsidR="00042F57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R767 517.74</w:t>
            </w:r>
          </w:p>
        </w:tc>
        <w:tc>
          <w:tcPr>
            <w:tcW w:w="1560" w:type="dxa"/>
            <w:shd w:val="clear" w:color="auto" w:fill="FFFFFF" w:themeFill="background1"/>
          </w:tcPr>
          <w:p w:rsidR="00241CDB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01/07/2015-30/06/2018</w:t>
            </w:r>
          </w:p>
          <w:p w:rsidR="009A50DD" w:rsidRPr="00660E60" w:rsidRDefault="00241CDB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(</w:t>
            </w:r>
            <w:r w:rsidR="009A50DD" w:rsidRPr="00660E60">
              <w:rPr>
                <w:rFonts w:ascii="Arial" w:hAnsi="Arial" w:cs="Arial"/>
                <w:sz w:val="20"/>
                <w:szCs w:val="20"/>
              </w:rPr>
              <w:t>3 Years)</w:t>
            </w:r>
          </w:p>
        </w:tc>
        <w:tc>
          <w:tcPr>
            <w:tcW w:w="2268" w:type="dxa"/>
            <w:shd w:val="clear" w:color="auto" w:fill="FFFFFF" w:themeFill="background1"/>
          </w:tcPr>
          <w:p w:rsidR="00042F57" w:rsidRPr="00660E60" w:rsidRDefault="00042F57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The adjudication committee approved the award of the tender and the Accounting Officer approved the contract</w:t>
            </w:r>
          </w:p>
        </w:tc>
        <w:tc>
          <w:tcPr>
            <w:tcW w:w="2693" w:type="dxa"/>
            <w:shd w:val="clear" w:color="auto" w:fill="FFFFFF" w:themeFill="background1"/>
          </w:tcPr>
          <w:p w:rsidR="00042F57" w:rsidRPr="00660E60" w:rsidRDefault="00042F57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Ye</w:t>
            </w:r>
            <w:r w:rsidR="00AE4DE7" w:rsidRPr="00660E60">
              <w:rPr>
                <w:rFonts w:ascii="Arial" w:hAnsi="Arial" w:cs="Arial"/>
                <w:sz w:val="20"/>
                <w:szCs w:val="20"/>
                <w:lang w:val="en-ZA"/>
              </w:rPr>
              <w:t>s</w:t>
            </w: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, it was included in the procurement plan, advertised for 21 days in the tender bulletin, evaluated by the Bid Evaluation Committee; recommended for approval by the Committee and approved by the Accounting Authority</w:t>
            </w:r>
          </w:p>
        </w:tc>
      </w:tr>
      <w:tr w:rsidR="00E615E6" w:rsidRPr="00660E60" w:rsidTr="003C4682">
        <w:trPr>
          <w:trHeight w:val="1244"/>
        </w:trPr>
        <w:tc>
          <w:tcPr>
            <w:tcW w:w="2127" w:type="dxa"/>
            <w:shd w:val="clear" w:color="auto" w:fill="FFFFFF" w:themeFill="background1"/>
          </w:tcPr>
          <w:p w:rsidR="00A97E4D" w:rsidRPr="00660E60" w:rsidRDefault="00A97E4D" w:rsidP="00E615E6">
            <w:pPr>
              <w:spacing w:after="0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Empowerment Fund (NEF)</w:t>
            </w:r>
          </w:p>
        </w:tc>
        <w:tc>
          <w:tcPr>
            <w:tcW w:w="2126" w:type="dxa"/>
            <w:shd w:val="clear" w:color="auto" w:fill="FFFFFF" w:themeFill="background1"/>
          </w:tcPr>
          <w:p w:rsidR="00A97E4D" w:rsidRPr="00660E60" w:rsidRDefault="00A97E4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 NEF had no contracts or tenders between 2009 – 2018 with the listed companies</w:t>
            </w:r>
          </w:p>
        </w:tc>
        <w:tc>
          <w:tcPr>
            <w:tcW w:w="2126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A97E4D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59" w:type="dxa"/>
            <w:shd w:val="clear" w:color="auto" w:fill="FFFFFF" w:themeFill="background1"/>
          </w:tcPr>
          <w:p w:rsidR="00E1358C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A97E4D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60" w:type="dxa"/>
            <w:shd w:val="clear" w:color="auto" w:fill="FFFFFF" w:themeFill="background1"/>
          </w:tcPr>
          <w:p w:rsidR="00E1358C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A97E4D" w:rsidRPr="00660E60" w:rsidRDefault="00A97E4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A97E4D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Not</w:t>
            </w:r>
          </w:p>
          <w:p w:rsidR="00A97E4D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applicable</w:t>
            </w:r>
          </w:p>
        </w:tc>
      </w:tr>
      <w:tr w:rsidR="00E615E6" w:rsidRPr="00660E60" w:rsidTr="003C4682">
        <w:trPr>
          <w:trHeight w:val="1387"/>
        </w:trPr>
        <w:tc>
          <w:tcPr>
            <w:tcW w:w="2127" w:type="dxa"/>
            <w:shd w:val="clear" w:color="auto" w:fill="FFFFFF" w:themeFill="background1"/>
          </w:tcPr>
          <w:p w:rsidR="00F3463C" w:rsidRPr="00660E60" w:rsidRDefault="00604626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Gambling Board (NGB)</w:t>
            </w:r>
          </w:p>
        </w:tc>
        <w:tc>
          <w:tcPr>
            <w:tcW w:w="2126" w:type="dxa"/>
            <w:shd w:val="clear" w:color="auto" w:fill="FFFFFF" w:themeFill="background1"/>
          </w:tcPr>
          <w:p w:rsidR="00F3463C" w:rsidRPr="00660E60" w:rsidRDefault="008D49D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 NGB had no contracts or tenders between 2009 – 2018 with the listed companies</w:t>
            </w:r>
          </w:p>
        </w:tc>
        <w:tc>
          <w:tcPr>
            <w:tcW w:w="2126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Not</w:t>
            </w:r>
          </w:p>
          <w:p w:rsidR="00F3463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applicable</w:t>
            </w:r>
          </w:p>
        </w:tc>
        <w:tc>
          <w:tcPr>
            <w:tcW w:w="1559" w:type="dxa"/>
            <w:shd w:val="clear" w:color="auto" w:fill="FFFFFF" w:themeFill="background1"/>
          </w:tcPr>
          <w:p w:rsidR="00E1358C" w:rsidRPr="00660E60" w:rsidRDefault="00E615E6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604626" w:rsidRPr="00660E60" w:rsidRDefault="00E615E6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</w:t>
            </w:r>
            <w:r w:rsidR="00F3463C" w:rsidRPr="00660E60">
              <w:rPr>
                <w:rFonts w:ascii="Arial" w:hAnsi="Arial" w:cs="Arial"/>
                <w:sz w:val="20"/>
                <w:szCs w:val="20"/>
                <w:lang w:val="en-ZA"/>
              </w:rPr>
              <w:t>pplicable</w:t>
            </w:r>
          </w:p>
          <w:p w:rsidR="00F3463C" w:rsidRPr="00660E60" w:rsidRDefault="00F3463C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1358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8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</w:tr>
      <w:tr w:rsidR="00E615E6" w:rsidRPr="00660E60" w:rsidTr="003C4682">
        <w:trPr>
          <w:trHeight w:val="1076"/>
        </w:trPr>
        <w:tc>
          <w:tcPr>
            <w:tcW w:w="2127" w:type="dxa"/>
            <w:shd w:val="clear" w:color="auto" w:fill="FFFFFF" w:themeFill="background1"/>
          </w:tcPr>
          <w:p w:rsidR="00F3463C" w:rsidRPr="00660E60" w:rsidRDefault="00F3463C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Lotteries Commission (NLC)</w:t>
            </w:r>
          </w:p>
        </w:tc>
        <w:tc>
          <w:tcPr>
            <w:tcW w:w="2126" w:type="dxa"/>
            <w:shd w:val="clear" w:color="auto" w:fill="FFFFFF" w:themeFill="background1"/>
          </w:tcPr>
          <w:p w:rsidR="00F3463C" w:rsidRPr="00660E60" w:rsidRDefault="008D49D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</w:t>
            </w:r>
            <w:r w:rsidR="004C7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E60">
              <w:rPr>
                <w:rFonts w:ascii="Arial" w:hAnsi="Arial" w:cs="Arial"/>
                <w:sz w:val="20"/>
                <w:szCs w:val="20"/>
              </w:rPr>
              <w:t>NLC had no contracts or tenders between 2009 – 2018 with the listed companies</w:t>
            </w:r>
          </w:p>
        </w:tc>
        <w:tc>
          <w:tcPr>
            <w:tcW w:w="2126" w:type="dxa"/>
            <w:shd w:val="clear" w:color="auto" w:fill="FFFFFF" w:themeFill="background1"/>
          </w:tcPr>
          <w:p w:rsidR="00E1358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F3463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1559" w:type="dxa"/>
            <w:shd w:val="clear" w:color="auto" w:fill="FFFFFF" w:themeFill="background1"/>
          </w:tcPr>
          <w:p w:rsidR="00E1358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F3463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1560" w:type="dxa"/>
            <w:shd w:val="clear" w:color="auto" w:fill="FFFFFF" w:themeFill="background1"/>
          </w:tcPr>
          <w:p w:rsidR="00E1358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F3463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8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F3463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Not </w:t>
            </w:r>
          </w:p>
          <w:p w:rsidR="00F3463C" w:rsidRPr="00660E60" w:rsidRDefault="009A50DD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E615E6" w:rsidRPr="00660E60" w:rsidTr="003C4682">
        <w:trPr>
          <w:trHeight w:val="137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63C" w:rsidRPr="00660E60" w:rsidRDefault="00F3463C" w:rsidP="00E615E6">
            <w:pPr>
              <w:spacing w:after="0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Metrology Institute of South Africa  (NMISA)</w:t>
            </w:r>
          </w:p>
        </w:tc>
        <w:tc>
          <w:tcPr>
            <w:tcW w:w="2126" w:type="dxa"/>
            <w:shd w:val="clear" w:color="auto" w:fill="FFFFFF" w:themeFill="background1"/>
          </w:tcPr>
          <w:p w:rsidR="00F3463C" w:rsidRPr="00660E60" w:rsidRDefault="008D49D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 NMISA had no contracts or tenders between 2009 – 2018 with the listed companies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58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358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Not</w:t>
            </w:r>
          </w:p>
          <w:p w:rsidR="00F3463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Not</w:t>
            </w:r>
          </w:p>
          <w:p w:rsidR="00F3463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applicable</w:t>
            </w:r>
          </w:p>
        </w:tc>
      </w:tr>
      <w:tr w:rsidR="00E615E6" w:rsidRPr="00660E60" w:rsidTr="003C4682">
        <w:trPr>
          <w:trHeight w:val="1383"/>
        </w:trPr>
        <w:tc>
          <w:tcPr>
            <w:tcW w:w="2127" w:type="dxa"/>
            <w:shd w:val="clear" w:color="auto" w:fill="FFFFFF" w:themeFill="background1"/>
          </w:tcPr>
          <w:p w:rsidR="00F3463C" w:rsidRPr="00660E60" w:rsidRDefault="00F3463C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National Regulator For Compulsory Specifications (NRCS)</w:t>
            </w:r>
          </w:p>
        </w:tc>
        <w:tc>
          <w:tcPr>
            <w:tcW w:w="2126" w:type="dxa"/>
            <w:shd w:val="clear" w:color="auto" w:fill="FFFFFF" w:themeFill="background1"/>
          </w:tcPr>
          <w:p w:rsidR="00F3463C" w:rsidRPr="00660E60" w:rsidRDefault="008D49D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The NRCS had no contracts or tenders between 2009 – 2018 with the listed companies</w:t>
            </w:r>
          </w:p>
        </w:tc>
        <w:tc>
          <w:tcPr>
            <w:tcW w:w="2126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Not</w:t>
            </w:r>
          </w:p>
          <w:p w:rsidR="00F3463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applicable</w:t>
            </w:r>
          </w:p>
        </w:tc>
        <w:tc>
          <w:tcPr>
            <w:tcW w:w="1559" w:type="dxa"/>
            <w:shd w:val="clear" w:color="auto" w:fill="FFFFFF" w:themeFill="background1"/>
          </w:tcPr>
          <w:p w:rsidR="00E1358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1560" w:type="dxa"/>
            <w:shd w:val="clear" w:color="auto" w:fill="FFFFFF" w:themeFill="background1"/>
          </w:tcPr>
          <w:p w:rsidR="00E1358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Not</w:t>
            </w:r>
          </w:p>
          <w:p w:rsidR="00F3463C" w:rsidRPr="00660E60" w:rsidRDefault="00F3463C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applicable</w:t>
            </w:r>
          </w:p>
        </w:tc>
        <w:tc>
          <w:tcPr>
            <w:tcW w:w="2268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  <w:tc>
          <w:tcPr>
            <w:tcW w:w="2693" w:type="dxa"/>
            <w:shd w:val="clear" w:color="auto" w:fill="FFFFFF" w:themeFill="background1"/>
          </w:tcPr>
          <w:p w:rsidR="00E1358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Not </w:t>
            </w:r>
          </w:p>
          <w:p w:rsidR="00F3463C" w:rsidRPr="00660E60" w:rsidRDefault="009A50DD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applicable</w:t>
            </w:r>
          </w:p>
        </w:tc>
      </w:tr>
      <w:tr w:rsidR="00E615E6" w:rsidRPr="00660E60" w:rsidTr="003C4682">
        <w:trPr>
          <w:trHeight w:val="110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C913E5" w:rsidP="00E615E6">
            <w:pPr>
              <w:spacing w:after="100" w:afterAutospacing="1" w:line="240" w:lineRule="auto"/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South African Bureau of Standards (SABS)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SABS had </w:t>
            </w:r>
            <w:r w:rsidR="004C74ED">
              <w:rPr>
                <w:rFonts w:ascii="Arial" w:hAnsi="Arial" w:cs="Arial"/>
                <w:sz w:val="20"/>
                <w:szCs w:val="20"/>
              </w:rPr>
              <w:t>a contract or tender</w:t>
            </w:r>
            <w:r w:rsidRPr="00660E60">
              <w:rPr>
                <w:rFonts w:ascii="Arial" w:hAnsi="Arial" w:cs="Arial"/>
                <w:sz w:val="20"/>
                <w:szCs w:val="20"/>
              </w:rPr>
              <w:t xml:space="preserve"> with Vox Telecommunications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E945B6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Procured cell phone call, </w:t>
            </w:r>
            <w:r w:rsidR="00C913E5"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MS gateway and </w:t>
            </w:r>
            <w:proofErr w:type="spellStart"/>
            <w:r w:rsidR="00C913E5" w:rsidRPr="00660E60">
              <w:rPr>
                <w:rFonts w:ascii="Arial" w:hAnsi="Arial" w:cs="Arial"/>
                <w:sz w:val="20"/>
                <w:szCs w:val="20"/>
                <w:lang w:val="en-ZA"/>
              </w:rPr>
              <w:t>Rightfax</w:t>
            </w:r>
            <w:proofErr w:type="spellEnd"/>
            <w:r w:rsidR="00C913E5"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services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5B6" w:rsidRPr="00660E60" w:rsidRDefault="00E158C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R</w:t>
            </w:r>
            <w:r w:rsidR="00E945B6" w:rsidRPr="00660E60">
              <w:rPr>
                <w:rFonts w:ascii="Arial" w:hAnsi="Arial" w:cs="Arial"/>
                <w:sz w:val="20"/>
                <w:szCs w:val="20"/>
                <w:lang w:val="en-ZA"/>
              </w:rPr>
              <w:t>3 477 260.66</w:t>
            </w:r>
          </w:p>
        </w:tc>
        <w:tc>
          <w:tcPr>
            <w:tcW w:w="1560" w:type="dxa"/>
            <w:shd w:val="clear" w:color="auto" w:fill="FFFFFF" w:themeFill="background1"/>
          </w:tcPr>
          <w:p w:rsidR="00C913E5" w:rsidRPr="00660E60" w:rsidRDefault="00E158C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2009-2015</w:t>
            </w:r>
          </w:p>
          <w:p w:rsidR="00E158C3" w:rsidRPr="00660E60" w:rsidRDefault="00E158C3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(6 Years)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E945B6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The CEO, GM</w:t>
            </w:r>
            <w:r w:rsidRPr="00660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Procurement, Procurement manager or the respective business owners.</w:t>
            </w:r>
          </w:p>
        </w:tc>
        <w:tc>
          <w:tcPr>
            <w:tcW w:w="2693" w:type="dxa"/>
            <w:shd w:val="clear" w:color="auto" w:fill="FFFFFF" w:themeFill="background1"/>
          </w:tcPr>
          <w:p w:rsidR="00C913E5" w:rsidRPr="00660E60" w:rsidRDefault="00E945B6" w:rsidP="00E1358C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To the best of our knowledge, the tenders/contracts </w:t>
            </w:r>
            <w:proofErr w:type="gramStart"/>
            <w:r w:rsidR="00E35B49" w:rsidRPr="00660E60">
              <w:rPr>
                <w:rFonts w:ascii="Arial" w:hAnsi="Arial" w:cs="Arial"/>
                <w:sz w:val="20"/>
                <w:szCs w:val="20"/>
                <w:lang w:val="en-ZA"/>
              </w:rPr>
              <w:t>were done</w:t>
            </w:r>
            <w:proofErr w:type="gramEnd"/>
            <w:r w:rsidR="00E35B49" w:rsidRPr="00660E60">
              <w:rPr>
                <w:rFonts w:ascii="Arial" w:hAnsi="Arial" w:cs="Arial"/>
                <w:sz w:val="20"/>
                <w:szCs w:val="20"/>
                <w:lang w:val="en-ZA"/>
              </w:rPr>
              <w:t xml:space="preserve"> in line with National </w:t>
            </w: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Treasury and departmental procurement guidelines.</w:t>
            </w:r>
          </w:p>
        </w:tc>
      </w:tr>
      <w:tr w:rsidR="00E615E6" w:rsidRPr="00660E60" w:rsidTr="003C4682">
        <w:trPr>
          <w:trHeight w:val="123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C913E5" w:rsidP="00E1358C">
            <w:pPr>
              <w:spacing w:after="100" w:afterAutospacing="1" w:line="240" w:lineRule="auto"/>
              <w:contextualSpacing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660E60">
              <w:rPr>
                <w:rFonts w:ascii="Arial" w:hAnsi="Arial" w:cs="Arial"/>
                <w:b/>
                <w:sz w:val="20"/>
                <w:szCs w:val="20"/>
                <w:lang w:val="en-ZA"/>
              </w:rPr>
              <w:t>South African National Accreditation System (SANAS)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13E5" w:rsidRPr="00660E60" w:rsidRDefault="004C74ED" w:rsidP="00E1358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SANAS had a contract or tender</w:t>
            </w:r>
            <w:r w:rsidR="00C913E5" w:rsidRPr="00660E60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8D49D7" w:rsidRPr="00660E60">
              <w:rPr>
                <w:rFonts w:ascii="Arial" w:hAnsi="Arial" w:cs="Arial"/>
                <w:sz w:val="20"/>
                <w:szCs w:val="20"/>
              </w:rPr>
              <w:t>Vox Telecommunication</w:t>
            </w:r>
          </w:p>
        </w:tc>
        <w:tc>
          <w:tcPr>
            <w:tcW w:w="2126" w:type="dxa"/>
            <w:shd w:val="clear" w:color="auto" w:fill="FFFFFF" w:themeFill="background1"/>
          </w:tcPr>
          <w:p w:rsidR="00C913E5" w:rsidRPr="00660E60" w:rsidRDefault="00C913E5" w:rsidP="003C4682">
            <w:pPr>
              <w:spacing w:after="16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  <w:lang w:val="en-ZA"/>
              </w:rPr>
              <w:t>Microsoft Licences</w:t>
            </w:r>
          </w:p>
        </w:tc>
        <w:tc>
          <w:tcPr>
            <w:tcW w:w="1559" w:type="dxa"/>
            <w:shd w:val="clear" w:color="auto" w:fill="FFFFFF" w:themeFill="background1"/>
          </w:tcPr>
          <w:p w:rsidR="00C913E5" w:rsidRPr="00660E60" w:rsidRDefault="00C913E5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R587 308.55</w:t>
            </w:r>
          </w:p>
        </w:tc>
        <w:tc>
          <w:tcPr>
            <w:tcW w:w="1560" w:type="dxa"/>
            <w:shd w:val="clear" w:color="auto" w:fill="FFFFFF" w:themeFill="background1"/>
          </w:tcPr>
          <w:p w:rsidR="003C4682" w:rsidRPr="00660E60" w:rsidRDefault="003C4682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 xml:space="preserve">2018/19 Financial year </w:t>
            </w:r>
          </w:p>
          <w:p w:rsidR="00C913E5" w:rsidRPr="00660E60" w:rsidRDefault="003C4682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(</w:t>
            </w:r>
            <w:r w:rsidR="008D49D7" w:rsidRPr="00660E60">
              <w:rPr>
                <w:rFonts w:ascii="Arial" w:hAnsi="Arial" w:cs="Arial"/>
                <w:sz w:val="20"/>
                <w:szCs w:val="20"/>
              </w:rPr>
              <w:t>One Year</w:t>
            </w:r>
            <w:r w:rsidRPr="00660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C913E5" w:rsidRPr="00660E60" w:rsidRDefault="008D49D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Outcome from open tender process approved by CEO( tenders between R500K TO R1m approved bt CEO)</w:t>
            </w:r>
          </w:p>
        </w:tc>
        <w:tc>
          <w:tcPr>
            <w:tcW w:w="2693" w:type="dxa"/>
            <w:shd w:val="clear" w:color="auto" w:fill="FFFFFF" w:themeFill="background1"/>
          </w:tcPr>
          <w:p w:rsidR="00C913E5" w:rsidRPr="00660E60" w:rsidRDefault="008D49D7" w:rsidP="00E1358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0E60">
              <w:rPr>
                <w:rFonts w:ascii="Arial" w:hAnsi="Arial" w:cs="Arial"/>
                <w:sz w:val="20"/>
                <w:szCs w:val="20"/>
              </w:rPr>
              <w:t>Yes, in terms of SANAS SCM policy as alinged to National Treasury guidelines</w:t>
            </w:r>
          </w:p>
        </w:tc>
      </w:tr>
    </w:tbl>
    <w:p w:rsidR="00210D56" w:rsidRDefault="00210D56" w:rsidP="00210D56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en-ZA"/>
        </w:rPr>
      </w:pPr>
    </w:p>
    <w:p w:rsidR="00210D56" w:rsidRDefault="00210D56" w:rsidP="00210D56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en-ZA"/>
        </w:rPr>
      </w:pPr>
    </w:p>
    <w:p w:rsidR="00604626" w:rsidRPr="00660E60" w:rsidRDefault="00D968E6" w:rsidP="00210D56">
      <w:pPr>
        <w:spacing w:after="0" w:line="240" w:lineRule="auto"/>
        <w:ind w:left="-567"/>
        <w:jc w:val="both"/>
        <w:rPr>
          <w:rFonts w:ascii="Arial" w:hAnsi="Arial" w:cs="Arial"/>
          <w:i/>
          <w:iCs/>
          <w:sz w:val="18"/>
          <w:szCs w:val="18"/>
          <w:lang w:val="en-ZA"/>
        </w:rPr>
      </w:pPr>
      <w:r w:rsidRPr="00660E60">
        <w:rPr>
          <w:rFonts w:ascii="Arial" w:hAnsi="Arial" w:cs="Arial"/>
          <w:i/>
          <w:iCs/>
          <w:sz w:val="18"/>
          <w:szCs w:val="18"/>
          <w:lang w:val="en-ZA"/>
        </w:rPr>
        <w:t>“Except</w:t>
      </w:r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 xml:space="preserve"> as explicitly state herein the Ministry: Department of Trade and Industry </w:t>
      </w:r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>(the</w:t>
      </w:r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 xml:space="preserve"> </w:t>
      </w:r>
      <w:proofErr w:type="spellStart"/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>dti</w:t>
      </w:r>
      <w:proofErr w:type="spellEnd"/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>)</w:t>
      </w:r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 xml:space="preserve"> does not express an opinion in respect of any factual representations. The opinion /memo </w:t>
      </w:r>
      <w:r w:rsidR="00F3463C" w:rsidRPr="00660E60">
        <w:rPr>
          <w:rFonts w:ascii="Arial" w:hAnsi="Arial" w:cs="Arial"/>
          <w:i/>
          <w:iCs/>
          <w:sz w:val="18"/>
          <w:szCs w:val="18"/>
          <w:lang w:val="en-ZA"/>
        </w:rPr>
        <w:t>provided is</w:t>
      </w:r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 xml:space="preserve"> limited to the matters stated in it and may not be relied on upon by any person outside </w:t>
      </w:r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 xml:space="preserve">the </w:t>
      </w:r>
      <w:proofErr w:type="spellStart"/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>dti</w:t>
      </w:r>
      <w:proofErr w:type="spellEnd"/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 xml:space="preserve"> or used for any other purpose neither in its intent or existence. It </w:t>
      </w:r>
      <w:proofErr w:type="gramStart"/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>must not be disclosed</w:t>
      </w:r>
      <w:proofErr w:type="gramEnd"/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 xml:space="preserve"> to any other person without prior written approval other than by law. Nothing contained herein shall be construed as limiting the rights of </w:t>
      </w:r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 xml:space="preserve">the </w:t>
      </w:r>
      <w:proofErr w:type="spellStart"/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>dti</w:t>
      </w:r>
      <w:proofErr w:type="spellEnd"/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 xml:space="preserve"> to defend or oppose any claim or action against </w:t>
      </w:r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 xml:space="preserve">the </w:t>
      </w:r>
      <w:proofErr w:type="spellStart"/>
      <w:r w:rsidR="00B03A6C" w:rsidRPr="00660E60">
        <w:rPr>
          <w:rFonts w:ascii="Arial" w:hAnsi="Arial" w:cs="Arial"/>
          <w:b/>
          <w:bCs/>
          <w:i/>
          <w:iCs/>
          <w:sz w:val="18"/>
          <w:szCs w:val="18"/>
          <w:lang w:val="en-ZA"/>
        </w:rPr>
        <w:t>dti</w:t>
      </w:r>
      <w:proofErr w:type="spellEnd"/>
      <w:r w:rsidR="00B03A6C" w:rsidRPr="00660E60">
        <w:rPr>
          <w:rFonts w:ascii="Arial" w:hAnsi="Arial" w:cs="Arial"/>
          <w:i/>
          <w:iCs/>
          <w:sz w:val="18"/>
          <w:szCs w:val="18"/>
          <w:lang w:val="en-ZA"/>
        </w:rPr>
        <w:t>."</w:t>
      </w:r>
    </w:p>
    <w:p w:rsidR="00E615E6" w:rsidRPr="00210D56" w:rsidRDefault="00E615E6" w:rsidP="00210D56">
      <w:pPr>
        <w:spacing w:after="0" w:line="240" w:lineRule="auto"/>
        <w:ind w:left="-567"/>
        <w:jc w:val="both"/>
        <w:rPr>
          <w:rFonts w:ascii="Arial" w:hAnsi="Arial" w:cs="Arial"/>
          <w:i/>
          <w:iCs/>
          <w:lang w:val="en-ZA"/>
        </w:rPr>
      </w:pPr>
    </w:p>
    <w:p w:rsidR="00E615E6" w:rsidRDefault="00E615E6" w:rsidP="00B03A6C">
      <w:pPr>
        <w:spacing w:after="0" w:line="240" w:lineRule="auto"/>
        <w:jc w:val="both"/>
        <w:rPr>
          <w:rFonts w:ascii="Arial" w:eastAsia="Arial Unicode MS" w:hAnsi="Arial" w:cs="Arial"/>
          <w:lang w:val="en-ZA"/>
        </w:rPr>
      </w:pPr>
    </w:p>
    <w:p w:rsidR="004C1BAF" w:rsidRPr="00E30CE6" w:rsidRDefault="004C1BAF" w:rsidP="00E27552">
      <w:pPr>
        <w:spacing w:after="0" w:line="240" w:lineRule="auto"/>
        <w:rPr>
          <w:rFonts w:ascii="Arial" w:hAnsi="Arial" w:cs="Arial"/>
        </w:rPr>
      </w:pPr>
    </w:p>
    <w:sectPr w:rsidR="004C1BAF" w:rsidRPr="00E30CE6" w:rsidSect="00210D5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80" w:rsidRDefault="00903480" w:rsidP="002218F0">
      <w:pPr>
        <w:spacing w:after="0" w:line="240" w:lineRule="auto"/>
      </w:pPr>
      <w:r>
        <w:separator/>
      </w:r>
    </w:p>
  </w:endnote>
  <w:endnote w:type="continuationSeparator" w:id="0">
    <w:p w:rsidR="00903480" w:rsidRDefault="00903480" w:rsidP="0022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80" w:rsidRDefault="00903480" w:rsidP="002218F0">
      <w:pPr>
        <w:spacing w:after="0" w:line="240" w:lineRule="auto"/>
      </w:pPr>
      <w:r>
        <w:separator/>
      </w:r>
    </w:p>
  </w:footnote>
  <w:footnote w:type="continuationSeparator" w:id="0">
    <w:p w:rsidR="00903480" w:rsidRDefault="00903480" w:rsidP="0022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57A2"/>
    <w:multiLevelType w:val="hybridMultilevel"/>
    <w:tmpl w:val="648CA4D2"/>
    <w:lvl w:ilvl="0" w:tplc="5DECC0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B6CDA"/>
    <w:multiLevelType w:val="hybridMultilevel"/>
    <w:tmpl w:val="635E8270"/>
    <w:lvl w:ilvl="0" w:tplc="D3BA1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48"/>
    <w:rsid w:val="0002638E"/>
    <w:rsid w:val="00030FC3"/>
    <w:rsid w:val="00042F57"/>
    <w:rsid w:val="000B0E0B"/>
    <w:rsid w:val="001365B3"/>
    <w:rsid w:val="00145B93"/>
    <w:rsid w:val="00172453"/>
    <w:rsid w:val="001845C7"/>
    <w:rsid w:val="00184A95"/>
    <w:rsid w:val="001F1278"/>
    <w:rsid w:val="00210D56"/>
    <w:rsid w:val="002218F0"/>
    <w:rsid w:val="00241CDB"/>
    <w:rsid w:val="00247252"/>
    <w:rsid w:val="00290025"/>
    <w:rsid w:val="002C28D1"/>
    <w:rsid w:val="002E2E15"/>
    <w:rsid w:val="003033BF"/>
    <w:rsid w:val="00315714"/>
    <w:rsid w:val="00361076"/>
    <w:rsid w:val="00363CE1"/>
    <w:rsid w:val="003B7B9E"/>
    <w:rsid w:val="003C4682"/>
    <w:rsid w:val="0041330F"/>
    <w:rsid w:val="004C1BAF"/>
    <w:rsid w:val="004C74ED"/>
    <w:rsid w:val="004D36E5"/>
    <w:rsid w:val="004E3348"/>
    <w:rsid w:val="004E5053"/>
    <w:rsid w:val="005072AA"/>
    <w:rsid w:val="00527944"/>
    <w:rsid w:val="00564E83"/>
    <w:rsid w:val="0058460B"/>
    <w:rsid w:val="00587EC8"/>
    <w:rsid w:val="005D3FF2"/>
    <w:rsid w:val="005E31B8"/>
    <w:rsid w:val="00604626"/>
    <w:rsid w:val="00610F76"/>
    <w:rsid w:val="00615E12"/>
    <w:rsid w:val="00633179"/>
    <w:rsid w:val="00633DFE"/>
    <w:rsid w:val="0065330D"/>
    <w:rsid w:val="006535E3"/>
    <w:rsid w:val="00660E60"/>
    <w:rsid w:val="006E6471"/>
    <w:rsid w:val="00717E83"/>
    <w:rsid w:val="00737798"/>
    <w:rsid w:val="00755A5E"/>
    <w:rsid w:val="00780130"/>
    <w:rsid w:val="007A4317"/>
    <w:rsid w:val="007E2CE3"/>
    <w:rsid w:val="008336DD"/>
    <w:rsid w:val="008A5AA7"/>
    <w:rsid w:val="008D49D7"/>
    <w:rsid w:val="008F4992"/>
    <w:rsid w:val="00903480"/>
    <w:rsid w:val="00907FCE"/>
    <w:rsid w:val="00950609"/>
    <w:rsid w:val="009659D5"/>
    <w:rsid w:val="00993AF5"/>
    <w:rsid w:val="009A50DD"/>
    <w:rsid w:val="009A68DF"/>
    <w:rsid w:val="009D6048"/>
    <w:rsid w:val="009F6CDE"/>
    <w:rsid w:val="00A1004D"/>
    <w:rsid w:val="00A40E1E"/>
    <w:rsid w:val="00A62CB3"/>
    <w:rsid w:val="00A863FF"/>
    <w:rsid w:val="00A97E4D"/>
    <w:rsid w:val="00AE4DE7"/>
    <w:rsid w:val="00B03A6C"/>
    <w:rsid w:val="00B26DD7"/>
    <w:rsid w:val="00B6370E"/>
    <w:rsid w:val="00B77B86"/>
    <w:rsid w:val="00BB1767"/>
    <w:rsid w:val="00C002BB"/>
    <w:rsid w:val="00C35DD0"/>
    <w:rsid w:val="00C53016"/>
    <w:rsid w:val="00C913E5"/>
    <w:rsid w:val="00CA3476"/>
    <w:rsid w:val="00D1601C"/>
    <w:rsid w:val="00D4186A"/>
    <w:rsid w:val="00D968E6"/>
    <w:rsid w:val="00DB1F45"/>
    <w:rsid w:val="00DC386A"/>
    <w:rsid w:val="00E1358C"/>
    <w:rsid w:val="00E158C3"/>
    <w:rsid w:val="00E24E34"/>
    <w:rsid w:val="00E27552"/>
    <w:rsid w:val="00E3099D"/>
    <w:rsid w:val="00E30CE6"/>
    <w:rsid w:val="00E32DCB"/>
    <w:rsid w:val="00E35B49"/>
    <w:rsid w:val="00E42130"/>
    <w:rsid w:val="00E45098"/>
    <w:rsid w:val="00E615E6"/>
    <w:rsid w:val="00E62899"/>
    <w:rsid w:val="00E637F3"/>
    <w:rsid w:val="00E945B6"/>
    <w:rsid w:val="00EA5B9E"/>
    <w:rsid w:val="00ED3592"/>
    <w:rsid w:val="00EE5115"/>
    <w:rsid w:val="00EE7C36"/>
    <w:rsid w:val="00F13250"/>
    <w:rsid w:val="00F3463C"/>
    <w:rsid w:val="00F8567B"/>
    <w:rsid w:val="00F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CF2380"/>
  <w15:docId w15:val="{720B60A3-BA11-4847-8FFB-D0E4175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7B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F0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22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F0"/>
    <w:rPr>
      <w:rFonts w:ascii="Calibri" w:eastAsia="Calibri" w:hAnsi="Calibri" w:cs="Times New Roman"/>
      <w:lang w:val="af-ZA"/>
    </w:rPr>
  </w:style>
  <w:style w:type="paragraph" w:styleId="ListParagraph">
    <w:name w:val="List Paragraph"/>
    <w:basedOn w:val="Normal"/>
    <w:uiPriority w:val="34"/>
    <w:qFormat/>
    <w:rsid w:val="0041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2018-11-08T11:34:00Z</cp:lastPrinted>
  <dcterms:created xsi:type="dcterms:W3CDTF">2018-11-08T06:47:00Z</dcterms:created>
  <dcterms:modified xsi:type="dcterms:W3CDTF">2018-11-08T11:38:00Z</dcterms:modified>
</cp:coreProperties>
</file>