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7F" w:rsidRPr="003D3113" w:rsidRDefault="00DE527F" w:rsidP="00234C8C">
      <w:pPr>
        <w:jc w:val="center"/>
        <w:rPr>
          <w:lang w:val="en-ZA" w:eastAsia="en-US"/>
        </w:rPr>
      </w:pPr>
      <w:bookmarkStart w:id="0" w:name="_Hlk114570365"/>
      <w:r w:rsidRPr="003D3113">
        <w:rPr>
          <w:b/>
          <w:bCs/>
          <w:lang w:val="en-ZA" w:eastAsia="en-US"/>
        </w:rPr>
        <w:t>NATIONAL ASSEMBLY</w:t>
      </w:r>
    </w:p>
    <w:p w:rsidR="00DE527F" w:rsidRPr="003D3113" w:rsidRDefault="00DE527F" w:rsidP="00234C8C">
      <w:pPr>
        <w:jc w:val="center"/>
        <w:rPr>
          <w:b/>
          <w:lang w:val="en-ZA" w:eastAsia="en-US"/>
        </w:rPr>
      </w:pPr>
      <w:r w:rsidRPr="003D3113">
        <w:rPr>
          <w:b/>
          <w:lang w:val="en-ZA" w:eastAsia="en-US"/>
        </w:rPr>
        <w:t>WRITTEN REPLY</w:t>
      </w:r>
    </w:p>
    <w:p w:rsidR="00DE527F" w:rsidRPr="003D3113" w:rsidRDefault="00DE527F" w:rsidP="00234C8C">
      <w:pPr>
        <w:rPr>
          <w:lang w:val="en-ZA" w:eastAsia="en-US"/>
        </w:rPr>
      </w:pPr>
    </w:p>
    <w:p w:rsidR="00DE527F" w:rsidRPr="003D3113" w:rsidRDefault="00DE527F" w:rsidP="00234C8C">
      <w:pPr>
        <w:rPr>
          <w:lang w:val="en-ZA" w:eastAsia="en-US"/>
        </w:rPr>
      </w:pPr>
      <w:r w:rsidRPr="003D3113">
        <w:rPr>
          <w:b/>
          <w:bCs/>
          <w:lang w:val="en-ZA" w:eastAsia="en-US"/>
        </w:rPr>
        <w:t>QUESTION 3263</w:t>
      </w:r>
    </w:p>
    <w:p w:rsidR="00DE527F" w:rsidRPr="003D3113" w:rsidRDefault="00DE527F" w:rsidP="00234C8C">
      <w:pPr>
        <w:rPr>
          <w:lang w:val="en-ZA" w:eastAsia="en-US"/>
        </w:rPr>
      </w:pPr>
      <w:r w:rsidRPr="003D3113">
        <w:rPr>
          <w:lang w:val="en-ZA" w:eastAsia="en-US"/>
        </w:rPr>
        <w:t> </w:t>
      </w:r>
    </w:p>
    <w:p w:rsidR="00DE527F" w:rsidRPr="003D3113" w:rsidRDefault="00DE527F" w:rsidP="00234C8C">
      <w:pPr>
        <w:rPr>
          <w:b/>
          <w:bCs/>
          <w:u w:val="single"/>
          <w:lang w:val="en-ZA" w:eastAsia="en-US"/>
        </w:rPr>
      </w:pPr>
      <w:r w:rsidRPr="003D3113">
        <w:rPr>
          <w:b/>
          <w:bCs/>
          <w:u w:val="single"/>
          <w:lang w:val="en-ZA" w:eastAsia="en-US"/>
        </w:rPr>
        <w:t>INTERNAL QUESTION PAPER [No 33-2022 SIXTH PARLIAMENT]</w:t>
      </w:r>
      <w:r w:rsidRPr="003D3113">
        <w:rPr>
          <w:b/>
          <w:bCs/>
          <w:u w:val="single"/>
          <w:lang w:val="en-ZA" w:eastAsia="en-US"/>
        </w:rPr>
        <w:br/>
        <w:t>DATE OF PUBLICATION:  16 SEPTEMBER 2022</w:t>
      </w:r>
    </w:p>
    <w:p w:rsidR="00DE527F" w:rsidRPr="003D3113" w:rsidRDefault="00DE527F" w:rsidP="00234C8C">
      <w:pPr>
        <w:ind w:left="720" w:hanging="720"/>
        <w:jc w:val="both"/>
        <w:outlineLvl w:val="0"/>
        <w:rPr>
          <w:b/>
          <w:lang w:val="en-US" w:eastAsia="en-US"/>
        </w:rPr>
      </w:pPr>
    </w:p>
    <w:p w:rsidR="00DE527F" w:rsidRPr="003D3113" w:rsidRDefault="00DE527F" w:rsidP="00234C8C">
      <w:pPr>
        <w:jc w:val="both"/>
        <w:outlineLvl w:val="0"/>
        <w:rPr>
          <w:rFonts w:eastAsia="Calibri"/>
          <w:b/>
          <w:lang w:val="en-US" w:eastAsia="en-US"/>
        </w:rPr>
      </w:pPr>
      <w:r w:rsidRPr="003D3113">
        <w:rPr>
          <w:rFonts w:eastAsia="Calibri"/>
          <w:b/>
          <w:lang w:val="en-US" w:eastAsia="en-US"/>
        </w:rPr>
        <w:t>3263.</w:t>
      </w:r>
      <w:r w:rsidRPr="003D3113">
        <w:rPr>
          <w:rFonts w:eastAsia="Calibri"/>
          <w:b/>
          <w:lang w:val="en-US" w:eastAsia="en-US"/>
        </w:rPr>
        <w:tab/>
        <w:t xml:space="preserve">Mr A M </w:t>
      </w:r>
      <w:proofErr w:type="spellStart"/>
      <w:r w:rsidRPr="003D3113">
        <w:rPr>
          <w:rFonts w:eastAsia="Calibri"/>
          <w:b/>
          <w:lang w:val="en-US" w:eastAsia="en-US"/>
        </w:rPr>
        <w:t>Shaik</w:t>
      </w:r>
      <w:proofErr w:type="spellEnd"/>
      <w:r w:rsidRPr="003D3113">
        <w:rPr>
          <w:rFonts w:eastAsia="Calibri"/>
          <w:b/>
          <w:lang w:val="en-US" w:eastAsia="en-US"/>
        </w:rPr>
        <w:t xml:space="preserve"> </w:t>
      </w:r>
      <w:proofErr w:type="spellStart"/>
      <w:r w:rsidRPr="003D3113">
        <w:rPr>
          <w:rFonts w:eastAsia="Calibri"/>
          <w:b/>
          <w:lang w:val="en-US" w:eastAsia="en-US"/>
        </w:rPr>
        <w:t>Emam</w:t>
      </w:r>
      <w:proofErr w:type="spellEnd"/>
      <w:r w:rsidRPr="003D3113">
        <w:rPr>
          <w:rFonts w:eastAsia="Calibri"/>
          <w:b/>
          <w:lang w:val="en-US" w:eastAsia="en-US"/>
        </w:rPr>
        <w:t xml:space="preserve"> (NFP) to ask the Minister of Agriculture, Land Reform and Rural Development:</w:t>
      </w:r>
    </w:p>
    <w:p w:rsidR="00234C8C" w:rsidRDefault="00234C8C" w:rsidP="00234C8C">
      <w:pPr>
        <w:jc w:val="both"/>
        <w:rPr>
          <w:rFonts w:eastAsia="Calibri"/>
          <w:lang w:val="en-ZA" w:eastAsia="en-US"/>
        </w:rPr>
      </w:pPr>
    </w:p>
    <w:p w:rsidR="00DE527F" w:rsidRPr="003D3113" w:rsidRDefault="00DE527F" w:rsidP="00234C8C">
      <w:pPr>
        <w:jc w:val="both"/>
        <w:rPr>
          <w:rFonts w:eastAsia="Calibri"/>
          <w:b/>
          <w:bCs/>
          <w:lang w:val="en-ZA" w:eastAsia="en-US"/>
        </w:rPr>
      </w:pPr>
      <w:r w:rsidRPr="003D3113">
        <w:rPr>
          <w:rFonts w:eastAsia="Calibri"/>
          <w:lang w:val="en-ZA" w:eastAsia="en-US"/>
        </w:rPr>
        <w:t>Given the lessons we have learnt as a result of the war between Russia and Ukraine, what is her department doing to increase the production of (a) wheat, (b) maize and (c) other agricultural products to ensure that the Republic is self-sufficient?</w:t>
      </w:r>
      <w:r w:rsidRPr="003D3113">
        <w:rPr>
          <w:rFonts w:eastAsia="Calibri"/>
          <w:lang w:val="en-ZA" w:eastAsia="en-US"/>
        </w:rPr>
        <w:tab/>
      </w:r>
      <w:r w:rsidRPr="003D3113">
        <w:rPr>
          <w:rFonts w:eastAsia="Calibri"/>
          <w:b/>
          <w:bCs/>
          <w:lang w:val="en-ZA" w:eastAsia="en-US"/>
        </w:rPr>
        <w:t>NW4040E</w:t>
      </w:r>
    </w:p>
    <w:p w:rsidR="001D33EB" w:rsidRDefault="001D33EB" w:rsidP="00234C8C">
      <w:pPr>
        <w:jc w:val="both"/>
        <w:rPr>
          <w:rFonts w:eastAsia="Calibri"/>
          <w:b/>
          <w:lang w:val="en-ZA" w:eastAsia="en-US"/>
        </w:rPr>
      </w:pPr>
    </w:p>
    <w:p w:rsidR="001D33EB" w:rsidRPr="001D33EB" w:rsidRDefault="001D33EB" w:rsidP="00234C8C">
      <w:pPr>
        <w:jc w:val="both"/>
        <w:rPr>
          <w:rFonts w:eastAsia="Calibri"/>
          <w:b/>
          <w:lang w:val="en-ZA" w:eastAsia="en-US"/>
        </w:rPr>
      </w:pPr>
    </w:p>
    <w:p w:rsidR="00DE527F" w:rsidRPr="001D33EB" w:rsidRDefault="00DE527F" w:rsidP="00234C8C">
      <w:pPr>
        <w:jc w:val="both"/>
        <w:rPr>
          <w:lang w:val="en-US" w:eastAsia="en-US"/>
        </w:rPr>
      </w:pPr>
      <w:r w:rsidRPr="001D33EB">
        <w:rPr>
          <w:rFonts w:eastAsia="Calibri"/>
          <w:b/>
          <w:lang w:val="en-ZA" w:eastAsia="en-US"/>
        </w:rPr>
        <w:t>THE MINISTER OF AGRICULTURE, LAND REFORM AND RURAL DEVELOPMENT:</w:t>
      </w:r>
    </w:p>
    <w:p w:rsidR="00DE527F" w:rsidRPr="001D33EB" w:rsidRDefault="00DE527F" w:rsidP="00234C8C">
      <w:pPr>
        <w:jc w:val="both"/>
        <w:rPr>
          <w:rFonts w:eastAsia="Calibri"/>
          <w:b/>
          <w:lang w:val="en-ZA" w:eastAsia="en-US"/>
        </w:rPr>
      </w:pPr>
    </w:p>
    <w:p w:rsidR="000E4F62" w:rsidRDefault="00DE527F" w:rsidP="00234C8C">
      <w:pPr>
        <w:tabs>
          <w:tab w:val="left" w:pos="142"/>
        </w:tabs>
        <w:jc w:val="both"/>
        <w:rPr>
          <w:rFonts w:eastAsia="Calibri"/>
          <w:bCs/>
          <w:lang w:val="en-ZA" w:eastAsia="en-US"/>
        </w:rPr>
      </w:pPr>
      <w:r w:rsidRPr="001D33EB">
        <w:rPr>
          <w:rFonts w:eastAsia="Calibri"/>
          <w:bCs/>
          <w:lang w:val="en-ZA" w:eastAsia="en-US"/>
        </w:rPr>
        <w:t xml:space="preserve">In order to ensure the production of key grains such as wheat, maize and other </w:t>
      </w:r>
      <w:r w:rsidRPr="001D33EB">
        <w:rPr>
          <w:rFonts w:eastAsia="Calibri"/>
          <w:lang w:val="en-ZA" w:eastAsia="en-US"/>
        </w:rPr>
        <w:t>agricultural products</w:t>
      </w:r>
      <w:r w:rsidRPr="001D33EB">
        <w:rPr>
          <w:rFonts w:eastAsia="Calibri"/>
          <w:bCs/>
          <w:lang w:val="en-ZA" w:eastAsia="en-US"/>
        </w:rPr>
        <w:t xml:space="preserve"> the Department of Agriculture, Land Reform and Rural Development (DALRRD) focuses its efforts on:</w:t>
      </w:r>
    </w:p>
    <w:p w:rsidR="00234C8C" w:rsidRDefault="00DE527F" w:rsidP="00234C8C">
      <w:pPr>
        <w:pStyle w:val="ListParagraph"/>
        <w:numPr>
          <w:ilvl w:val="0"/>
          <w:numId w:val="7"/>
        </w:numPr>
        <w:ind w:left="709" w:hanging="284"/>
        <w:jc w:val="both"/>
        <w:rPr>
          <w:rFonts w:eastAsia="Calibri"/>
          <w:bCs/>
          <w:lang w:val="en-ZA" w:eastAsia="en-US"/>
        </w:rPr>
      </w:pPr>
      <w:r w:rsidRPr="00234C8C">
        <w:rPr>
          <w:rFonts w:eastAsia="Calibri"/>
          <w:bCs/>
          <w:lang w:val="en-ZA" w:eastAsia="en-US"/>
        </w:rPr>
        <w:t>B</w:t>
      </w:r>
      <w:r w:rsidR="00904426" w:rsidRPr="00234C8C">
        <w:rPr>
          <w:rFonts w:eastAsia="Calibri"/>
          <w:bCs/>
          <w:lang w:val="en-ZA" w:eastAsia="en-US"/>
        </w:rPr>
        <w:t>reeding for high-</w:t>
      </w:r>
      <w:r w:rsidRPr="00234C8C">
        <w:rPr>
          <w:rFonts w:eastAsia="Calibri"/>
          <w:bCs/>
          <w:lang w:val="en-ZA" w:eastAsia="en-US"/>
        </w:rPr>
        <w:t>yielding cultivars and distributing production</w:t>
      </w:r>
      <w:r w:rsidR="00422108">
        <w:rPr>
          <w:rFonts w:eastAsia="Calibri"/>
          <w:bCs/>
          <w:lang w:val="en-ZA" w:eastAsia="en-US"/>
        </w:rPr>
        <w:t xml:space="preserve"> </w:t>
      </w:r>
      <w:r w:rsidRPr="00234C8C">
        <w:rPr>
          <w:rFonts w:eastAsia="Calibri"/>
          <w:bCs/>
          <w:lang w:val="en-ZA" w:eastAsia="en-US"/>
        </w:rPr>
        <w:t>guidelines;</w:t>
      </w:r>
    </w:p>
    <w:p w:rsidR="00234C8C" w:rsidRDefault="00DE527F" w:rsidP="00234C8C">
      <w:pPr>
        <w:pStyle w:val="ListParagraph"/>
        <w:numPr>
          <w:ilvl w:val="0"/>
          <w:numId w:val="7"/>
        </w:numPr>
        <w:ind w:left="709" w:hanging="284"/>
        <w:jc w:val="both"/>
        <w:rPr>
          <w:rFonts w:eastAsia="Calibri"/>
          <w:bCs/>
          <w:lang w:val="en-ZA" w:eastAsia="en-US"/>
        </w:rPr>
      </w:pPr>
      <w:r w:rsidRPr="00234C8C">
        <w:rPr>
          <w:rFonts w:eastAsia="Calibri"/>
          <w:bCs/>
          <w:lang w:val="en-ZA" w:eastAsia="en-US"/>
        </w:rPr>
        <w:t xml:space="preserve">Management of plant pests and diseases; </w:t>
      </w:r>
    </w:p>
    <w:p w:rsidR="00234C8C" w:rsidRDefault="00DE527F" w:rsidP="00234C8C">
      <w:pPr>
        <w:pStyle w:val="ListParagraph"/>
        <w:numPr>
          <w:ilvl w:val="0"/>
          <w:numId w:val="7"/>
        </w:numPr>
        <w:ind w:left="709" w:hanging="284"/>
        <w:jc w:val="both"/>
        <w:rPr>
          <w:rFonts w:eastAsia="Calibri"/>
          <w:bCs/>
          <w:lang w:val="en-ZA" w:eastAsia="en-US"/>
        </w:rPr>
      </w:pPr>
      <w:r w:rsidRPr="00234C8C">
        <w:rPr>
          <w:rFonts w:eastAsia="Calibri"/>
          <w:bCs/>
          <w:lang w:val="en-ZA" w:eastAsia="en-US"/>
        </w:rPr>
        <w:t>Release of new varieties with improved performance;</w:t>
      </w:r>
      <w:r w:rsidR="00234C8C" w:rsidRPr="00234C8C">
        <w:rPr>
          <w:rFonts w:eastAsia="Calibri"/>
          <w:bCs/>
          <w:lang w:val="en-ZA" w:eastAsia="en-US"/>
        </w:rPr>
        <w:t xml:space="preserve"> and</w:t>
      </w:r>
    </w:p>
    <w:p w:rsidR="00DE527F" w:rsidRPr="00234C8C" w:rsidRDefault="00DE527F" w:rsidP="00234C8C">
      <w:pPr>
        <w:pStyle w:val="ListParagraph"/>
        <w:numPr>
          <w:ilvl w:val="0"/>
          <w:numId w:val="7"/>
        </w:numPr>
        <w:ind w:left="709" w:hanging="284"/>
        <w:jc w:val="both"/>
        <w:rPr>
          <w:rFonts w:eastAsia="Calibri"/>
          <w:bCs/>
          <w:lang w:val="en-ZA" w:eastAsia="en-US"/>
        </w:rPr>
      </w:pPr>
      <w:r w:rsidRPr="00234C8C">
        <w:rPr>
          <w:rFonts w:eastAsia="Calibri"/>
          <w:bCs/>
          <w:color w:val="000000"/>
          <w:lang w:val="en-ZA" w:eastAsia="en-US"/>
        </w:rPr>
        <w:t>Development support to black producers</w:t>
      </w:r>
      <w:r w:rsidR="00234C8C" w:rsidRPr="00234C8C">
        <w:rPr>
          <w:rFonts w:eastAsia="Calibri"/>
          <w:bCs/>
          <w:color w:val="000000"/>
          <w:lang w:val="en-ZA" w:eastAsia="en-US"/>
        </w:rPr>
        <w:t>.</w:t>
      </w:r>
    </w:p>
    <w:p w:rsidR="00DE527F" w:rsidRPr="001D33EB" w:rsidRDefault="00DE527F" w:rsidP="00234C8C">
      <w:pPr>
        <w:tabs>
          <w:tab w:val="left" w:pos="142"/>
        </w:tabs>
        <w:jc w:val="both"/>
        <w:rPr>
          <w:rFonts w:eastAsia="Calibri"/>
          <w:bCs/>
          <w:i/>
          <w:iCs/>
          <w:lang w:val="en-ZA" w:eastAsia="en-US"/>
        </w:rPr>
      </w:pPr>
    </w:p>
    <w:p w:rsidR="00DE527F" w:rsidRPr="001D33EB" w:rsidRDefault="00DE527F" w:rsidP="00234C8C">
      <w:pPr>
        <w:tabs>
          <w:tab w:val="left" w:pos="142"/>
        </w:tabs>
        <w:jc w:val="both"/>
        <w:rPr>
          <w:rFonts w:eastAsia="Calibri"/>
          <w:b/>
          <w:lang w:val="en-ZA" w:eastAsia="en-US"/>
        </w:rPr>
      </w:pPr>
      <w:r w:rsidRPr="001D33EB">
        <w:rPr>
          <w:rFonts w:eastAsia="Calibri"/>
          <w:b/>
          <w:lang w:val="en-ZA" w:eastAsia="en-US"/>
        </w:rPr>
        <w:t xml:space="preserve">Breeding for </w:t>
      </w:r>
      <w:r w:rsidR="00904426" w:rsidRPr="001D33EB">
        <w:rPr>
          <w:rFonts w:eastAsia="Calibri"/>
          <w:b/>
          <w:lang w:val="en-ZA" w:eastAsia="en-US"/>
        </w:rPr>
        <w:t>high-yielding</w:t>
      </w:r>
      <w:r w:rsidRPr="001D33EB">
        <w:rPr>
          <w:rFonts w:eastAsia="Calibri"/>
          <w:b/>
          <w:lang w:val="en-ZA" w:eastAsia="en-US"/>
        </w:rPr>
        <w:t xml:space="preserve"> cultivars and distributing production guidelines:</w:t>
      </w:r>
    </w:p>
    <w:p w:rsidR="00DE527F" w:rsidRPr="001D33EB" w:rsidRDefault="00DE527F" w:rsidP="00234C8C">
      <w:pPr>
        <w:tabs>
          <w:tab w:val="left" w:pos="142"/>
        </w:tabs>
        <w:jc w:val="both"/>
        <w:rPr>
          <w:rFonts w:eastAsia="Calibri"/>
          <w:b/>
          <w:lang w:val="en-ZA" w:eastAsia="en-US"/>
        </w:rPr>
      </w:pPr>
    </w:p>
    <w:p w:rsidR="00DE527F" w:rsidRPr="001D33EB" w:rsidRDefault="00234C8C" w:rsidP="00234C8C">
      <w:pPr>
        <w:numPr>
          <w:ilvl w:val="0"/>
          <w:numId w:val="1"/>
        </w:numPr>
        <w:tabs>
          <w:tab w:val="left" w:pos="450"/>
        </w:tabs>
        <w:ind w:left="450" w:hanging="450"/>
        <w:jc w:val="both"/>
        <w:rPr>
          <w:rFonts w:eastAsia="Calibri"/>
          <w:bCs/>
          <w:lang w:val="en-ZA" w:eastAsia="en-US"/>
        </w:rPr>
      </w:pPr>
      <w:r>
        <w:rPr>
          <w:rFonts w:eastAsia="Calibri"/>
          <w:bCs/>
          <w:lang w:val="en-ZA" w:eastAsia="en-US"/>
        </w:rPr>
        <w:t xml:space="preserve">DALRRD </w:t>
      </w:r>
      <w:r w:rsidR="00DE527F" w:rsidRPr="001D33EB">
        <w:rPr>
          <w:rFonts w:eastAsia="Calibri"/>
          <w:bCs/>
          <w:lang w:val="en-ZA" w:eastAsia="en-US"/>
        </w:rPr>
        <w:t>together with the Agricultural Research Council (ARC) collaborates with partners and role players across value chains to increase agricultural production and productivity of wheat, maize, and other agricultural products to ensure that the Republic is self-sufficient as follows:</w:t>
      </w:r>
    </w:p>
    <w:p w:rsidR="00DE527F" w:rsidRPr="001D33EB" w:rsidRDefault="00DE527F" w:rsidP="00234C8C">
      <w:pPr>
        <w:numPr>
          <w:ilvl w:val="0"/>
          <w:numId w:val="4"/>
        </w:numPr>
        <w:tabs>
          <w:tab w:val="left" w:pos="720"/>
        </w:tabs>
        <w:ind w:left="567" w:hanging="166"/>
        <w:jc w:val="both"/>
        <w:rPr>
          <w:rFonts w:eastAsia="Calibri"/>
          <w:bCs/>
          <w:lang w:val="en-ZA" w:eastAsia="en-US"/>
        </w:rPr>
      </w:pPr>
      <w:r w:rsidRPr="001D33EB">
        <w:rPr>
          <w:rFonts w:eastAsia="Calibri"/>
          <w:bCs/>
          <w:lang w:val="en-ZA" w:eastAsia="en-US"/>
        </w:rPr>
        <w:t xml:space="preserve">Increase local production of wheat and reduce reliance on imports by breeding for </w:t>
      </w:r>
      <w:r w:rsidR="00904426" w:rsidRPr="001D33EB">
        <w:rPr>
          <w:rFonts w:eastAsia="Calibri"/>
          <w:bCs/>
          <w:lang w:val="en-ZA" w:eastAsia="en-US"/>
        </w:rPr>
        <w:t>high-yielding</w:t>
      </w:r>
      <w:r w:rsidRPr="001D33EB">
        <w:rPr>
          <w:rFonts w:eastAsia="Calibri"/>
          <w:bCs/>
          <w:lang w:val="en-ZA" w:eastAsia="en-US"/>
        </w:rPr>
        <w:t xml:space="preserve"> cultivars and distributing production guidelines and making information on cultivar choices widely available to producers across major wheat production areas. Production guidelines give farmers information about cultivars that yield more in their respective production areas. Furthermore, better price on wheat has encouraged more farmers to plant wheat this year than in previous years. Expansion of wheat production and other grains in the Eastern Cape is being pursued with a view to </w:t>
      </w:r>
      <w:r w:rsidR="006668CC" w:rsidRPr="001D33EB">
        <w:rPr>
          <w:rFonts w:eastAsia="Calibri"/>
          <w:bCs/>
          <w:lang w:val="en-ZA" w:eastAsia="en-US"/>
        </w:rPr>
        <w:t>initiate</w:t>
      </w:r>
      <w:r w:rsidRPr="001D33EB">
        <w:rPr>
          <w:rFonts w:eastAsia="Calibri"/>
          <w:bCs/>
          <w:lang w:val="en-ZA" w:eastAsia="en-US"/>
        </w:rPr>
        <w:t xml:space="preserve"> wheat breeding programmes directed at releasi</w:t>
      </w:r>
      <w:r w:rsidR="00904426" w:rsidRPr="001D33EB">
        <w:rPr>
          <w:rFonts w:eastAsia="Calibri"/>
          <w:bCs/>
          <w:lang w:val="en-ZA" w:eastAsia="en-US"/>
        </w:rPr>
        <w:t>ng high-</w:t>
      </w:r>
      <w:r w:rsidRPr="001D33EB">
        <w:rPr>
          <w:rFonts w:eastAsia="Calibri"/>
          <w:bCs/>
          <w:lang w:val="en-ZA" w:eastAsia="en-US"/>
        </w:rPr>
        <w:t>yielding cultivars for the Eastern Cape.</w:t>
      </w:r>
    </w:p>
    <w:p w:rsidR="00DE527F" w:rsidRPr="001D33EB" w:rsidRDefault="00DE527F" w:rsidP="00234C8C">
      <w:pPr>
        <w:tabs>
          <w:tab w:val="left" w:pos="142"/>
        </w:tabs>
        <w:jc w:val="both"/>
        <w:rPr>
          <w:rFonts w:eastAsia="Calibri"/>
          <w:bCs/>
          <w:lang w:val="en-ZA" w:eastAsia="en-US"/>
        </w:rPr>
      </w:pPr>
    </w:p>
    <w:p w:rsidR="00DE527F" w:rsidRPr="001D33EB" w:rsidRDefault="00DE527F" w:rsidP="00234C8C">
      <w:pPr>
        <w:numPr>
          <w:ilvl w:val="0"/>
          <w:numId w:val="1"/>
        </w:numPr>
        <w:tabs>
          <w:tab w:val="left" w:pos="142"/>
        </w:tabs>
        <w:ind w:left="450" w:hanging="450"/>
        <w:jc w:val="both"/>
        <w:rPr>
          <w:rFonts w:eastAsia="Calibri"/>
          <w:bCs/>
          <w:lang w:val="en-ZA" w:eastAsia="en-US"/>
        </w:rPr>
      </w:pPr>
      <w:r w:rsidRPr="001D33EB">
        <w:rPr>
          <w:rFonts w:eastAsia="Calibri"/>
          <w:bCs/>
          <w:lang w:val="en-ZA" w:eastAsia="en-US"/>
        </w:rPr>
        <w:t xml:space="preserve">South Africa is currently self-sufficient in maize and is experiencing increased production levels in other crops such as soybean. The ARC conducts National Cultivar Evaluation Trials on an annual basis in collaboration with seed companies, farmers and other stakeholders to ensure increased production and productivity of key crop commodities. These trials are essential for producers to determine cultivars that are mostly adapted to specific production areas with respect to yield, stability and major pests and diseases and therefore crucial for farmers to make correct cultivar choices. Results are disseminated widely in the form of cultivar recommendation booklets, reports, popular publications as well as the ARC website. Diagnostic services are rendered to producers on soil health, pests and diseases together with information on suitable production practices, </w:t>
      </w:r>
      <w:r w:rsidRPr="001D33EB">
        <w:rPr>
          <w:rFonts w:eastAsia="Calibri"/>
          <w:bCs/>
          <w:lang w:val="en-ZA" w:eastAsia="en-US"/>
        </w:rPr>
        <w:lastRenderedPageBreak/>
        <w:t xml:space="preserve">among others. Regular training services are conducted across provinces focusing on emerging farmers to capacitate them </w:t>
      </w:r>
      <w:r w:rsidRPr="00234C8C">
        <w:rPr>
          <w:rFonts w:eastAsia="Calibri"/>
          <w:bCs/>
          <w:lang w:val="en-ZA" w:eastAsia="en-US"/>
        </w:rPr>
        <w:t xml:space="preserve">on </w:t>
      </w:r>
      <w:r w:rsidR="006668CC" w:rsidRPr="00234C8C">
        <w:rPr>
          <w:rFonts w:eastAsia="Calibri"/>
          <w:bCs/>
          <w:lang w:val="en-ZA" w:eastAsia="en-US"/>
        </w:rPr>
        <w:t xml:space="preserve">the </w:t>
      </w:r>
      <w:r w:rsidRPr="00234C8C">
        <w:rPr>
          <w:rFonts w:eastAsia="Calibri"/>
          <w:bCs/>
          <w:lang w:val="en-ZA" w:eastAsia="en-US"/>
        </w:rPr>
        <w:t xml:space="preserve">efficient and sustainable production of different crops. Emphasis is placed on </w:t>
      </w:r>
      <w:r w:rsidR="006668CC" w:rsidRPr="00234C8C">
        <w:rPr>
          <w:rFonts w:eastAsia="Calibri"/>
          <w:bCs/>
          <w:lang w:val="en-ZA" w:eastAsia="en-US"/>
        </w:rPr>
        <w:t xml:space="preserve">the </w:t>
      </w:r>
      <w:r w:rsidR="006668CC" w:rsidRPr="001D33EB">
        <w:rPr>
          <w:rFonts w:eastAsia="Calibri"/>
          <w:bCs/>
          <w:lang w:val="en-ZA" w:eastAsia="en-US"/>
        </w:rPr>
        <w:t>adoption of climate-</w:t>
      </w:r>
      <w:r w:rsidRPr="001D33EB">
        <w:rPr>
          <w:rFonts w:eastAsia="Calibri"/>
          <w:bCs/>
          <w:lang w:val="en-ZA" w:eastAsia="en-US"/>
        </w:rPr>
        <w:t>smart agricultural practices such as conservation agricul</w:t>
      </w:r>
      <w:r w:rsidR="006668CC" w:rsidRPr="001D33EB">
        <w:rPr>
          <w:rFonts w:eastAsia="Calibri"/>
          <w:bCs/>
          <w:lang w:val="en-ZA" w:eastAsia="en-US"/>
        </w:rPr>
        <w:t>ture and drought-</w:t>
      </w:r>
      <w:r w:rsidRPr="001D33EB">
        <w:rPr>
          <w:rFonts w:eastAsia="Calibri"/>
          <w:bCs/>
          <w:lang w:val="en-ZA" w:eastAsia="en-US"/>
        </w:rPr>
        <w:t>tolerant cultivars. Crop production manuals, such as the Maize Information Guide (MIG), are also available</w:t>
      </w:r>
      <w:r w:rsidR="00234C8C">
        <w:rPr>
          <w:rFonts w:eastAsia="Calibri"/>
          <w:bCs/>
          <w:lang w:val="en-ZA" w:eastAsia="en-US"/>
        </w:rPr>
        <w:t xml:space="preserve"> </w:t>
      </w:r>
      <w:r w:rsidRPr="001D33EB">
        <w:rPr>
          <w:rFonts w:eastAsia="Calibri"/>
          <w:bCs/>
          <w:lang w:val="en-ZA" w:eastAsia="en-US"/>
        </w:rPr>
        <w:t xml:space="preserve">on </w:t>
      </w:r>
      <w:r w:rsidR="00234C8C" w:rsidRPr="001D33EB">
        <w:rPr>
          <w:rFonts w:eastAsia="Calibri"/>
          <w:bCs/>
          <w:lang w:val="en-ZA" w:eastAsia="en-US"/>
        </w:rPr>
        <w:t>cell phone</w:t>
      </w:r>
      <w:r w:rsidRPr="001D33EB">
        <w:rPr>
          <w:rFonts w:eastAsia="Calibri"/>
          <w:bCs/>
          <w:lang w:val="en-ZA" w:eastAsia="en-US"/>
        </w:rPr>
        <w:t xml:space="preserve"> Applications (Apps) and updated regularly.</w:t>
      </w:r>
    </w:p>
    <w:p w:rsidR="00DE527F" w:rsidRPr="001D33EB" w:rsidRDefault="00DE527F" w:rsidP="00234C8C">
      <w:pPr>
        <w:tabs>
          <w:tab w:val="left" w:pos="142"/>
        </w:tabs>
        <w:jc w:val="both"/>
        <w:rPr>
          <w:rFonts w:eastAsia="Calibri"/>
          <w:bCs/>
          <w:lang w:val="en-ZA" w:eastAsia="en-US"/>
        </w:rPr>
      </w:pPr>
    </w:p>
    <w:p w:rsidR="00DE527F" w:rsidRPr="001D33EB" w:rsidRDefault="00DE527F" w:rsidP="00234C8C">
      <w:pPr>
        <w:tabs>
          <w:tab w:val="left" w:pos="142"/>
        </w:tabs>
        <w:jc w:val="both"/>
        <w:rPr>
          <w:rFonts w:eastAsia="Calibri"/>
          <w:b/>
          <w:lang w:val="en-ZA" w:eastAsia="en-US"/>
        </w:rPr>
      </w:pPr>
      <w:r w:rsidRPr="001D33EB">
        <w:rPr>
          <w:rFonts w:eastAsia="Calibri"/>
          <w:b/>
          <w:lang w:val="en-ZA" w:eastAsia="en-US"/>
        </w:rPr>
        <w:t>Management of plant pests and diseases:</w:t>
      </w:r>
    </w:p>
    <w:p w:rsidR="00DE527F" w:rsidRPr="001D33EB" w:rsidRDefault="00DE527F" w:rsidP="00234C8C">
      <w:pPr>
        <w:tabs>
          <w:tab w:val="left" w:pos="142"/>
        </w:tabs>
        <w:jc w:val="both"/>
        <w:rPr>
          <w:rFonts w:eastAsia="Calibri"/>
          <w:b/>
          <w:lang w:val="en-ZA" w:eastAsia="en-US"/>
        </w:rPr>
      </w:pPr>
    </w:p>
    <w:p w:rsidR="00DE527F" w:rsidRPr="00234C8C" w:rsidRDefault="00DE527F" w:rsidP="00234C8C">
      <w:pPr>
        <w:tabs>
          <w:tab w:val="left" w:pos="142"/>
        </w:tabs>
        <w:jc w:val="both"/>
        <w:rPr>
          <w:rFonts w:eastAsia="Calibri"/>
          <w:bCs/>
          <w:lang w:val="en-ZA" w:eastAsia="en-US"/>
        </w:rPr>
      </w:pPr>
      <w:r w:rsidRPr="00234C8C">
        <w:rPr>
          <w:rFonts w:eastAsia="Calibri"/>
          <w:bCs/>
          <w:lang w:val="en-ZA" w:eastAsia="en-US"/>
        </w:rPr>
        <w:t xml:space="preserve">Surveillance for </w:t>
      </w:r>
      <w:proofErr w:type="spellStart"/>
      <w:r w:rsidRPr="00234C8C">
        <w:rPr>
          <w:rFonts w:eastAsia="Calibri"/>
          <w:bCs/>
          <w:lang w:val="en-ZA" w:eastAsia="en-US"/>
        </w:rPr>
        <w:t>Tilletia</w:t>
      </w:r>
      <w:proofErr w:type="spellEnd"/>
      <w:r w:rsidRPr="00234C8C">
        <w:rPr>
          <w:rFonts w:eastAsia="Calibri"/>
          <w:bCs/>
          <w:lang w:val="en-ZA" w:eastAsia="en-US"/>
        </w:rPr>
        <w:t xml:space="preserve"> </w:t>
      </w:r>
      <w:proofErr w:type="spellStart"/>
      <w:r w:rsidRPr="00234C8C">
        <w:rPr>
          <w:rFonts w:eastAsia="Calibri"/>
          <w:bCs/>
          <w:lang w:val="en-ZA" w:eastAsia="en-US"/>
        </w:rPr>
        <w:t>indica</w:t>
      </w:r>
      <w:proofErr w:type="spellEnd"/>
      <w:r w:rsidRPr="00234C8C">
        <w:rPr>
          <w:rFonts w:eastAsia="Calibri"/>
          <w:bCs/>
          <w:lang w:val="en-ZA" w:eastAsia="en-US"/>
        </w:rPr>
        <w:t xml:space="preserve"> (</w:t>
      </w:r>
      <w:proofErr w:type="spellStart"/>
      <w:r w:rsidRPr="00234C8C">
        <w:rPr>
          <w:rFonts w:eastAsia="Calibri"/>
          <w:bCs/>
          <w:lang w:val="en-ZA" w:eastAsia="en-US"/>
        </w:rPr>
        <w:t>Karnal</w:t>
      </w:r>
      <w:proofErr w:type="spellEnd"/>
      <w:r w:rsidRPr="00234C8C">
        <w:rPr>
          <w:rFonts w:eastAsia="Calibri"/>
          <w:bCs/>
          <w:lang w:val="en-ZA" w:eastAsia="en-US"/>
        </w:rPr>
        <w:t xml:space="preserve"> bunt for wheat) is ongoing and all infested areas are placed under quarantine to control the movement of infested host materials in order to reduce the spread of the disease.</w:t>
      </w:r>
      <w:r w:rsidR="00234C8C" w:rsidRPr="00234C8C">
        <w:rPr>
          <w:rFonts w:eastAsia="Calibri"/>
          <w:bCs/>
          <w:lang w:val="en-ZA" w:eastAsia="en-US"/>
        </w:rPr>
        <w:t xml:space="preserve"> </w:t>
      </w:r>
      <w:r w:rsidRPr="00234C8C">
        <w:rPr>
          <w:rFonts w:eastAsia="Calibri"/>
          <w:bCs/>
          <w:lang w:val="en-ZA" w:eastAsia="en-US"/>
        </w:rPr>
        <w:t xml:space="preserve">Regulatory measures are also in place to prevent </w:t>
      </w:r>
      <w:r w:rsidR="006668CC" w:rsidRPr="00234C8C">
        <w:rPr>
          <w:rFonts w:eastAsia="Calibri"/>
          <w:bCs/>
          <w:lang w:val="en-ZA" w:eastAsia="en-US"/>
        </w:rPr>
        <w:t xml:space="preserve">the </w:t>
      </w:r>
      <w:r w:rsidRPr="00234C8C">
        <w:rPr>
          <w:rFonts w:eastAsia="Calibri"/>
          <w:bCs/>
          <w:lang w:val="en-ZA" w:eastAsia="en-US"/>
        </w:rPr>
        <w:t>further spread</w:t>
      </w:r>
      <w:r w:rsidR="00234C8C" w:rsidRPr="00234C8C">
        <w:rPr>
          <w:rFonts w:eastAsia="Calibri"/>
          <w:bCs/>
          <w:lang w:val="en-ZA" w:eastAsia="en-US"/>
        </w:rPr>
        <w:t xml:space="preserve"> and r</w:t>
      </w:r>
      <w:r w:rsidRPr="00234C8C">
        <w:rPr>
          <w:rFonts w:eastAsia="Calibri"/>
          <w:bCs/>
          <w:lang w:val="en-ZA" w:eastAsia="en-US"/>
        </w:rPr>
        <w:t>elease of new varieties with improved performance;</w:t>
      </w:r>
    </w:p>
    <w:p w:rsidR="00DE527F" w:rsidRPr="001D33EB" w:rsidRDefault="00DE527F" w:rsidP="00234C8C">
      <w:pPr>
        <w:tabs>
          <w:tab w:val="left" w:pos="142"/>
        </w:tabs>
        <w:jc w:val="both"/>
        <w:rPr>
          <w:rFonts w:eastAsia="Calibri"/>
          <w:bCs/>
          <w:lang w:val="en-ZA" w:eastAsia="en-US"/>
        </w:rPr>
      </w:pPr>
    </w:p>
    <w:p w:rsidR="00DE527F" w:rsidRPr="00234C8C" w:rsidRDefault="00DE527F" w:rsidP="00234C8C">
      <w:pPr>
        <w:tabs>
          <w:tab w:val="left" w:pos="142"/>
        </w:tabs>
        <w:jc w:val="both"/>
        <w:rPr>
          <w:rFonts w:eastAsia="Calibri"/>
          <w:bCs/>
          <w:lang w:val="en-ZA" w:eastAsia="en-US"/>
        </w:rPr>
      </w:pPr>
      <w:r w:rsidRPr="00234C8C">
        <w:rPr>
          <w:rFonts w:eastAsia="Calibri"/>
          <w:bCs/>
          <w:lang w:val="en-ZA" w:eastAsia="en-US"/>
        </w:rPr>
        <w:t xml:space="preserve">Import measures are in place to reduce the risk of </w:t>
      </w:r>
      <w:r w:rsidR="006668CC" w:rsidRPr="00234C8C">
        <w:rPr>
          <w:rFonts w:eastAsia="Calibri"/>
          <w:bCs/>
          <w:lang w:val="en-ZA" w:eastAsia="en-US"/>
        </w:rPr>
        <w:t xml:space="preserve">the </w:t>
      </w:r>
      <w:r w:rsidRPr="00234C8C">
        <w:rPr>
          <w:rFonts w:eastAsia="Calibri"/>
          <w:bCs/>
          <w:lang w:val="en-ZA" w:eastAsia="en-US"/>
        </w:rPr>
        <w:t>introduction of Maize Lethal Necrosis Disease (MLND) of maize into South Africa.  MLND causes stunting, leaf necrosis, premature plant death, malformed partially filled ears, etc. in maize.</w:t>
      </w:r>
    </w:p>
    <w:p w:rsidR="00DE527F" w:rsidRPr="001D33EB" w:rsidRDefault="00DE527F" w:rsidP="00234C8C">
      <w:pPr>
        <w:tabs>
          <w:tab w:val="left" w:pos="142"/>
        </w:tabs>
        <w:jc w:val="both"/>
        <w:rPr>
          <w:rFonts w:eastAsia="Calibri"/>
          <w:bCs/>
          <w:lang w:val="en-ZA" w:eastAsia="en-US"/>
        </w:rPr>
      </w:pPr>
    </w:p>
    <w:p w:rsidR="00DE527F" w:rsidRPr="001D33EB" w:rsidRDefault="00DE527F" w:rsidP="00234C8C">
      <w:pPr>
        <w:tabs>
          <w:tab w:val="left" w:pos="142"/>
        </w:tabs>
        <w:jc w:val="both"/>
        <w:rPr>
          <w:rFonts w:eastAsia="Calibri"/>
          <w:bCs/>
          <w:lang w:val="en-ZA" w:eastAsia="en-US"/>
        </w:rPr>
      </w:pPr>
      <w:r w:rsidRPr="00234C8C">
        <w:rPr>
          <w:rFonts w:eastAsia="Calibri"/>
          <w:bCs/>
          <w:lang w:val="en-ZA" w:eastAsia="en-US"/>
        </w:rPr>
        <w:t xml:space="preserve">Following the introduction </w:t>
      </w:r>
      <w:r w:rsidR="006668CC" w:rsidRPr="00234C8C">
        <w:rPr>
          <w:rFonts w:eastAsia="Calibri"/>
          <w:bCs/>
          <w:lang w:val="en-ZA" w:eastAsia="en-US"/>
        </w:rPr>
        <w:t xml:space="preserve">of </w:t>
      </w:r>
      <w:r w:rsidR="00234C8C" w:rsidRPr="00234C8C">
        <w:rPr>
          <w:rFonts w:eastAsia="Calibri"/>
          <w:bCs/>
          <w:lang w:val="en-ZA" w:eastAsia="en-US"/>
        </w:rPr>
        <w:t xml:space="preserve">the </w:t>
      </w:r>
      <w:r w:rsidRPr="00234C8C">
        <w:rPr>
          <w:rFonts w:eastAsia="Calibri"/>
          <w:bCs/>
          <w:lang w:val="en-ZA" w:eastAsia="en-US"/>
        </w:rPr>
        <w:t>Fall Armyworm (FAW) in South Africa, the following measures were put in place:</w:t>
      </w:r>
    </w:p>
    <w:p w:rsidR="00234C8C" w:rsidRDefault="00DE527F" w:rsidP="00234C8C">
      <w:pPr>
        <w:pStyle w:val="ListParagraph"/>
        <w:numPr>
          <w:ilvl w:val="0"/>
          <w:numId w:val="4"/>
        </w:numPr>
        <w:ind w:left="567" w:hanging="283"/>
        <w:jc w:val="both"/>
        <w:rPr>
          <w:rFonts w:eastAsia="Calibri"/>
          <w:bCs/>
          <w:lang w:val="en-ZA" w:eastAsia="en-US"/>
        </w:rPr>
      </w:pPr>
      <w:r w:rsidRPr="00727E41">
        <w:rPr>
          <w:rFonts w:eastAsia="Calibri"/>
          <w:bCs/>
          <w:lang w:val="en-ZA" w:eastAsia="en-US"/>
        </w:rPr>
        <w:t xml:space="preserve">Surveillance for FAW was initiated and it ensures early detection of the pest and leads to rapid response. </w:t>
      </w:r>
    </w:p>
    <w:p w:rsidR="00234C8C" w:rsidRDefault="00DE527F" w:rsidP="00234C8C">
      <w:pPr>
        <w:pStyle w:val="ListParagraph"/>
        <w:numPr>
          <w:ilvl w:val="0"/>
          <w:numId w:val="4"/>
        </w:numPr>
        <w:ind w:left="567" w:hanging="283"/>
        <w:jc w:val="both"/>
        <w:rPr>
          <w:rFonts w:eastAsia="Calibri"/>
          <w:bCs/>
          <w:lang w:val="en-ZA" w:eastAsia="en-US"/>
        </w:rPr>
      </w:pPr>
      <w:r w:rsidRPr="00234C8C">
        <w:rPr>
          <w:rFonts w:eastAsia="Calibri"/>
          <w:bCs/>
          <w:lang w:val="en-ZA" w:eastAsia="en-US"/>
        </w:rPr>
        <w:t>As collaboration is important in dealing with emergency response to plant pests, a steering committee, comprising of DALRRD, provincial departments, scientists and other industry role players, was formed and it meets regularly. The steering committee discusses</w:t>
      </w:r>
      <w:r w:rsidR="006668CC" w:rsidRPr="00234C8C">
        <w:rPr>
          <w:rFonts w:eastAsia="Calibri"/>
          <w:bCs/>
          <w:lang w:val="en-ZA" w:eastAsia="en-US"/>
        </w:rPr>
        <w:t xml:space="preserve"> </w:t>
      </w:r>
      <w:r w:rsidRPr="00234C8C">
        <w:rPr>
          <w:rFonts w:eastAsia="Calibri"/>
          <w:bCs/>
          <w:lang w:val="en-ZA" w:eastAsia="en-US"/>
        </w:rPr>
        <w:t xml:space="preserve">best management strategies for the FAW. </w:t>
      </w:r>
      <w:bookmarkStart w:id="1" w:name="_Hlk114570439"/>
      <w:bookmarkEnd w:id="0"/>
    </w:p>
    <w:p w:rsidR="00DE527F" w:rsidRPr="00234C8C" w:rsidRDefault="00DE527F" w:rsidP="00234C8C">
      <w:pPr>
        <w:pStyle w:val="ListParagraph"/>
        <w:numPr>
          <w:ilvl w:val="0"/>
          <w:numId w:val="4"/>
        </w:numPr>
        <w:ind w:left="567" w:hanging="283"/>
        <w:jc w:val="both"/>
        <w:rPr>
          <w:rFonts w:eastAsia="Calibri"/>
          <w:bCs/>
          <w:lang w:val="en-ZA" w:eastAsia="en-US"/>
        </w:rPr>
      </w:pPr>
      <w:r w:rsidRPr="00234C8C">
        <w:rPr>
          <w:rFonts w:eastAsia="Calibri"/>
          <w:bCs/>
          <w:lang w:val="en-ZA" w:eastAsia="en-US"/>
        </w:rPr>
        <w:t>Regulatory measures are in place by way of making amendments to Control Measures R.110 of the Agricultural Pests Act 36 of 1983.</w:t>
      </w:r>
    </w:p>
    <w:p w:rsidR="00AE3CFD" w:rsidRDefault="00AE3CFD" w:rsidP="00234C8C">
      <w:pPr>
        <w:tabs>
          <w:tab w:val="left" w:pos="142"/>
        </w:tabs>
        <w:jc w:val="both"/>
        <w:rPr>
          <w:rFonts w:eastAsia="Calibri"/>
          <w:bCs/>
          <w:lang w:val="en-ZA" w:eastAsia="en-US"/>
        </w:rPr>
      </w:pPr>
    </w:p>
    <w:p w:rsidR="00DE527F" w:rsidRPr="00234C8C" w:rsidRDefault="00DE527F" w:rsidP="00234C8C">
      <w:pPr>
        <w:tabs>
          <w:tab w:val="left" w:pos="142"/>
        </w:tabs>
        <w:jc w:val="both"/>
        <w:rPr>
          <w:rFonts w:eastAsia="Calibri"/>
          <w:bCs/>
          <w:lang w:val="en-ZA" w:eastAsia="en-US"/>
        </w:rPr>
      </w:pPr>
      <w:r w:rsidRPr="00234C8C">
        <w:rPr>
          <w:rFonts w:eastAsia="Calibri"/>
          <w:bCs/>
          <w:lang w:val="en-ZA" w:eastAsia="en-US"/>
        </w:rPr>
        <w:t xml:space="preserve">Chemicals to control FAW were distributed to the affected provinces and farmers/growers were encouraged to apply registered chemicals while maize is still at </w:t>
      </w:r>
      <w:r w:rsidR="006668CC" w:rsidRPr="00234C8C">
        <w:rPr>
          <w:rFonts w:eastAsia="Calibri"/>
          <w:bCs/>
          <w:lang w:val="en-ZA" w:eastAsia="en-US"/>
        </w:rPr>
        <w:t xml:space="preserve">an </w:t>
      </w:r>
      <w:r w:rsidRPr="00234C8C">
        <w:rPr>
          <w:rFonts w:eastAsia="Calibri"/>
          <w:bCs/>
          <w:lang w:val="en-ZA" w:eastAsia="en-US"/>
        </w:rPr>
        <w:t>early stage to suppress FAW.</w:t>
      </w:r>
    </w:p>
    <w:p w:rsidR="001D33EB" w:rsidRPr="001D33EB" w:rsidRDefault="001D33EB" w:rsidP="00234C8C">
      <w:pPr>
        <w:tabs>
          <w:tab w:val="left" w:pos="142"/>
        </w:tabs>
        <w:jc w:val="both"/>
        <w:rPr>
          <w:rFonts w:eastAsia="Calibri"/>
          <w:bCs/>
          <w:lang w:val="en-ZA" w:eastAsia="en-US"/>
        </w:rPr>
      </w:pPr>
    </w:p>
    <w:p w:rsidR="00DE527F" w:rsidRPr="001D33EB" w:rsidRDefault="00DE527F" w:rsidP="00234C8C">
      <w:pPr>
        <w:tabs>
          <w:tab w:val="left" w:pos="142"/>
        </w:tabs>
        <w:jc w:val="both"/>
        <w:rPr>
          <w:rFonts w:eastAsia="Calibri"/>
          <w:b/>
          <w:lang w:val="en-ZA" w:eastAsia="en-US"/>
        </w:rPr>
      </w:pPr>
      <w:r w:rsidRPr="001D33EB">
        <w:rPr>
          <w:rFonts w:eastAsia="Calibri"/>
          <w:b/>
          <w:lang w:val="en-ZA" w:eastAsia="en-US"/>
        </w:rPr>
        <w:t>Release of new varieties with improved performance:</w:t>
      </w:r>
    </w:p>
    <w:p w:rsidR="00DE527F" w:rsidRPr="001D33EB" w:rsidRDefault="00DE527F" w:rsidP="00234C8C">
      <w:pPr>
        <w:tabs>
          <w:tab w:val="left" w:pos="142"/>
        </w:tabs>
        <w:jc w:val="both"/>
        <w:rPr>
          <w:rFonts w:eastAsia="Calibri"/>
          <w:b/>
          <w:lang w:val="en-ZA" w:eastAsia="en-US"/>
        </w:rPr>
      </w:pPr>
    </w:p>
    <w:p w:rsidR="00DE527F" w:rsidRDefault="00DE527F" w:rsidP="00422108">
      <w:pPr>
        <w:numPr>
          <w:ilvl w:val="0"/>
          <w:numId w:val="1"/>
        </w:numPr>
        <w:ind w:left="284" w:hanging="284"/>
        <w:jc w:val="both"/>
        <w:rPr>
          <w:rFonts w:eastAsia="Calibri"/>
          <w:bCs/>
          <w:lang w:val="en-ZA" w:eastAsia="en-US"/>
        </w:rPr>
      </w:pPr>
      <w:r w:rsidRPr="001D33EB">
        <w:rPr>
          <w:rFonts w:eastAsia="Calibri"/>
          <w:bCs/>
          <w:lang w:val="en-ZA" w:eastAsia="en-US"/>
        </w:rPr>
        <w:t xml:space="preserve">The attached tables summarise the number of new varieties released under the Plant Breeder’s Right Act, 1976 as well as the </w:t>
      </w:r>
      <w:r w:rsidR="006668CC" w:rsidRPr="00234C8C">
        <w:rPr>
          <w:rFonts w:eastAsia="Calibri"/>
          <w:bCs/>
          <w:lang w:val="en-ZA" w:eastAsia="en-US"/>
        </w:rPr>
        <w:t xml:space="preserve">Genetically Modified Organism </w:t>
      </w:r>
      <w:r w:rsidR="006668CC" w:rsidRPr="001D33EB">
        <w:rPr>
          <w:rFonts w:eastAsia="Calibri"/>
          <w:bCs/>
          <w:lang w:val="en-ZA" w:eastAsia="en-US"/>
        </w:rPr>
        <w:t>(</w:t>
      </w:r>
      <w:r w:rsidRPr="001D33EB">
        <w:rPr>
          <w:rFonts w:eastAsia="Calibri"/>
          <w:bCs/>
          <w:lang w:val="en-ZA" w:eastAsia="en-US"/>
        </w:rPr>
        <w:t>GMO</w:t>
      </w:r>
      <w:r w:rsidR="006668CC" w:rsidRPr="001D33EB">
        <w:rPr>
          <w:rFonts w:eastAsia="Calibri"/>
          <w:bCs/>
          <w:lang w:val="en-ZA" w:eastAsia="en-US"/>
        </w:rPr>
        <w:t>)</w:t>
      </w:r>
      <w:r w:rsidRPr="001D33EB">
        <w:rPr>
          <w:rFonts w:eastAsia="Calibri"/>
          <w:bCs/>
          <w:lang w:val="en-ZA" w:eastAsia="en-US"/>
        </w:rPr>
        <w:t xml:space="preserve"> approvals.  The availability of new and improved plant varieties contributes to the sustainability and competitiveness of the production of</w:t>
      </w:r>
      <w:r w:rsidR="00234C8C">
        <w:rPr>
          <w:rFonts w:eastAsia="Calibri"/>
          <w:bCs/>
          <w:lang w:val="en-ZA" w:eastAsia="en-US"/>
        </w:rPr>
        <w:t xml:space="preserve"> </w:t>
      </w:r>
      <w:r w:rsidRPr="001D33EB">
        <w:rPr>
          <w:rFonts w:eastAsia="Calibri"/>
          <w:bCs/>
          <w:lang w:val="en-ZA" w:eastAsia="en-US"/>
        </w:rPr>
        <w:t>individual commodities.</w:t>
      </w:r>
    </w:p>
    <w:p w:rsidR="00AE3CFD" w:rsidRDefault="00AE3CFD" w:rsidP="00234C8C">
      <w:pPr>
        <w:tabs>
          <w:tab w:val="left" w:pos="142"/>
        </w:tabs>
        <w:jc w:val="both"/>
        <w:rPr>
          <w:rFonts w:eastAsia="Calibri"/>
          <w:bCs/>
          <w:lang w:val="en-ZA" w:eastAsia="en-US"/>
        </w:rPr>
      </w:pPr>
    </w:p>
    <w:p w:rsidR="00DE527F" w:rsidRPr="001D33EB" w:rsidRDefault="00DE527F" w:rsidP="00234C8C">
      <w:pPr>
        <w:tabs>
          <w:tab w:val="left" w:pos="142"/>
        </w:tabs>
        <w:jc w:val="both"/>
        <w:rPr>
          <w:rFonts w:eastAsia="Calibri"/>
          <w:b/>
          <w:lang w:val="en-ZA" w:eastAsia="en-US"/>
        </w:rPr>
      </w:pPr>
      <w:r w:rsidRPr="001D33EB">
        <w:rPr>
          <w:rFonts w:eastAsia="Calibri"/>
          <w:b/>
          <w:lang w:val="en-ZA" w:eastAsia="en-US"/>
        </w:rPr>
        <w:t>Table 1: Number of varieties granted Plant Breeder’s Rights for the year 2021/2022</w:t>
      </w:r>
    </w:p>
    <w:tbl>
      <w:tblPr>
        <w:tblW w:w="9558" w:type="dxa"/>
        <w:tblInd w:w="-180" w:type="dxa"/>
        <w:tblLook w:val="04A0"/>
      </w:tblPr>
      <w:tblGrid>
        <w:gridCol w:w="3618"/>
        <w:gridCol w:w="3870"/>
        <w:gridCol w:w="2070"/>
      </w:tblGrid>
      <w:tr w:rsidR="00DE527F" w:rsidRPr="001D33EB" w:rsidTr="006668CC">
        <w:trPr>
          <w:trHeight w:val="467"/>
        </w:trPr>
        <w:tc>
          <w:tcPr>
            <w:tcW w:w="3618" w:type="dxa"/>
            <w:tcBorders>
              <w:top w:val="single" w:sz="4" w:space="0" w:color="auto"/>
              <w:left w:val="single" w:sz="4" w:space="0" w:color="auto"/>
              <w:bottom w:val="nil"/>
              <w:right w:val="single" w:sz="4" w:space="0" w:color="auto"/>
            </w:tcBorders>
            <w:shd w:val="clear" w:color="000000" w:fill="BFBFBF"/>
            <w:noWrap/>
          </w:tcPr>
          <w:p w:rsidR="006668CC" w:rsidRPr="001D33EB" w:rsidRDefault="00DE527F" w:rsidP="00422108">
            <w:pPr>
              <w:jc w:val="both"/>
              <w:rPr>
                <w:b/>
                <w:bCs/>
                <w:lang w:val="en-US" w:eastAsia="en-US"/>
              </w:rPr>
            </w:pPr>
            <w:r w:rsidRPr="001D33EB">
              <w:rPr>
                <w:b/>
                <w:bCs/>
                <w:lang w:val="en-US" w:eastAsia="en-US"/>
              </w:rPr>
              <w:t>Commodities</w:t>
            </w:r>
          </w:p>
          <w:p w:rsidR="00DE527F" w:rsidRPr="001D33EB" w:rsidRDefault="00DE527F" w:rsidP="00422108">
            <w:pPr>
              <w:jc w:val="both"/>
              <w:rPr>
                <w:b/>
                <w:bCs/>
                <w:lang w:val="en-US" w:eastAsia="en-US"/>
              </w:rPr>
            </w:pPr>
            <w:r w:rsidRPr="001D33EB">
              <w:rPr>
                <w:b/>
                <w:bCs/>
                <w:lang w:val="en-US" w:eastAsia="en-US"/>
              </w:rPr>
              <w:t>Financial year 2021/ 22</w:t>
            </w:r>
          </w:p>
          <w:p w:rsidR="00DE527F" w:rsidRPr="001D33EB" w:rsidRDefault="00DE527F" w:rsidP="00422108">
            <w:pPr>
              <w:jc w:val="both"/>
              <w:rPr>
                <w:b/>
                <w:bCs/>
                <w:lang w:val="en-US" w:eastAsia="en-US"/>
              </w:rPr>
            </w:pPr>
          </w:p>
        </w:tc>
        <w:tc>
          <w:tcPr>
            <w:tcW w:w="3870" w:type="dxa"/>
            <w:tcBorders>
              <w:top w:val="single" w:sz="4" w:space="0" w:color="auto"/>
              <w:left w:val="nil"/>
              <w:bottom w:val="nil"/>
              <w:right w:val="single" w:sz="4" w:space="0" w:color="auto"/>
            </w:tcBorders>
            <w:shd w:val="clear" w:color="000000" w:fill="BFBFBF"/>
            <w:noWrap/>
          </w:tcPr>
          <w:p w:rsidR="00DE527F" w:rsidRPr="001D33EB" w:rsidRDefault="00DE527F" w:rsidP="00422108">
            <w:pPr>
              <w:jc w:val="both"/>
              <w:rPr>
                <w:b/>
                <w:bCs/>
                <w:lang w:val="en-US" w:eastAsia="en-US"/>
              </w:rPr>
            </w:pPr>
            <w:r w:rsidRPr="001D33EB">
              <w:rPr>
                <w:b/>
                <w:bCs/>
                <w:lang w:val="en-US" w:eastAsia="en-US"/>
              </w:rPr>
              <w:t>Number of Varieties</w:t>
            </w:r>
            <w:r w:rsidRPr="001D33EB">
              <w:rPr>
                <w:b/>
                <w:bCs/>
                <w:lang w:val="en-US" w:eastAsia="en-US"/>
              </w:rPr>
              <w:tab/>
              <w:t>Financial year 2022/ 23 (to date)</w:t>
            </w:r>
          </w:p>
          <w:p w:rsidR="00DE527F" w:rsidRPr="001D33EB" w:rsidRDefault="00DE527F" w:rsidP="00422108">
            <w:pPr>
              <w:jc w:val="both"/>
              <w:rPr>
                <w:b/>
                <w:bCs/>
                <w:lang w:val="en-US" w:eastAsia="en-US"/>
              </w:rPr>
            </w:pPr>
          </w:p>
        </w:tc>
        <w:tc>
          <w:tcPr>
            <w:tcW w:w="2070" w:type="dxa"/>
            <w:tcBorders>
              <w:top w:val="single" w:sz="4" w:space="0" w:color="auto"/>
              <w:left w:val="nil"/>
              <w:bottom w:val="nil"/>
              <w:right w:val="single" w:sz="4" w:space="0" w:color="auto"/>
            </w:tcBorders>
            <w:shd w:val="clear" w:color="000000" w:fill="BFBFBF"/>
            <w:noWrap/>
          </w:tcPr>
          <w:p w:rsidR="00DE527F" w:rsidRPr="001D33EB" w:rsidRDefault="00DE527F" w:rsidP="00422108">
            <w:pPr>
              <w:jc w:val="both"/>
              <w:rPr>
                <w:b/>
                <w:bCs/>
                <w:lang w:val="en-US" w:eastAsia="en-US"/>
              </w:rPr>
            </w:pPr>
            <w:r w:rsidRPr="001D33EB">
              <w:rPr>
                <w:b/>
                <w:bCs/>
                <w:lang w:val="en-US" w:eastAsia="en-US"/>
              </w:rPr>
              <w:t>Number of Varieties</w:t>
            </w:r>
          </w:p>
        </w:tc>
      </w:tr>
      <w:tr w:rsidR="00DE527F" w:rsidRPr="001D33EB" w:rsidTr="00B47B56">
        <w:trPr>
          <w:trHeight w:val="628"/>
        </w:trPr>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bCs/>
                <w:lang w:val="en-ZA" w:eastAsia="en-US"/>
              </w:rPr>
              <w:t>Maize</w:t>
            </w:r>
          </w:p>
        </w:tc>
        <w:tc>
          <w:tcPr>
            <w:tcW w:w="3870" w:type="dxa"/>
            <w:tcBorders>
              <w:top w:val="single" w:sz="4" w:space="0" w:color="auto"/>
              <w:left w:val="nil"/>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lang w:val="en-ZA" w:eastAsia="en-US"/>
              </w:rPr>
              <w:t>64</w:t>
            </w:r>
          </w:p>
        </w:tc>
        <w:tc>
          <w:tcPr>
            <w:tcW w:w="2070" w:type="dxa"/>
            <w:tcBorders>
              <w:top w:val="single" w:sz="4" w:space="0" w:color="auto"/>
              <w:left w:val="nil"/>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lang w:val="en-ZA" w:eastAsia="en-US"/>
              </w:rPr>
              <w:t>18</w:t>
            </w:r>
          </w:p>
        </w:tc>
      </w:tr>
      <w:tr w:rsidR="00DE527F" w:rsidRPr="001D33EB" w:rsidTr="00B47B56">
        <w:trPr>
          <w:trHeight w:val="477"/>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White Conventional</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0</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0</w:t>
            </w:r>
          </w:p>
        </w:tc>
      </w:tr>
      <w:tr w:rsidR="00DE527F" w:rsidRPr="001D33EB" w:rsidTr="00B47B56">
        <w:trPr>
          <w:trHeight w:val="477"/>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Yellow Conventional</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1</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color w:val="000000"/>
                <w:lang w:val="en-US" w:eastAsia="en-US"/>
              </w:rPr>
            </w:pPr>
            <w:r w:rsidRPr="001D33EB">
              <w:rPr>
                <w:rFonts w:eastAsia="Calibri"/>
                <w:lang w:val="en-ZA" w:eastAsia="en-US"/>
              </w:rPr>
              <w:t>0</w:t>
            </w:r>
          </w:p>
        </w:tc>
      </w:tr>
      <w:tr w:rsidR="00DE527F" w:rsidRPr="001D33EB" w:rsidTr="00B47B56">
        <w:trPr>
          <w:trHeight w:val="502"/>
        </w:trPr>
        <w:tc>
          <w:tcPr>
            <w:tcW w:w="3618" w:type="dxa"/>
            <w:tcBorders>
              <w:top w:val="single" w:sz="4" w:space="0" w:color="auto"/>
              <w:left w:val="single" w:sz="4" w:space="0" w:color="auto"/>
              <w:bottom w:val="single" w:sz="4" w:space="0" w:color="auto"/>
              <w:right w:val="single" w:sz="4" w:space="0" w:color="auto"/>
            </w:tcBorders>
            <w:shd w:val="clear" w:color="000000" w:fill="FFFFFF"/>
          </w:tcPr>
          <w:p w:rsidR="00DE527F" w:rsidRPr="001D33EB" w:rsidRDefault="00DE527F" w:rsidP="00422108">
            <w:pPr>
              <w:jc w:val="both"/>
              <w:rPr>
                <w:color w:val="000000"/>
                <w:lang w:val="en-US" w:eastAsia="en-US"/>
              </w:rPr>
            </w:pPr>
            <w:r w:rsidRPr="001D33EB">
              <w:rPr>
                <w:rFonts w:eastAsia="Calibri"/>
                <w:lang w:val="en-ZA" w:eastAsia="en-US"/>
              </w:rPr>
              <w:t>White Genetically modified</w:t>
            </w:r>
          </w:p>
        </w:tc>
        <w:tc>
          <w:tcPr>
            <w:tcW w:w="3870" w:type="dxa"/>
            <w:tcBorders>
              <w:top w:val="single" w:sz="4" w:space="0" w:color="auto"/>
              <w:left w:val="nil"/>
              <w:bottom w:val="single" w:sz="4" w:space="0" w:color="auto"/>
              <w:right w:val="single" w:sz="4" w:space="0" w:color="auto"/>
            </w:tcBorders>
            <w:shd w:val="clear" w:color="000000" w:fill="FFFFFF"/>
          </w:tcPr>
          <w:p w:rsidR="00DE527F" w:rsidRPr="001D33EB" w:rsidRDefault="00DE527F" w:rsidP="00422108">
            <w:pPr>
              <w:jc w:val="both"/>
              <w:rPr>
                <w:color w:val="000000"/>
                <w:lang w:val="en-US" w:eastAsia="en-US"/>
              </w:rPr>
            </w:pPr>
            <w:r w:rsidRPr="001D33EB">
              <w:rPr>
                <w:rFonts w:eastAsia="Calibri"/>
                <w:lang w:val="en-ZA" w:eastAsia="en-US"/>
              </w:rPr>
              <w:t>26</w:t>
            </w:r>
          </w:p>
        </w:tc>
        <w:tc>
          <w:tcPr>
            <w:tcW w:w="2070" w:type="dxa"/>
            <w:tcBorders>
              <w:top w:val="single" w:sz="4" w:space="0" w:color="auto"/>
              <w:left w:val="nil"/>
              <w:bottom w:val="single" w:sz="4" w:space="0" w:color="auto"/>
              <w:right w:val="single" w:sz="4" w:space="0" w:color="auto"/>
            </w:tcBorders>
            <w:shd w:val="clear" w:color="000000" w:fill="FFFFFF"/>
          </w:tcPr>
          <w:p w:rsidR="00DE527F" w:rsidRPr="001D33EB" w:rsidRDefault="00DE527F" w:rsidP="00422108">
            <w:pPr>
              <w:jc w:val="both"/>
              <w:rPr>
                <w:color w:val="000000"/>
                <w:lang w:val="en-US" w:eastAsia="en-US"/>
              </w:rPr>
            </w:pPr>
            <w:r w:rsidRPr="001D33EB">
              <w:rPr>
                <w:rFonts w:eastAsia="Calibri"/>
                <w:lang w:val="en-ZA" w:eastAsia="en-US"/>
              </w:rPr>
              <w:t>18</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lang w:val="en-ZA" w:eastAsia="en-US"/>
              </w:rPr>
              <w:t>Yellow Genetically modified</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lang w:val="en-ZA" w:eastAsia="en-US"/>
              </w:rPr>
              <w:t>37</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lang w:val="en-US" w:eastAsia="en-US"/>
              </w:rPr>
            </w:pPr>
            <w:r w:rsidRPr="001D33EB">
              <w:rPr>
                <w:rFonts w:eastAsia="Calibri"/>
                <w:lang w:val="en-ZA" w:eastAsia="en-US"/>
              </w:rPr>
              <w:t>0</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bCs/>
                <w:lang w:val="en-ZA" w:eastAsia="en-US"/>
              </w:rPr>
              <w:t>Wheat</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1</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15</w:t>
            </w:r>
          </w:p>
        </w:tc>
      </w:tr>
      <w:tr w:rsidR="00DE527F" w:rsidRPr="001D33EB" w:rsidTr="006668CC">
        <w:trPr>
          <w:trHeight w:val="502"/>
        </w:trPr>
        <w:tc>
          <w:tcPr>
            <w:tcW w:w="9558" w:type="dxa"/>
            <w:gridSpan w:val="3"/>
            <w:tcBorders>
              <w:top w:val="nil"/>
              <w:left w:val="single" w:sz="4" w:space="0" w:color="auto"/>
              <w:bottom w:val="single" w:sz="4" w:space="0" w:color="auto"/>
              <w:right w:val="single" w:sz="4" w:space="0" w:color="auto"/>
            </w:tcBorders>
            <w:shd w:val="clear" w:color="auto" w:fill="BFBFBF" w:themeFill="background1" w:themeFillShade="BF"/>
            <w:noWrap/>
          </w:tcPr>
          <w:p w:rsidR="00DE527F" w:rsidRPr="001D33EB" w:rsidRDefault="00DE527F" w:rsidP="00422108">
            <w:pPr>
              <w:jc w:val="both"/>
              <w:rPr>
                <w:rFonts w:eastAsia="Calibri"/>
                <w:lang w:val="en-ZA" w:eastAsia="en-US"/>
              </w:rPr>
            </w:pPr>
            <w:r w:rsidRPr="001D33EB">
              <w:rPr>
                <w:rFonts w:eastAsia="Calibri"/>
                <w:b/>
                <w:bCs/>
                <w:lang w:val="en-ZA" w:eastAsia="en-US"/>
              </w:rPr>
              <w:t>Other grains</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bCs/>
                <w:lang w:val="en-ZA" w:eastAsia="en-US"/>
              </w:rPr>
              <w:t>Sorghum</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1</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bCs/>
                <w:lang w:val="en-ZA" w:eastAsia="en-US"/>
              </w:rPr>
              <w:t>Sunflower</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7</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bCs/>
                <w:lang w:val="en-ZA" w:eastAsia="en-US"/>
              </w:rPr>
              <w:t>Soybean</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30</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24</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bCs/>
                <w:lang w:val="en-ZA" w:eastAsia="en-US"/>
              </w:rPr>
              <w:t>Oats</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2</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bCs/>
                <w:lang w:val="en-ZA" w:eastAsia="en-US"/>
              </w:rPr>
            </w:pPr>
            <w:r w:rsidRPr="001D33EB">
              <w:rPr>
                <w:rFonts w:eastAsia="Calibri"/>
                <w:bCs/>
                <w:lang w:val="en-ZA" w:eastAsia="en-US"/>
              </w:rPr>
              <w:t>Barley</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1</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bCs/>
                <w:lang w:val="en-ZA" w:eastAsia="en-US"/>
              </w:rPr>
            </w:pPr>
            <w:r w:rsidRPr="001D33EB">
              <w:rPr>
                <w:rFonts w:eastAsia="Calibri"/>
                <w:bCs/>
                <w:lang w:val="en-ZA" w:eastAsia="en-US"/>
              </w:rPr>
              <w:t>Groundnut</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3</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r>
      <w:tr w:rsidR="00DE527F" w:rsidRPr="001D33EB" w:rsidTr="00B47B56">
        <w:trPr>
          <w:trHeight w:val="502"/>
        </w:trPr>
        <w:tc>
          <w:tcPr>
            <w:tcW w:w="3618" w:type="dxa"/>
            <w:tcBorders>
              <w:top w:val="nil"/>
              <w:left w:val="single" w:sz="4" w:space="0" w:color="auto"/>
              <w:bottom w:val="single" w:sz="4" w:space="0" w:color="auto"/>
              <w:right w:val="single" w:sz="4" w:space="0" w:color="auto"/>
            </w:tcBorders>
            <w:shd w:val="clear" w:color="auto" w:fill="auto"/>
            <w:noWrap/>
          </w:tcPr>
          <w:p w:rsidR="00DE527F" w:rsidRPr="001D33EB" w:rsidRDefault="00DE527F" w:rsidP="00422108">
            <w:pPr>
              <w:jc w:val="both"/>
              <w:rPr>
                <w:rFonts w:eastAsia="Calibri"/>
                <w:bCs/>
                <w:lang w:val="en-ZA" w:eastAsia="en-US"/>
              </w:rPr>
            </w:pPr>
            <w:r w:rsidRPr="001D33EB">
              <w:rPr>
                <w:rFonts w:eastAsia="Calibri"/>
                <w:bCs/>
                <w:lang w:val="en-ZA" w:eastAsia="en-US"/>
              </w:rPr>
              <w:t>Canola</w:t>
            </w:r>
          </w:p>
        </w:tc>
        <w:tc>
          <w:tcPr>
            <w:tcW w:w="38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4</w:t>
            </w:r>
          </w:p>
        </w:tc>
        <w:tc>
          <w:tcPr>
            <w:tcW w:w="2070" w:type="dxa"/>
            <w:tcBorders>
              <w:top w:val="nil"/>
              <w:left w:val="nil"/>
              <w:bottom w:val="single" w:sz="4" w:space="0" w:color="auto"/>
              <w:right w:val="single" w:sz="4" w:space="0" w:color="auto"/>
            </w:tcBorders>
            <w:shd w:val="clear" w:color="auto" w:fill="auto"/>
            <w:noWrap/>
          </w:tcPr>
          <w:p w:rsidR="00DE527F" w:rsidRPr="001D33EB" w:rsidRDefault="00DE527F" w:rsidP="00422108">
            <w:pPr>
              <w:jc w:val="both"/>
              <w:rPr>
                <w:rFonts w:eastAsia="Calibri"/>
                <w:lang w:val="en-ZA" w:eastAsia="en-US"/>
              </w:rPr>
            </w:pPr>
            <w:r w:rsidRPr="001D33EB">
              <w:rPr>
                <w:rFonts w:eastAsia="Calibri"/>
                <w:lang w:val="en-ZA" w:eastAsia="en-US"/>
              </w:rPr>
              <w:t>0</w:t>
            </w:r>
          </w:p>
        </w:tc>
      </w:tr>
    </w:tbl>
    <w:p w:rsidR="00DE527F" w:rsidRPr="001D33EB" w:rsidRDefault="00DE527F" w:rsidP="00422108">
      <w:pPr>
        <w:tabs>
          <w:tab w:val="left" w:pos="142"/>
        </w:tabs>
        <w:jc w:val="both"/>
        <w:rPr>
          <w:rFonts w:eastAsia="Calibri"/>
          <w:b/>
          <w:lang w:val="en-ZA" w:eastAsia="en-US"/>
        </w:rPr>
      </w:pPr>
    </w:p>
    <w:p w:rsidR="00DE527F" w:rsidRPr="001D33EB" w:rsidRDefault="00DE527F" w:rsidP="00422108">
      <w:pPr>
        <w:tabs>
          <w:tab w:val="left" w:pos="142"/>
        </w:tabs>
        <w:jc w:val="both"/>
        <w:rPr>
          <w:rFonts w:eastAsia="Calibri"/>
          <w:b/>
          <w:lang w:val="en-ZA" w:eastAsia="en-US"/>
        </w:rPr>
      </w:pPr>
      <w:r w:rsidRPr="001D33EB">
        <w:rPr>
          <w:rFonts w:eastAsia="Calibri"/>
          <w:b/>
          <w:lang w:val="en-ZA" w:eastAsia="en-US"/>
        </w:rPr>
        <w:t>Table 2: New GMO events approved in 2021/2022</w:t>
      </w:r>
    </w:p>
    <w:tbl>
      <w:tblPr>
        <w:tblW w:w="10235" w:type="dxa"/>
        <w:tblInd w:w="-180" w:type="dxa"/>
        <w:tblLook w:val="04A0"/>
      </w:tblPr>
      <w:tblGrid>
        <w:gridCol w:w="180"/>
        <w:gridCol w:w="1034"/>
        <w:gridCol w:w="3752"/>
        <w:gridCol w:w="180"/>
        <w:gridCol w:w="3168"/>
        <w:gridCol w:w="180"/>
        <w:gridCol w:w="1561"/>
        <w:gridCol w:w="180"/>
      </w:tblGrid>
      <w:tr w:rsidR="00DE527F" w:rsidRPr="001D33EB" w:rsidTr="00B47B56">
        <w:trPr>
          <w:gridAfter w:val="1"/>
          <w:wAfter w:w="180" w:type="dxa"/>
          <w:trHeight w:val="528"/>
        </w:trPr>
        <w:tc>
          <w:tcPr>
            <w:tcW w:w="1214"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DE527F" w:rsidRPr="001D33EB" w:rsidRDefault="00DE527F" w:rsidP="00422108">
            <w:pPr>
              <w:jc w:val="both"/>
              <w:rPr>
                <w:b/>
                <w:bCs/>
                <w:lang w:val="en-US" w:eastAsia="en-US"/>
              </w:rPr>
            </w:pPr>
            <w:bookmarkStart w:id="2" w:name="_Hlk114654580"/>
            <w:r w:rsidRPr="001D33EB">
              <w:rPr>
                <w:b/>
                <w:bCs/>
                <w:lang w:val="en-US" w:eastAsia="en-US"/>
              </w:rPr>
              <w:t xml:space="preserve">Crop </w:t>
            </w:r>
          </w:p>
        </w:tc>
        <w:tc>
          <w:tcPr>
            <w:tcW w:w="3752" w:type="dxa"/>
            <w:tcBorders>
              <w:top w:val="single" w:sz="4" w:space="0" w:color="auto"/>
              <w:left w:val="nil"/>
              <w:bottom w:val="nil"/>
              <w:right w:val="single" w:sz="4" w:space="0" w:color="auto"/>
            </w:tcBorders>
            <w:shd w:val="clear" w:color="000000" w:fill="BFBFBF"/>
            <w:noWrap/>
            <w:vAlign w:val="bottom"/>
            <w:hideMark/>
          </w:tcPr>
          <w:p w:rsidR="00DE527F" w:rsidRPr="001D33EB" w:rsidRDefault="00DE527F" w:rsidP="00422108">
            <w:pPr>
              <w:jc w:val="both"/>
              <w:rPr>
                <w:b/>
                <w:bCs/>
                <w:lang w:val="en-US" w:eastAsia="en-US"/>
              </w:rPr>
            </w:pPr>
            <w:r w:rsidRPr="001D33EB">
              <w:rPr>
                <w:b/>
                <w:bCs/>
                <w:lang w:val="en-US" w:eastAsia="en-US"/>
              </w:rPr>
              <w:t>Event</w:t>
            </w:r>
          </w:p>
        </w:tc>
        <w:tc>
          <w:tcPr>
            <w:tcW w:w="3348" w:type="dxa"/>
            <w:gridSpan w:val="2"/>
            <w:tcBorders>
              <w:top w:val="single" w:sz="4" w:space="0" w:color="auto"/>
              <w:left w:val="nil"/>
              <w:bottom w:val="nil"/>
              <w:right w:val="single" w:sz="4" w:space="0" w:color="auto"/>
            </w:tcBorders>
            <w:shd w:val="clear" w:color="000000" w:fill="BFBFBF"/>
            <w:noWrap/>
            <w:vAlign w:val="bottom"/>
            <w:hideMark/>
          </w:tcPr>
          <w:p w:rsidR="00DE527F" w:rsidRPr="001D33EB" w:rsidRDefault="00DE527F" w:rsidP="00422108">
            <w:pPr>
              <w:jc w:val="both"/>
              <w:rPr>
                <w:b/>
                <w:bCs/>
                <w:lang w:val="en-US" w:eastAsia="en-US"/>
              </w:rPr>
            </w:pPr>
            <w:r w:rsidRPr="001D33EB">
              <w:rPr>
                <w:b/>
                <w:bCs/>
                <w:lang w:val="en-US" w:eastAsia="en-US"/>
              </w:rPr>
              <w:t>Trait</w:t>
            </w:r>
          </w:p>
        </w:tc>
        <w:tc>
          <w:tcPr>
            <w:tcW w:w="1741" w:type="dxa"/>
            <w:gridSpan w:val="2"/>
            <w:tcBorders>
              <w:top w:val="single" w:sz="4" w:space="0" w:color="auto"/>
              <w:left w:val="nil"/>
              <w:bottom w:val="nil"/>
              <w:right w:val="single" w:sz="4" w:space="0" w:color="auto"/>
            </w:tcBorders>
            <w:shd w:val="clear" w:color="000000" w:fill="BFBFBF"/>
            <w:noWrap/>
            <w:vAlign w:val="bottom"/>
            <w:hideMark/>
          </w:tcPr>
          <w:p w:rsidR="00DE527F" w:rsidRPr="001D33EB" w:rsidRDefault="00DE527F" w:rsidP="00422108">
            <w:pPr>
              <w:jc w:val="both"/>
              <w:rPr>
                <w:b/>
                <w:bCs/>
                <w:lang w:val="en-US" w:eastAsia="en-US"/>
              </w:rPr>
            </w:pPr>
            <w:r w:rsidRPr="001D33EB">
              <w:rPr>
                <w:b/>
                <w:bCs/>
                <w:lang w:val="en-US" w:eastAsia="en-US"/>
              </w:rPr>
              <w:t xml:space="preserve">Category </w:t>
            </w:r>
          </w:p>
        </w:tc>
      </w:tr>
      <w:tr w:rsidR="00DE527F" w:rsidRPr="001D33EB" w:rsidTr="00B47B56">
        <w:trPr>
          <w:gridAfter w:val="1"/>
          <w:wAfter w:w="180" w:type="dxa"/>
          <w:trHeight w:val="628"/>
        </w:trPr>
        <w:tc>
          <w:tcPr>
            <w:tcW w:w="1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Maize</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Bt11xMIR162xMON89034xGA21</w:t>
            </w:r>
          </w:p>
        </w:tc>
        <w:tc>
          <w:tcPr>
            <w:tcW w:w="3348" w:type="dxa"/>
            <w:gridSpan w:val="2"/>
            <w:tcBorders>
              <w:top w:val="single" w:sz="4" w:space="0" w:color="auto"/>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Insect resistance and Herbicide tolerance</w:t>
            </w:r>
          </w:p>
        </w:tc>
        <w:tc>
          <w:tcPr>
            <w:tcW w:w="17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 xml:space="preserve">General release </w:t>
            </w:r>
          </w:p>
        </w:tc>
      </w:tr>
      <w:tr w:rsidR="00DE527F" w:rsidRPr="001D33EB" w:rsidTr="00B47B56">
        <w:trPr>
          <w:gridAfter w:val="1"/>
          <w:wAfter w:w="180" w:type="dxa"/>
          <w:trHeight w:val="477"/>
        </w:trPr>
        <w:tc>
          <w:tcPr>
            <w:tcW w:w="1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E527F" w:rsidRPr="001D33EB" w:rsidRDefault="00DE527F" w:rsidP="00422108">
            <w:pPr>
              <w:jc w:val="both"/>
              <w:rPr>
                <w:color w:val="000000"/>
                <w:lang w:val="en-US" w:eastAsia="en-US"/>
              </w:rPr>
            </w:pPr>
            <w:r w:rsidRPr="001D33EB">
              <w:rPr>
                <w:color w:val="000000"/>
                <w:lang w:val="en-US" w:eastAsia="en-US"/>
              </w:rPr>
              <w:t>Maize</w:t>
            </w:r>
          </w:p>
        </w:tc>
        <w:tc>
          <w:tcPr>
            <w:tcW w:w="3752" w:type="dxa"/>
            <w:tcBorders>
              <w:top w:val="nil"/>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color w:val="000000"/>
                <w:lang w:val="en-US" w:eastAsia="en-US"/>
              </w:rPr>
            </w:pPr>
            <w:r w:rsidRPr="001D33EB">
              <w:rPr>
                <w:color w:val="000000"/>
                <w:lang w:val="en-US" w:eastAsia="en-US"/>
              </w:rPr>
              <w:t>Bt11xMIR162xGA21</w:t>
            </w:r>
          </w:p>
        </w:tc>
        <w:tc>
          <w:tcPr>
            <w:tcW w:w="3348" w:type="dxa"/>
            <w:gridSpan w:val="2"/>
            <w:tcBorders>
              <w:top w:val="nil"/>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Insect resistance and Herbicide tolerance</w:t>
            </w: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color w:val="000000"/>
                <w:lang w:val="en-US" w:eastAsia="en-US"/>
              </w:rPr>
            </w:pPr>
            <w:r w:rsidRPr="001D33EB">
              <w:rPr>
                <w:color w:val="000000"/>
                <w:lang w:val="en-US" w:eastAsia="en-US"/>
              </w:rPr>
              <w:t xml:space="preserve">General release </w:t>
            </w:r>
          </w:p>
        </w:tc>
      </w:tr>
      <w:tr w:rsidR="00DE527F" w:rsidRPr="001D33EB" w:rsidTr="00B47B56">
        <w:trPr>
          <w:gridAfter w:val="1"/>
          <w:wAfter w:w="180" w:type="dxa"/>
          <w:trHeight w:val="477"/>
        </w:trPr>
        <w:tc>
          <w:tcPr>
            <w:tcW w:w="1214" w:type="dxa"/>
            <w:gridSpan w:val="2"/>
            <w:tcBorders>
              <w:top w:val="nil"/>
              <w:left w:val="single" w:sz="4" w:space="0" w:color="auto"/>
              <w:bottom w:val="single" w:sz="4" w:space="0" w:color="auto"/>
              <w:right w:val="single" w:sz="4" w:space="0" w:color="auto"/>
            </w:tcBorders>
            <w:shd w:val="clear" w:color="auto" w:fill="auto"/>
            <w:noWrap/>
            <w:vAlign w:val="bottom"/>
          </w:tcPr>
          <w:p w:rsidR="00DE527F" w:rsidRPr="001D33EB" w:rsidRDefault="00DE527F" w:rsidP="00422108">
            <w:pPr>
              <w:jc w:val="both"/>
              <w:rPr>
                <w:color w:val="000000"/>
                <w:lang w:val="en-US" w:eastAsia="en-US"/>
              </w:rPr>
            </w:pPr>
            <w:r w:rsidRPr="001D33EB">
              <w:rPr>
                <w:lang w:val="en-US" w:eastAsia="en-US"/>
              </w:rPr>
              <w:t>Maize</w:t>
            </w:r>
          </w:p>
        </w:tc>
        <w:tc>
          <w:tcPr>
            <w:tcW w:w="3752" w:type="dxa"/>
            <w:tcBorders>
              <w:top w:val="nil"/>
              <w:left w:val="nil"/>
              <w:bottom w:val="single" w:sz="4" w:space="0" w:color="auto"/>
              <w:right w:val="single" w:sz="4" w:space="0" w:color="auto"/>
            </w:tcBorders>
            <w:shd w:val="clear" w:color="auto" w:fill="auto"/>
            <w:noWrap/>
            <w:vAlign w:val="bottom"/>
          </w:tcPr>
          <w:p w:rsidR="00DE527F" w:rsidRPr="001D33EB" w:rsidRDefault="00DE527F" w:rsidP="00422108">
            <w:pPr>
              <w:jc w:val="both"/>
              <w:rPr>
                <w:color w:val="000000"/>
                <w:lang w:val="en-US" w:eastAsia="en-US"/>
              </w:rPr>
            </w:pPr>
            <w:r w:rsidRPr="001D33EB">
              <w:rPr>
                <w:lang w:val="en-US" w:eastAsia="en-US"/>
              </w:rPr>
              <w:t>NK603 x T25 x DAS40278</w:t>
            </w:r>
          </w:p>
        </w:tc>
        <w:tc>
          <w:tcPr>
            <w:tcW w:w="3348" w:type="dxa"/>
            <w:gridSpan w:val="2"/>
            <w:tcBorders>
              <w:top w:val="nil"/>
              <w:left w:val="nil"/>
              <w:bottom w:val="single" w:sz="4" w:space="0" w:color="auto"/>
              <w:right w:val="single" w:sz="4" w:space="0" w:color="auto"/>
            </w:tcBorders>
            <w:shd w:val="clear" w:color="000000" w:fill="FFFFFF"/>
            <w:vAlign w:val="center"/>
          </w:tcPr>
          <w:p w:rsidR="00DE527F" w:rsidRPr="001D33EB" w:rsidRDefault="00DE527F" w:rsidP="00422108">
            <w:pPr>
              <w:jc w:val="both"/>
              <w:rPr>
                <w:color w:val="000000"/>
                <w:lang w:val="en-US" w:eastAsia="en-US"/>
              </w:rPr>
            </w:pPr>
            <w:r w:rsidRPr="001D33EB">
              <w:rPr>
                <w:color w:val="000000"/>
                <w:lang w:val="en-US" w:eastAsia="en-US"/>
              </w:rPr>
              <w:t>Herbicide tolerance</w:t>
            </w:r>
          </w:p>
        </w:tc>
        <w:tc>
          <w:tcPr>
            <w:tcW w:w="1741" w:type="dxa"/>
            <w:gridSpan w:val="2"/>
            <w:tcBorders>
              <w:top w:val="nil"/>
              <w:left w:val="nil"/>
              <w:bottom w:val="single" w:sz="4" w:space="0" w:color="auto"/>
              <w:right w:val="single" w:sz="4" w:space="0" w:color="auto"/>
            </w:tcBorders>
            <w:shd w:val="clear" w:color="auto" w:fill="auto"/>
            <w:noWrap/>
            <w:vAlign w:val="bottom"/>
          </w:tcPr>
          <w:p w:rsidR="00DE527F" w:rsidRPr="001D33EB" w:rsidRDefault="00DE527F" w:rsidP="00422108">
            <w:pPr>
              <w:jc w:val="both"/>
              <w:rPr>
                <w:color w:val="000000"/>
                <w:lang w:val="en-US" w:eastAsia="en-US"/>
              </w:rPr>
            </w:pPr>
            <w:r w:rsidRPr="001D33EB">
              <w:rPr>
                <w:lang w:val="en-US" w:eastAsia="en-US"/>
              </w:rPr>
              <w:t>Commodity clearance</w:t>
            </w:r>
          </w:p>
        </w:tc>
      </w:tr>
      <w:tr w:rsidR="00DE527F" w:rsidRPr="001D33EB" w:rsidTr="00B47B56">
        <w:trPr>
          <w:gridAfter w:val="1"/>
          <w:wAfter w:w="180" w:type="dxa"/>
          <w:trHeight w:val="502"/>
        </w:trPr>
        <w:tc>
          <w:tcPr>
            <w:tcW w:w="12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bookmarkStart w:id="3" w:name="_Hlk114569821"/>
            <w:r w:rsidRPr="001D33EB">
              <w:rPr>
                <w:color w:val="000000"/>
                <w:lang w:val="en-US" w:eastAsia="en-US"/>
              </w:rPr>
              <w:t>Soybean</w:t>
            </w:r>
          </w:p>
        </w:tc>
        <w:tc>
          <w:tcPr>
            <w:tcW w:w="3752" w:type="dxa"/>
            <w:tcBorders>
              <w:top w:val="single" w:sz="4" w:space="0" w:color="auto"/>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 xml:space="preserve">DAS-81419-2xDAS-44406-6 </w:t>
            </w:r>
          </w:p>
        </w:tc>
        <w:tc>
          <w:tcPr>
            <w:tcW w:w="3348" w:type="dxa"/>
            <w:gridSpan w:val="2"/>
            <w:tcBorders>
              <w:top w:val="single" w:sz="4" w:space="0" w:color="auto"/>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Insect resistance and Herbicide tolerance</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Commodity clearance</w:t>
            </w:r>
          </w:p>
        </w:tc>
      </w:tr>
      <w:tr w:rsidR="00DE527F" w:rsidRPr="001D33EB" w:rsidTr="00B47B56">
        <w:trPr>
          <w:gridAfter w:val="1"/>
          <w:wAfter w:w="180" w:type="dxa"/>
          <w:trHeight w:val="502"/>
        </w:trPr>
        <w:tc>
          <w:tcPr>
            <w:tcW w:w="1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Soybean</w:t>
            </w:r>
          </w:p>
        </w:tc>
        <w:tc>
          <w:tcPr>
            <w:tcW w:w="3752" w:type="dxa"/>
            <w:tcBorders>
              <w:top w:val="nil"/>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MON87701 x MON89788</w:t>
            </w:r>
          </w:p>
        </w:tc>
        <w:tc>
          <w:tcPr>
            <w:tcW w:w="3348" w:type="dxa"/>
            <w:gridSpan w:val="2"/>
            <w:tcBorders>
              <w:top w:val="nil"/>
              <w:left w:val="nil"/>
              <w:bottom w:val="single" w:sz="4" w:space="0" w:color="auto"/>
              <w:right w:val="single" w:sz="4" w:space="0" w:color="auto"/>
            </w:tcBorders>
            <w:shd w:val="clear" w:color="000000" w:fill="FFFFFF"/>
            <w:vAlign w:val="center"/>
            <w:hideMark/>
          </w:tcPr>
          <w:p w:rsidR="00DE527F" w:rsidRPr="001D33EB" w:rsidRDefault="00DE527F" w:rsidP="00422108">
            <w:pPr>
              <w:jc w:val="both"/>
              <w:rPr>
                <w:color w:val="000000"/>
                <w:lang w:val="en-US" w:eastAsia="en-US"/>
              </w:rPr>
            </w:pPr>
            <w:r w:rsidRPr="001D33EB">
              <w:rPr>
                <w:color w:val="000000"/>
                <w:lang w:val="en-US" w:eastAsia="en-US"/>
              </w:rPr>
              <w:t>Insect resistance and Herbicide tolerance</w:t>
            </w: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DE527F" w:rsidRPr="001D33EB" w:rsidRDefault="00DE527F" w:rsidP="00422108">
            <w:pPr>
              <w:jc w:val="both"/>
              <w:rPr>
                <w:lang w:val="en-US" w:eastAsia="en-US"/>
              </w:rPr>
            </w:pPr>
            <w:r w:rsidRPr="001D33EB">
              <w:rPr>
                <w:lang w:val="en-US" w:eastAsia="en-US"/>
              </w:rPr>
              <w:t xml:space="preserve">General release </w:t>
            </w:r>
          </w:p>
        </w:tc>
      </w:tr>
      <w:bookmarkEnd w:id="2"/>
      <w:tr w:rsidR="00DE527F" w:rsidRPr="001D33EB" w:rsidTr="00B47B56">
        <w:trPr>
          <w:gridAfter w:val="1"/>
          <w:wAfter w:w="180" w:type="dxa"/>
          <w:trHeight w:val="80"/>
        </w:trPr>
        <w:tc>
          <w:tcPr>
            <w:tcW w:w="1214" w:type="dxa"/>
            <w:gridSpan w:val="2"/>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c>
          <w:tcPr>
            <w:tcW w:w="3752" w:type="dxa"/>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c>
          <w:tcPr>
            <w:tcW w:w="3348" w:type="dxa"/>
            <w:gridSpan w:val="2"/>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c>
          <w:tcPr>
            <w:tcW w:w="1741" w:type="dxa"/>
            <w:gridSpan w:val="2"/>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r>
      <w:bookmarkEnd w:id="3"/>
      <w:tr w:rsidR="00DE527F" w:rsidRPr="001D33EB" w:rsidTr="00B47B56">
        <w:trPr>
          <w:gridAfter w:val="1"/>
          <w:wAfter w:w="180" w:type="dxa"/>
          <w:trHeight w:val="80"/>
        </w:trPr>
        <w:tc>
          <w:tcPr>
            <w:tcW w:w="1214" w:type="dxa"/>
            <w:gridSpan w:val="2"/>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c>
          <w:tcPr>
            <w:tcW w:w="3752" w:type="dxa"/>
            <w:tcBorders>
              <w:top w:val="nil"/>
              <w:left w:val="nil"/>
              <w:bottom w:val="nil"/>
              <w:right w:val="nil"/>
            </w:tcBorders>
            <w:shd w:val="clear" w:color="auto" w:fill="auto"/>
            <w:noWrap/>
            <w:vAlign w:val="bottom"/>
          </w:tcPr>
          <w:p w:rsidR="00DE527F" w:rsidRPr="001D33EB" w:rsidRDefault="00DE527F" w:rsidP="00422108">
            <w:pPr>
              <w:jc w:val="both"/>
              <w:rPr>
                <w:lang w:val="en-US" w:eastAsia="en-US"/>
              </w:rPr>
            </w:pPr>
          </w:p>
        </w:tc>
        <w:tc>
          <w:tcPr>
            <w:tcW w:w="3348"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c>
          <w:tcPr>
            <w:tcW w:w="1741"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r>
      <w:tr w:rsidR="00DE527F" w:rsidRPr="001D33EB" w:rsidTr="00B47B56">
        <w:trPr>
          <w:gridAfter w:val="1"/>
          <w:wAfter w:w="180" w:type="dxa"/>
          <w:trHeight w:val="80"/>
        </w:trPr>
        <w:tc>
          <w:tcPr>
            <w:tcW w:w="1214"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c>
          <w:tcPr>
            <w:tcW w:w="3752" w:type="dxa"/>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c>
          <w:tcPr>
            <w:tcW w:w="3348"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c>
          <w:tcPr>
            <w:tcW w:w="1741"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r>
      <w:tr w:rsidR="00DE527F" w:rsidRPr="001D33EB" w:rsidTr="00B47B56">
        <w:trPr>
          <w:gridBefore w:val="1"/>
          <w:wBefore w:w="180" w:type="dxa"/>
          <w:trHeight w:val="528"/>
        </w:trPr>
        <w:tc>
          <w:tcPr>
            <w:tcW w:w="4966" w:type="dxa"/>
            <w:gridSpan w:val="3"/>
            <w:tcBorders>
              <w:top w:val="nil"/>
              <w:left w:val="nil"/>
              <w:bottom w:val="nil"/>
              <w:right w:val="nil"/>
            </w:tcBorders>
            <w:shd w:val="clear" w:color="auto" w:fill="auto"/>
            <w:noWrap/>
            <w:vAlign w:val="bottom"/>
            <w:hideMark/>
          </w:tcPr>
          <w:p w:rsidR="00DE527F" w:rsidRPr="001D33EB" w:rsidRDefault="00DE527F" w:rsidP="00422108">
            <w:pPr>
              <w:jc w:val="both"/>
              <w:rPr>
                <w:b/>
                <w:bCs/>
                <w:color w:val="000000"/>
                <w:lang w:val="en-US" w:eastAsia="en-US"/>
              </w:rPr>
            </w:pPr>
            <w:r w:rsidRPr="001D33EB">
              <w:rPr>
                <w:b/>
                <w:bCs/>
                <w:color w:val="000000"/>
                <w:lang w:val="en-US" w:eastAsia="en-US"/>
              </w:rPr>
              <w:t>Table 3: New GMO events approved in 2022/2023</w:t>
            </w:r>
          </w:p>
        </w:tc>
        <w:tc>
          <w:tcPr>
            <w:tcW w:w="3348"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b/>
                <w:bCs/>
                <w:color w:val="000000"/>
                <w:lang w:val="en-US" w:eastAsia="en-US"/>
              </w:rPr>
            </w:pPr>
          </w:p>
        </w:tc>
        <w:tc>
          <w:tcPr>
            <w:tcW w:w="1741" w:type="dxa"/>
            <w:gridSpan w:val="2"/>
            <w:tcBorders>
              <w:top w:val="nil"/>
              <w:left w:val="nil"/>
              <w:bottom w:val="nil"/>
              <w:right w:val="nil"/>
            </w:tcBorders>
            <w:shd w:val="clear" w:color="auto" w:fill="auto"/>
            <w:noWrap/>
            <w:vAlign w:val="bottom"/>
            <w:hideMark/>
          </w:tcPr>
          <w:p w:rsidR="00DE527F" w:rsidRPr="001D33EB" w:rsidRDefault="00DE527F" w:rsidP="00422108">
            <w:pPr>
              <w:jc w:val="both"/>
              <w:rPr>
                <w:lang w:val="en-US" w:eastAsia="en-US"/>
              </w:rPr>
            </w:pPr>
          </w:p>
        </w:tc>
      </w:tr>
      <w:tr w:rsidR="00DE527F" w:rsidRPr="001D33EB" w:rsidTr="00B47B56">
        <w:trPr>
          <w:gridAfter w:val="1"/>
          <w:wAfter w:w="180" w:type="dxa"/>
          <w:trHeight w:val="502"/>
        </w:trPr>
        <w:tc>
          <w:tcPr>
            <w:tcW w:w="121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E527F" w:rsidRPr="001D33EB" w:rsidRDefault="00DE527F" w:rsidP="00422108">
            <w:pPr>
              <w:jc w:val="both"/>
              <w:rPr>
                <w:color w:val="000000"/>
                <w:lang w:val="en-US" w:eastAsia="en-US"/>
              </w:rPr>
            </w:pPr>
            <w:r w:rsidRPr="001D33EB">
              <w:rPr>
                <w:b/>
                <w:bCs/>
                <w:lang w:val="en-US" w:eastAsia="en-US"/>
              </w:rPr>
              <w:t xml:space="preserve">Crop </w:t>
            </w:r>
          </w:p>
        </w:tc>
        <w:tc>
          <w:tcPr>
            <w:tcW w:w="3752" w:type="dxa"/>
            <w:tcBorders>
              <w:top w:val="single" w:sz="4" w:space="0" w:color="auto"/>
              <w:left w:val="nil"/>
              <w:bottom w:val="single" w:sz="4" w:space="0" w:color="auto"/>
              <w:right w:val="single" w:sz="4" w:space="0" w:color="auto"/>
            </w:tcBorders>
            <w:shd w:val="clear" w:color="000000" w:fill="FFFFFF"/>
            <w:vAlign w:val="bottom"/>
          </w:tcPr>
          <w:p w:rsidR="00DE527F" w:rsidRPr="001D33EB" w:rsidRDefault="00DE527F" w:rsidP="00422108">
            <w:pPr>
              <w:jc w:val="both"/>
              <w:rPr>
                <w:color w:val="000000"/>
                <w:lang w:val="en-US" w:eastAsia="en-US"/>
              </w:rPr>
            </w:pPr>
            <w:r w:rsidRPr="001D33EB">
              <w:rPr>
                <w:b/>
                <w:bCs/>
                <w:lang w:val="en-US" w:eastAsia="en-US"/>
              </w:rPr>
              <w:t>Event</w:t>
            </w:r>
          </w:p>
        </w:tc>
        <w:tc>
          <w:tcPr>
            <w:tcW w:w="3348" w:type="dxa"/>
            <w:gridSpan w:val="2"/>
            <w:tcBorders>
              <w:top w:val="single" w:sz="4" w:space="0" w:color="auto"/>
              <w:left w:val="nil"/>
              <w:bottom w:val="single" w:sz="4" w:space="0" w:color="auto"/>
              <w:right w:val="single" w:sz="4" w:space="0" w:color="auto"/>
            </w:tcBorders>
            <w:shd w:val="clear" w:color="000000" w:fill="FFFFFF"/>
            <w:vAlign w:val="bottom"/>
          </w:tcPr>
          <w:p w:rsidR="00DE527F" w:rsidRPr="001D33EB" w:rsidRDefault="00DE527F" w:rsidP="00422108">
            <w:pPr>
              <w:jc w:val="both"/>
              <w:rPr>
                <w:color w:val="000000"/>
                <w:lang w:val="en-US" w:eastAsia="en-US"/>
              </w:rPr>
            </w:pPr>
            <w:r w:rsidRPr="001D33EB">
              <w:rPr>
                <w:b/>
                <w:bCs/>
                <w:lang w:val="en-US" w:eastAsia="en-US"/>
              </w:rPr>
              <w:t>Trait</w:t>
            </w:r>
          </w:p>
        </w:tc>
        <w:tc>
          <w:tcPr>
            <w:tcW w:w="1741" w:type="dxa"/>
            <w:gridSpan w:val="2"/>
            <w:tcBorders>
              <w:top w:val="single" w:sz="4" w:space="0" w:color="auto"/>
              <w:left w:val="nil"/>
              <w:bottom w:val="single" w:sz="4" w:space="0" w:color="auto"/>
              <w:right w:val="single" w:sz="4" w:space="0" w:color="auto"/>
            </w:tcBorders>
            <w:shd w:val="clear" w:color="000000" w:fill="FFFFFF"/>
            <w:vAlign w:val="bottom"/>
          </w:tcPr>
          <w:p w:rsidR="00DE527F" w:rsidRPr="001D33EB" w:rsidRDefault="00DE527F" w:rsidP="00422108">
            <w:pPr>
              <w:jc w:val="both"/>
              <w:rPr>
                <w:color w:val="000000"/>
                <w:lang w:val="en-US" w:eastAsia="en-US"/>
              </w:rPr>
            </w:pPr>
            <w:r w:rsidRPr="001D33EB">
              <w:rPr>
                <w:b/>
                <w:bCs/>
                <w:lang w:val="en-US" w:eastAsia="en-US"/>
              </w:rPr>
              <w:t xml:space="preserve">Category </w:t>
            </w:r>
          </w:p>
        </w:tc>
      </w:tr>
      <w:tr w:rsidR="00DE527F" w:rsidRPr="001D33EB" w:rsidTr="00B47B56">
        <w:trPr>
          <w:gridAfter w:val="1"/>
          <w:wAfter w:w="180" w:type="dxa"/>
          <w:trHeight w:val="502"/>
        </w:trPr>
        <w:tc>
          <w:tcPr>
            <w:tcW w:w="1214" w:type="dxa"/>
            <w:gridSpan w:val="2"/>
            <w:tcBorders>
              <w:top w:val="nil"/>
              <w:left w:val="single" w:sz="4" w:space="0" w:color="auto"/>
              <w:bottom w:val="single" w:sz="4" w:space="0" w:color="auto"/>
              <w:right w:val="single" w:sz="4" w:space="0" w:color="auto"/>
            </w:tcBorders>
            <w:shd w:val="clear" w:color="auto" w:fill="auto"/>
            <w:noWrap/>
            <w:vAlign w:val="center"/>
          </w:tcPr>
          <w:p w:rsidR="00DE527F" w:rsidRPr="001D33EB" w:rsidRDefault="00DE527F" w:rsidP="00422108">
            <w:pPr>
              <w:jc w:val="both"/>
              <w:rPr>
                <w:lang w:val="en-US" w:eastAsia="en-US"/>
              </w:rPr>
            </w:pPr>
            <w:r w:rsidRPr="001D33EB">
              <w:rPr>
                <w:color w:val="000000"/>
                <w:lang w:val="en-US" w:eastAsia="en-US"/>
              </w:rPr>
              <w:t xml:space="preserve">Maize </w:t>
            </w:r>
          </w:p>
        </w:tc>
        <w:tc>
          <w:tcPr>
            <w:tcW w:w="3752" w:type="dxa"/>
            <w:tcBorders>
              <w:top w:val="nil"/>
              <w:left w:val="nil"/>
              <w:bottom w:val="single" w:sz="4" w:space="0" w:color="auto"/>
              <w:right w:val="single" w:sz="4" w:space="0" w:color="auto"/>
            </w:tcBorders>
            <w:shd w:val="clear" w:color="auto" w:fill="auto"/>
            <w:noWrap/>
            <w:vAlign w:val="bottom"/>
          </w:tcPr>
          <w:p w:rsidR="00DE527F" w:rsidRPr="001D33EB" w:rsidRDefault="00DE527F" w:rsidP="00422108">
            <w:pPr>
              <w:jc w:val="both"/>
              <w:rPr>
                <w:lang w:val="en-US" w:eastAsia="en-US"/>
              </w:rPr>
            </w:pPr>
            <w:r w:rsidRPr="001D33EB">
              <w:rPr>
                <w:color w:val="000000"/>
                <w:lang w:val="en-US" w:eastAsia="en-US"/>
              </w:rPr>
              <w:t>3272 x Bt11 x MIR162 x MIR604 x TC1507 x 5307 x GA21</w:t>
            </w:r>
          </w:p>
        </w:tc>
        <w:tc>
          <w:tcPr>
            <w:tcW w:w="3348" w:type="dxa"/>
            <w:gridSpan w:val="2"/>
            <w:tcBorders>
              <w:top w:val="nil"/>
              <w:left w:val="nil"/>
              <w:bottom w:val="single" w:sz="4" w:space="0" w:color="auto"/>
              <w:right w:val="single" w:sz="4" w:space="0" w:color="auto"/>
            </w:tcBorders>
            <w:shd w:val="clear" w:color="000000" w:fill="FFFFFF"/>
            <w:vAlign w:val="center"/>
          </w:tcPr>
          <w:p w:rsidR="00DE527F" w:rsidRPr="001D33EB" w:rsidRDefault="00DE527F" w:rsidP="00422108">
            <w:pPr>
              <w:jc w:val="both"/>
              <w:rPr>
                <w:color w:val="000000"/>
                <w:lang w:val="en-US" w:eastAsia="en-US"/>
              </w:rPr>
            </w:pPr>
            <w:r w:rsidRPr="001D33EB">
              <w:rPr>
                <w:color w:val="000000"/>
                <w:lang w:val="en-US" w:eastAsia="en-US"/>
              </w:rPr>
              <w:t>Insect resistance and Herbicide tolerance</w:t>
            </w:r>
          </w:p>
        </w:tc>
        <w:tc>
          <w:tcPr>
            <w:tcW w:w="1741" w:type="dxa"/>
            <w:gridSpan w:val="2"/>
            <w:tcBorders>
              <w:top w:val="nil"/>
              <w:left w:val="nil"/>
              <w:bottom w:val="single" w:sz="4" w:space="0" w:color="auto"/>
              <w:right w:val="single" w:sz="4" w:space="0" w:color="auto"/>
            </w:tcBorders>
            <w:shd w:val="clear" w:color="auto" w:fill="auto"/>
            <w:noWrap/>
            <w:vAlign w:val="center"/>
          </w:tcPr>
          <w:p w:rsidR="00DE527F" w:rsidRPr="001D33EB" w:rsidRDefault="00DE527F" w:rsidP="00422108">
            <w:pPr>
              <w:jc w:val="both"/>
              <w:rPr>
                <w:lang w:val="en-US" w:eastAsia="en-US"/>
              </w:rPr>
            </w:pPr>
            <w:r w:rsidRPr="001D33EB">
              <w:rPr>
                <w:color w:val="000000"/>
                <w:lang w:val="en-US" w:eastAsia="en-US"/>
              </w:rPr>
              <w:t>Commodity clearance</w:t>
            </w:r>
          </w:p>
        </w:tc>
      </w:tr>
    </w:tbl>
    <w:p w:rsidR="00DE527F" w:rsidRPr="001D33EB" w:rsidRDefault="00DE527F" w:rsidP="00234C8C">
      <w:pPr>
        <w:tabs>
          <w:tab w:val="left" w:pos="142"/>
        </w:tabs>
        <w:jc w:val="both"/>
        <w:rPr>
          <w:rFonts w:eastAsia="Calibri"/>
          <w:b/>
          <w:lang w:val="en-ZA" w:eastAsia="en-US"/>
        </w:rPr>
      </w:pPr>
    </w:p>
    <w:bookmarkEnd w:id="1"/>
    <w:p w:rsidR="00DE527F" w:rsidRPr="001D33EB" w:rsidRDefault="00DE527F" w:rsidP="00234C8C">
      <w:pPr>
        <w:tabs>
          <w:tab w:val="left" w:pos="142"/>
        </w:tabs>
        <w:jc w:val="both"/>
        <w:rPr>
          <w:rFonts w:eastAsia="Calibri"/>
          <w:b/>
          <w:color w:val="000000"/>
          <w:lang w:val="en-ZA" w:eastAsia="en-US"/>
        </w:rPr>
      </w:pPr>
      <w:r w:rsidRPr="001D33EB">
        <w:rPr>
          <w:rFonts w:eastAsia="Calibri"/>
          <w:b/>
          <w:color w:val="000000"/>
          <w:lang w:val="en-ZA" w:eastAsia="en-US"/>
        </w:rPr>
        <w:t>Development support to black producers</w:t>
      </w:r>
    </w:p>
    <w:p w:rsidR="00DE527F" w:rsidRPr="001D33EB" w:rsidRDefault="00DE527F" w:rsidP="00234C8C">
      <w:pPr>
        <w:tabs>
          <w:tab w:val="left" w:pos="142"/>
        </w:tabs>
        <w:jc w:val="both"/>
        <w:rPr>
          <w:rFonts w:eastAsia="Calibri"/>
          <w:bCs/>
          <w:lang w:val="en-ZA" w:eastAsia="en-US"/>
        </w:rPr>
      </w:pPr>
    </w:p>
    <w:p w:rsidR="00DE527F" w:rsidRPr="001D33EB" w:rsidRDefault="00DE527F" w:rsidP="00234C8C">
      <w:pPr>
        <w:tabs>
          <w:tab w:val="left" w:pos="142"/>
        </w:tabs>
        <w:jc w:val="both"/>
        <w:rPr>
          <w:rFonts w:eastAsia="Calibri"/>
          <w:bCs/>
          <w:lang w:val="en-ZA" w:eastAsia="en-US"/>
        </w:rPr>
      </w:pPr>
      <w:r w:rsidRPr="001D33EB">
        <w:rPr>
          <w:rFonts w:eastAsia="Calibri"/>
          <w:bCs/>
          <w:lang w:val="en-ZA" w:eastAsia="en-US"/>
        </w:rPr>
        <w:t xml:space="preserve">The DALRRD implements a number of farmer support and development programmes such as the Comprehensive Agricultural Support Programme and </w:t>
      </w:r>
      <w:proofErr w:type="spellStart"/>
      <w:r w:rsidRPr="001D33EB">
        <w:rPr>
          <w:rFonts w:eastAsia="Calibri"/>
          <w:bCs/>
          <w:lang w:val="en-ZA" w:eastAsia="en-US"/>
        </w:rPr>
        <w:t>Ilima</w:t>
      </w:r>
      <w:proofErr w:type="spellEnd"/>
      <w:r w:rsidRPr="001D33EB">
        <w:rPr>
          <w:rFonts w:eastAsia="Calibri"/>
          <w:bCs/>
          <w:lang w:val="en-ZA" w:eastAsia="en-US"/>
        </w:rPr>
        <w:t>/</w:t>
      </w:r>
      <w:proofErr w:type="spellStart"/>
      <w:r w:rsidRPr="001D33EB">
        <w:rPr>
          <w:rFonts w:eastAsia="Calibri"/>
          <w:bCs/>
          <w:lang w:val="en-ZA" w:eastAsia="en-US"/>
        </w:rPr>
        <w:t>Letsema</w:t>
      </w:r>
      <w:proofErr w:type="spellEnd"/>
      <w:r w:rsidRPr="001D33EB">
        <w:rPr>
          <w:rFonts w:eastAsia="Calibri"/>
          <w:bCs/>
          <w:lang w:val="en-ZA" w:eastAsia="en-US"/>
        </w:rPr>
        <w:t xml:space="preserve"> conditional grants aimed at promoting and facilitating agricultural development and increased production by beneficiaries of land reform or other black producers who have acquired land privately. In the 2022/23 financial year, these programmes are targeting to put 88 867 ha of land under </w:t>
      </w:r>
      <w:r w:rsidR="00AE3CFD" w:rsidRPr="00234C8C">
        <w:rPr>
          <w:rFonts w:eastAsia="Calibri"/>
          <w:bCs/>
          <w:lang w:val="en-ZA" w:eastAsia="en-US"/>
        </w:rPr>
        <w:t>the</w:t>
      </w:r>
      <w:r w:rsidR="00AE3CFD">
        <w:rPr>
          <w:rFonts w:eastAsia="Calibri"/>
          <w:bCs/>
          <w:lang w:val="en-ZA" w:eastAsia="en-US"/>
        </w:rPr>
        <w:t xml:space="preserve"> </w:t>
      </w:r>
      <w:r w:rsidRPr="001D33EB">
        <w:rPr>
          <w:rFonts w:eastAsia="Calibri"/>
          <w:bCs/>
          <w:lang w:val="en-ZA" w:eastAsia="en-US"/>
        </w:rPr>
        <w:t xml:space="preserve">production of which 90% would be grains. The table below reflect the planned production in 2022/23 per province through these conditional grants:  </w:t>
      </w:r>
    </w:p>
    <w:p w:rsidR="00DE527F" w:rsidRDefault="00DE527F" w:rsidP="00234C8C">
      <w:pPr>
        <w:tabs>
          <w:tab w:val="left" w:pos="142"/>
        </w:tabs>
        <w:jc w:val="both"/>
        <w:rPr>
          <w:rFonts w:eastAsia="Calibri"/>
          <w:b/>
          <w:lang w:val="en-ZA" w:eastAsia="en-US"/>
        </w:rPr>
      </w:pPr>
    </w:p>
    <w:p w:rsidR="00422108" w:rsidRDefault="00422108" w:rsidP="00234C8C">
      <w:pPr>
        <w:tabs>
          <w:tab w:val="left" w:pos="142"/>
        </w:tabs>
        <w:jc w:val="both"/>
        <w:rPr>
          <w:rFonts w:eastAsia="Calibri"/>
          <w:b/>
          <w:lang w:val="en-ZA" w:eastAsia="en-US"/>
        </w:rPr>
      </w:pPr>
    </w:p>
    <w:p w:rsidR="00422108" w:rsidRPr="001D33EB" w:rsidRDefault="00422108" w:rsidP="00234C8C">
      <w:pPr>
        <w:tabs>
          <w:tab w:val="left" w:pos="142"/>
        </w:tabs>
        <w:jc w:val="both"/>
        <w:rPr>
          <w:rFonts w:eastAsia="Calibri"/>
          <w:b/>
          <w:lang w:val="en-ZA" w:eastAsia="en-US"/>
        </w:rPr>
      </w:pPr>
    </w:p>
    <w:tbl>
      <w:tblPr>
        <w:tblW w:w="10958" w:type="dxa"/>
        <w:tblInd w:w="-815" w:type="dxa"/>
        <w:tblLook w:val="04A0"/>
      </w:tblPr>
      <w:tblGrid>
        <w:gridCol w:w="2070"/>
        <w:gridCol w:w="1151"/>
        <w:gridCol w:w="849"/>
        <w:gridCol w:w="900"/>
        <w:gridCol w:w="884"/>
        <w:gridCol w:w="1006"/>
        <w:gridCol w:w="884"/>
        <w:gridCol w:w="762"/>
        <w:gridCol w:w="874"/>
        <w:gridCol w:w="762"/>
        <w:gridCol w:w="1016"/>
      </w:tblGrid>
      <w:tr w:rsidR="00DE527F" w:rsidRPr="001D33EB" w:rsidTr="00727E41">
        <w:trPr>
          <w:trHeight w:val="308"/>
        </w:trPr>
        <w:tc>
          <w:tcPr>
            <w:tcW w:w="20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HA</w:t>
            </w:r>
          </w:p>
        </w:tc>
        <w:tc>
          <w:tcPr>
            <w:tcW w:w="951"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EC</w:t>
            </w:r>
          </w:p>
        </w:tc>
        <w:tc>
          <w:tcPr>
            <w:tcW w:w="849"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FS</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GP</w:t>
            </w:r>
          </w:p>
        </w:tc>
        <w:tc>
          <w:tcPr>
            <w:tcW w:w="884"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KZN</w:t>
            </w:r>
          </w:p>
        </w:tc>
        <w:tc>
          <w:tcPr>
            <w:tcW w:w="1006"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LP</w:t>
            </w:r>
          </w:p>
        </w:tc>
        <w:tc>
          <w:tcPr>
            <w:tcW w:w="884"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MP</w:t>
            </w:r>
          </w:p>
        </w:tc>
        <w:tc>
          <w:tcPr>
            <w:tcW w:w="762"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NC</w:t>
            </w:r>
          </w:p>
        </w:tc>
        <w:tc>
          <w:tcPr>
            <w:tcW w:w="874"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NW</w:t>
            </w:r>
          </w:p>
        </w:tc>
        <w:tc>
          <w:tcPr>
            <w:tcW w:w="762"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WC</w:t>
            </w:r>
          </w:p>
        </w:tc>
        <w:tc>
          <w:tcPr>
            <w:tcW w:w="1016" w:type="dxa"/>
            <w:tcBorders>
              <w:top w:val="single" w:sz="4" w:space="0" w:color="auto"/>
              <w:left w:val="nil"/>
              <w:bottom w:val="single" w:sz="4" w:space="0" w:color="auto"/>
              <w:right w:val="single" w:sz="4" w:space="0" w:color="auto"/>
            </w:tcBorders>
            <w:shd w:val="clear" w:color="000000" w:fill="D9D9D9"/>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TOTAL</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E527F" w:rsidRPr="00727E41" w:rsidRDefault="00727E41" w:rsidP="00234C8C">
            <w:pPr>
              <w:jc w:val="both"/>
              <w:rPr>
                <w:bCs/>
                <w:color w:val="000000"/>
                <w:lang w:val="en-ZA" w:eastAsia="en-ZA"/>
              </w:rPr>
            </w:pPr>
            <w:r w:rsidRPr="00727E41">
              <w:rPr>
                <w:bCs/>
                <w:color w:val="000000"/>
                <w:lang w:val="en-ZA" w:eastAsia="en-ZA"/>
              </w:rPr>
              <w:t xml:space="preserve">Fruit </w:t>
            </w:r>
          </w:p>
        </w:tc>
        <w:tc>
          <w:tcPr>
            <w:tcW w:w="951"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298</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0</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291</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50</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10</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649</w:t>
            </w:r>
          </w:p>
        </w:tc>
      </w:tr>
      <w:tr w:rsidR="00DE527F" w:rsidRPr="001D33EB" w:rsidTr="00727E41">
        <w:trPr>
          <w:trHeight w:val="617"/>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DE527F" w:rsidRPr="00727E41" w:rsidRDefault="00727E41" w:rsidP="00234C8C">
            <w:pPr>
              <w:jc w:val="both"/>
              <w:rPr>
                <w:bCs/>
                <w:color w:val="000000"/>
                <w:lang w:val="en-ZA" w:eastAsia="en-ZA"/>
              </w:rPr>
            </w:pPr>
            <w:r w:rsidRPr="00727E41">
              <w:rPr>
                <w:bCs/>
                <w:color w:val="000000"/>
                <w:lang w:val="en-ZA" w:eastAsia="en-ZA"/>
              </w:rPr>
              <w:t>Wine &amp; Table Grapes</w:t>
            </w:r>
          </w:p>
        </w:tc>
        <w:tc>
          <w:tcPr>
            <w:tcW w:w="951"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6</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6</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E527F" w:rsidRPr="00727E41" w:rsidRDefault="00727E41" w:rsidP="00234C8C">
            <w:pPr>
              <w:jc w:val="both"/>
              <w:rPr>
                <w:bCs/>
                <w:color w:val="000000"/>
                <w:lang w:val="en-ZA" w:eastAsia="en-ZA"/>
              </w:rPr>
            </w:pPr>
            <w:r w:rsidRPr="00727E41">
              <w:rPr>
                <w:bCs/>
                <w:color w:val="000000"/>
                <w:lang w:val="en-ZA" w:eastAsia="en-ZA"/>
              </w:rPr>
              <w:t>Vegetables</w:t>
            </w:r>
          </w:p>
        </w:tc>
        <w:tc>
          <w:tcPr>
            <w:tcW w:w="951"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1616,8</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200</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2 073</w:t>
            </w:r>
          </w:p>
        </w:tc>
        <w:tc>
          <w:tcPr>
            <w:tcW w:w="100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878</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1140</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140</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267</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0</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6 327</w:t>
            </w:r>
          </w:p>
        </w:tc>
      </w:tr>
      <w:tr w:rsidR="00DE527F" w:rsidRPr="001D33EB" w:rsidTr="00727E41">
        <w:trPr>
          <w:trHeight w:val="1556"/>
        </w:trPr>
        <w:tc>
          <w:tcPr>
            <w:tcW w:w="2070" w:type="dxa"/>
            <w:tcBorders>
              <w:top w:val="nil"/>
              <w:left w:val="single" w:sz="4" w:space="0" w:color="auto"/>
              <w:bottom w:val="single" w:sz="4" w:space="0" w:color="auto"/>
              <w:right w:val="single" w:sz="4" w:space="0" w:color="auto"/>
            </w:tcBorders>
            <w:shd w:val="clear" w:color="auto" w:fill="auto"/>
            <w:hideMark/>
          </w:tcPr>
          <w:p w:rsidR="00DE527F" w:rsidRPr="00727E41" w:rsidRDefault="00727E41" w:rsidP="00234C8C">
            <w:pPr>
              <w:jc w:val="both"/>
              <w:rPr>
                <w:bCs/>
                <w:color w:val="000000"/>
                <w:lang w:val="en-ZA" w:eastAsia="en-ZA"/>
              </w:rPr>
            </w:pPr>
            <w:r w:rsidRPr="00727E41">
              <w:rPr>
                <w:bCs/>
                <w:color w:val="000000"/>
                <w:lang w:val="en-ZA" w:eastAsia="en-ZA"/>
              </w:rPr>
              <w:t>Grains (Maize, Dry Beans, Groundnuts, Wheat, Sunflower, Sorghum)</w:t>
            </w:r>
          </w:p>
        </w:tc>
        <w:tc>
          <w:tcPr>
            <w:tcW w:w="951" w:type="dxa"/>
            <w:tcBorders>
              <w:top w:val="nil"/>
              <w:left w:val="nil"/>
              <w:bottom w:val="single" w:sz="4" w:space="0" w:color="auto"/>
              <w:right w:val="single" w:sz="4" w:space="0" w:color="auto"/>
            </w:tcBorders>
            <w:shd w:val="clear" w:color="auto" w:fill="auto"/>
            <w:vAlign w:val="center"/>
            <w:hideMark/>
          </w:tcPr>
          <w:p w:rsidR="00DE527F" w:rsidRPr="001D33EB" w:rsidRDefault="00DE527F" w:rsidP="00234C8C">
            <w:pPr>
              <w:jc w:val="both"/>
              <w:rPr>
                <w:lang w:val="en-ZA" w:eastAsia="en-ZA"/>
              </w:rPr>
            </w:pPr>
            <w:r w:rsidRPr="001D33EB">
              <w:rPr>
                <w:lang w:val="en-ZA" w:eastAsia="en-ZA"/>
              </w:rPr>
              <w:t>36 365</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1414</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4 000</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10 465</w:t>
            </w:r>
          </w:p>
        </w:tc>
        <w:tc>
          <w:tcPr>
            <w:tcW w:w="1006"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6446</w:t>
            </w:r>
          </w:p>
        </w:tc>
        <w:tc>
          <w:tcPr>
            <w:tcW w:w="884"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15050</w:t>
            </w:r>
          </w:p>
        </w:tc>
        <w:tc>
          <w:tcPr>
            <w:tcW w:w="762"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200</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6 288</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0</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80 228</w:t>
            </w:r>
          </w:p>
        </w:tc>
      </w:tr>
      <w:tr w:rsidR="00DE527F" w:rsidRPr="001D33EB" w:rsidTr="00727E41">
        <w:trPr>
          <w:trHeight w:val="617"/>
        </w:trPr>
        <w:tc>
          <w:tcPr>
            <w:tcW w:w="2070" w:type="dxa"/>
            <w:tcBorders>
              <w:top w:val="nil"/>
              <w:left w:val="single" w:sz="4" w:space="0" w:color="auto"/>
              <w:bottom w:val="single" w:sz="4" w:space="0" w:color="auto"/>
              <w:right w:val="single" w:sz="4" w:space="0" w:color="auto"/>
            </w:tcBorders>
            <w:shd w:val="clear" w:color="auto" w:fill="auto"/>
            <w:hideMark/>
          </w:tcPr>
          <w:p w:rsidR="00DE527F" w:rsidRPr="00727E41" w:rsidRDefault="00727E41" w:rsidP="00234C8C">
            <w:pPr>
              <w:jc w:val="both"/>
              <w:rPr>
                <w:bCs/>
                <w:color w:val="000000"/>
                <w:lang w:val="en-ZA" w:eastAsia="en-ZA"/>
              </w:rPr>
            </w:pPr>
            <w:r w:rsidRPr="00727E41">
              <w:rPr>
                <w:bCs/>
                <w:color w:val="000000"/>
                <w:lang w:val="en-ZA" w:eastAsia="en-ZA"/>
              </w:rPr>
              <w:t>Macadamia/Nuts</w:t>
            </w:r>
          </w:p>
        </w:tc>
        <w:tc>
          <w:tcPr>
            <w:tcW w:w="951" w:type="dxa"/>
            <w:tcBorders>
              <w:top w:val="nil"/>
              <w:left w:val="nil"/>
              <w:bottom w:val="single" w:sz="4" w:space="0" w:color="auto"/>
              <w:right w:val="single" w:sz="4" w:space="0" w:color="auto"/>
            </w:tcBorders>
            <w:shd w:val="clear" w:color="auto" w:fill="auto"/>
            <w:vAlign w:val="center"/>
            <w:hideMark/>
          </w:tcPr>
          <w:p w:rsidR="00DE527F" w:rsidRPr="001D33EB" w:rsidRDefault="00DE527F" w:rsidP="00234C8C">
            <w:pPr>
              <w:jc w:val="both"/>
              <w:rPr>
                <w:lang w:val="en-ZA" w:eastAsia="en-ZA"/>
              </w:rPr>
            </w:pPr>
            <w:r w:rsidRPr="001D33EB">
              <w:rPr>
                <w:lang w:val="en-ZA" w:eastAsia="en-ZA"/>
              </w:rPr>
              <w:t> </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30</w:t>
            </w:r>
          </w:p>
        </w:tc>
        <w:tc>
          <w:tcPr>
            <w:tcW w:w="1006"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24</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54</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auto" w:fill="auto"/>
            <w:hideMark/>
          </w:tcPr>
          <w:p w:rsidR="00DE527F" w:rsidRPr="00727E41" w:rsidRDefault="00727E41" w:rsidP="00234C8C">
            <w:pPr>
              <w:jc w:val="both"/>
              <w:rPr>
                <w:bCs/>
                <w:color w:val="000000"/>
                <w:lang w:val="en-ZA" w:eastAsia="en-ZA"/>
              </w:rPr>
            </w:pPr>
            <w:r w:rsidRPr="00727E41">
              <w:rPr>
                <w:bCs/>
                <w:color w:val="000000"/>
                <w:lang w:val="en-ZA" w:eastAsia="en-ZA"/>
              </w:rPr>
              <w:t>Chicory</w:t>
            </w:r>
          </w:p>
        </w:tc>
        <w:tc>
          <w:tcPr>
            <w:tcW w:w="951" w:type="dxa"/>
            <w:tcBorders>
              <w:top w:val="nil"/>
              <w:left w:val="nil"/>
              <w:bottom w:val="single" w:sz="4" w:space="0" w:color="auto"/>
              <w:right w:val="single" w:sz="4" w:space="0" w:color="auto"/>
            </w:tcBorders>
            <w:shd w:val="clear" w:color="auto" w:fill="auto"/>
            <w:vAlign w:val="center"/>
            <w:hideMark/>
          </w:tcPr>
          <w:p w:rsidR="00DE527F" w:rsidRPr="001D33EB" w:rsidRDefault="00DE527F" w:rsidP="00234C8C">
            <w:pPr>
              <w:jc w:val="both"/>
              <w:rPr>
                <w:lang w:val="en-ZA" w:eastAsia="en-ZA"/>
              </w:rPr>
            </w:pPr>
            <w:r w:rsidRPr="001D33EB">
              <w:rPr>
                <w:lang w:val="en-ZA" w:eastAsia="en-ZA"/>
              </w:rPr>
              <w:t>120</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06"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120</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auto" w:fill="auto"/>
            <w:hideMark/>
          </w:tcPr>
          <w:p w:rsidR="00DE527F" w:rsidRPr="00727E41" w:rsidRDefault="00727E41" w:rsidP="00234C8C">
            <w:pPr>
              <w:jc w:val="both"/>
              <w:rPr>
                <w:bCs/>
                <w:color w:val="000000"/>
                <w:lang w:val="en-ZA" w:eastAsia="en-ZA"/>
              </w:rPr>
            </w:pPr>
            <w:r w:rsidRPr="00727E41">
              <w:rPr>
                <w:bCs/>
                <w:color w:val="000000"/>
                <w:lang w:val="en-ZA" w:eastAsia="en-ZA"/>
              </w:rPr>
              <w:t>Cotton</w:t>
            </w:r>
          </w:p>
        </w:tc>
        <w:tc>
          <w:tcPr>
            <w:tcW w:w="951" w:type="dxa"/>
            <w:tcBorders>
              <w:top w:val="nil"/>
              <w:left w:val="nil"/>
              <w:bottom w:val="single" w:sz="4" w:space="0" w:color="auto"/>
              <w:right w:val="single" w:sz="4" w:space="0" w:color="auto"/>
            </w:tcBorders>
            <w:shd w:val="clear" w:color="auto" w:fill="auto"/>
            <w:vAlign w:val="center"/>
            <w:hideMark/>
          </w:tcPr>
          <w:p w:rsidR="00DE527F" w:rsidRPr="001D33EB" w:rsidRDefault="00DE527F" w:rsidP="00234C8C">
            <w:pPr>
              <w:jc w:val="both"/>
              <w:rPr>
                <w:lang w:val="en-ZA" w:eastAsia="en-ZA"/>
              </w:rPr>
            </w:pPr>
            <w:r w:rsidRPr="001D33EB">
              <w:rPr>
                <w:lang w:val="en-ZA" w:eastAsia="en-ZA"/>
              </w:rPr>
              <w:t> </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06"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462</w:t>
            </w:r>
          </w:p>
        </w:tc>
        <w:tc>
          <w:tcPr>
            <w:tcW w:w="884"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000000" w:fill="FFFFFF"/>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462</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E527F" w:rsidRPr="00727E41" w:rsidRDefault="00727E41" w:rsidP="00234C8C">
            <w:pPr>
              <w:jc w:val="both"/>
              <w:rPr>
                <w:bCs/>
                <w:color w:val="000000"/>
                <w:lang w:val="en-ZA" w:eastAsia="en-ZA"/>
              </w:rPr>
            </w:pPr>
            <w:r w:rsidRPr="00727E41">
              <w:rPr>
                <w:bCs/>
                <w:color w:val="000000"/>
                <w:lang w:val="en-ZA" w:eastAsia="en-ZA"/>
              </w:rPr>
              <w:t xml:space="preserve">Fodder </w:t>
            </w:r>
          </w:p>
        </w:tc>
        <w:tc>
          <w:tcPr>
            <w:tcW w:w="951"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701</w:t>
            </w:r>
          </w:p>
        </w:tc>
        <w:tc>
          <w:tcPr>
            <w:tcW w:w="849"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210</w:t>
            </w:r>
          </w:p>
        </w:tc>
        <w:tc>
          <w:tcPr>
            <w:tcW w:w="900" w:type="dxa"/>
            <w:tcBorders>
              <w:top w:val="nil"/>
              <w:left w:val="nil"/>
              <w:bottom w:val="single" w:sz="4" w:space="0" w:color="auto"/>
              <w:right w:val="single" w:sz="4" w:space="0" w:color="auto"/>
            </w:tcBorders>
            <w:shd w:val="clear" w:color="000000" w:fill="FFFFFF"/>
            <w:noWrap/>
            <w:vAlign w:val="center"/>
            <w:hideMark/>
          </w:tcPr>
          <w:p w:rsidR="00DE527F" w:rsidRPr="001D33EB" w:rsidRDefault="00DE527F" w:rsidP="00234C8C">
            <w:pPr>
              <w:jc w:val="both"/>
              <w:rPr>
                <w:lang w:val="en-ZA" w:eastAsia="en-ZA"/>
              </w:rPr>
            </w:pPr>
            <w:r w:rsidRPr="001D33EB">
              <w:rPr>
                <w:lang w:val="en-ZA" w:eastAsia="en-ZA"/>
              </w:rPr>
              <w:t>0</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8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110</w:t>
            </w:r>
          </w:p>
        </w:tc>
        <w:tc>
          <w:tcPr>
            <w:tcW w:w="762"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 </w:t>
            </w:r>
          </w:p>
        </w:tc>
        <w:tc>
          <w:tcPr>
            <w:tcW w:w="1016" w:type="dxa"/>
            <w:tcBorders>
              <w:top w:val="nil"/>
              <w:left w:val="nil"/>
              <w:bottom w:val="single" w:sz="4" w:space="0" w:color="auto"/>
              <w:right w:val="single" w:sz="4" w:space="0" w:color="auto"/>
            </w:tcBorders>
            <w:shd w:val="clear" w:color="auto" w:fill="auto"/>
            <w:noWrap/>
            <w:vAlign w:val="center"/>
            <w:hideMark/>
          </w:tcPr>
          <w:p w:rsidR="00DE527F" w:rsidRPr="001D33EB" w:rsidRDefault="00DE527F" w:rsidP="00234C8C">
            <w:pPr>
              <w:jc w:val="both"/>
              <w:rPr>
                <w:lang w:val="en-ZA" w:eastAsia="en-ZA"/>
              </w:rPr>
            </w:pPr>
            <w:r w:rsidRPr="001D33EB">
              <w:rPr>
                <w:lang w:val="en-ZA" w:eastAsia="en-ZA"/>
              </w:rPr>
              <w:t>1021</w:t>
            </w:r>
          </w:p>
        </w:tc>
      </w:tr>
      <w:tr w:rsidR="00DE527F" w:rsidRPr="001D33EB" w:rsidTr="00727E41">
        <w:trPr>
          <w:trHeight w:val="308"/>
        </w:trPr>
        <w:tc>
          <w:tcPr>
            <w:tcW w:w="2070" w:type="dxa"/>
            <w:tcBorders>
              <w:top w:val="nil"/>
              <w:left w:val="single" w:sz="4" w:space="0" w:color="auto"/>
              <w:bottom w:val="single" w:sz="4" w:space="0" w:color="auto"/>
              <w:right w:val="single" w:sz="4" w:space="0" w:color="auto"/>
            </w:tcBorders>
            <w:shd w:val="clear" w:color="000000" w:fill="F2F2F2"/>
            <w:noWrap/>
            <w:vAlign w:val="bottom"/>
            <w:hideMark/>
          </w:tcPr>
          <w:p w:rsidR="00DE527F" w:rsidRPr="001D33EB" w:rsidRDefault="00DE527F" w:rsidP="00234C8C">
            <w:pPr>
              <w:jc w:val="both"/>
              <w:rPr>
                <w:b/>
                <w:bCs/>
                <w:color w:val="000000"/>
                <w:lang w:val="en-ZA" w:eastAsia="en-ZA"/>
              </w:rPr>
            </w:pPr>
            <w:r w:rsidRPr="001D33EB">
              <w:rPr>
                <w:b/>
                <w:bCs/>
                <w:color w:val="000000"/>
                <w:lang w:val="en-ZA" w:eastAsia="en-ZA"/>
              </w:rPr>
              <w:t xml:space="preserve">TOTAL </w:t>
            </w:r>
          </w:p>
        </w:tc>
        <w:tc>
          <w:tcPr>
            <w:tcW w:w="951" w:type="dxa"/>
            <w:tcBorders>
              <w:top w:val="nil"/>
              <w:left w:val="nil"/>
              <w:bottom w:val="single" w:sz="4" w:space="0" w:color="auto"/>
              <w:right w:val="single" w:sz="4" w:space="0" w:color="auto"/>
            </w:tcBorders>
            <w:shd w:val="clear" w:color="000000" w:fill="F2F2F2"/>
            <w:noWrap/>
            <w:hideMark/>
          </w:tcPr>
          <w:p w:rsidR="00DE527F" w:rsidRPr="000025F3" w:rsidRDefault="00DE527F" w:rsidP="00234C8C">
            <w:pPr>
              <w:jc w:val="both"/>
              <w:rPr>
                <w:b/>
                <w:bCs/>
                <w:lang w:val="en-ZA" w:eastAsia="en-ZA"/>
              </w:rPr>
            </w:pPr>
            <w:r w:rsidRPr="000025F3">
              <w:rPr>
                <w:b/>
                <w:bCs/>
                <w:lang w:val="en-ZA" w:eastAsia="en-ZA"/>
              </w:rPr>
              <w:t>39</w:t>
            </w:r>
            <w:r w:rsidR="000025F3" w:rsidRPr="000025F3">
              <w:rPr>
                <w:b/>
                <w:bCs/>
                <w:lang w:val="en-ZA" w:eastAsia="en-ZA"/>
              </w:rPr>
              <w:t> </w:t>
            </w:r>
            <w:r w:rsidRPr="000025F3">
              <w:rPr>
                <w:b/>
                <w:bCs/>
                <w:lang w:val="en-ZA" w:eastAsia="en-ZA"/>
              </w:rPr>
              <w:t>10</w:t>
            </w:r>
            <w:r w:rsidR="000025F3" w:rsidRPr="000025F3">
              <w:rPr>
                <w:b/>
                <w:bCs/>
                <w:lang w:val="en-ZA" w:eastAsia="en-ZA"/>
              </w:rPr>
              <w:t>0,8</w:t>
            </w:r>
          </w:p>
        </w:tc>
        <w:tc>
          <w:tcPr>
            <w:tcW w:w="849" w:type="dxa"/>
            <w:tcBorders>
              <w:top w:val="nil"/>
              <w:left w:val="nil"/>
              <w:bottom w:val="single" w:sz="4" w:space="0" w:color="auto"/>
              <w:right w:val="single" w:sz="4" w:space="0" w:color="auto"/>
            </w:tcBorders>
            <w:shd w:val="clear" w:color="000000" w:fill="F2F2F2"/>
            <w:noWrap/>
            <w:hideMark/>
          </w:tcPr>
          <w:p w:rsidR="00DE527F" w:rsidRPr="000025F3" w:rsidRDefault="00DE527F" w:rsidP="00234C8C">
            <w:pPr>
              <w:jc w:val="both"/>
              <w:rPr>
                <w:b/>
                <w:bCs/>
                <w:lang w:val="en-ZA" w:eastAsia="en-ZA"/>
              </w:rPr>
            </w:pPr>
            <w:r w:rsidRPr="000025F3">
              <w:rPr>
                <w:b/>
                <w:bCs/>
                <w:lang w:val="en-ZA" w:eastAsia="en-ZA"/>
              </w:rPr>
              <w:t>1 636</w:t>
            </w:r>
          </w:p>
        </w:tc>
        <w:tc>
          <w:tcPr>
            <w:tcW w:w="900"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4 200</w:t>
            </w:r>
          </w:p>
        </w:tc>
        <w:tc>
          <w:tcPr>
            <w:tcW w:w="884"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12568</w:t>
            </w:r>
          </w:p>
        </w:tc>
        <w:tc>
          <w:tcPr>
            <w:tcW w:w="1006"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8077</w:t>
            </w:r>
          </w:p>
        </w:tc>
        <w:tc>
          <w:tcPr>
            <w:tcW w:w="884"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16240</w:t>
            </w:r>
          </w:p>
        </w:tc>
        <w:tc>
          <w:tcPr>
            <w:tcW w:w="762"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340</w:t>
            </w:r>
          </w:p>
        </w:tc>
        <w:tc>
          <w:tcPr>
            <w:tcW w:w="874"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6 699</w:t>
            </w:r>
          </w:p>
        </w:tc>
        <w:tc>
          <w:tcPr>
            <w:tcW w:w="762"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6</w:t>
            </w:r>
          </w:p>
        </w:tc>
        <w:tc>
          <w:tcPr>
            <w:tcW w:w="1016" w:type="dxa"/>
            <w:tcBorders>
              <w:top w:val="nil"/>
              <w:left w:val="nil"/>
              <w:bottom w:val="single" w:sz="4" w:space="0" w:color="auto"/>
              <w:right w:val="single" w:sz="4" w:space="0" w:color="auto"/>
            </w:tcBorders>
            <w:shd w:val="clear" w:color="000000" w:fill="F2F2F2"/>
            <w:noWrap/>
            <w:hideMark/>
          </w:tcPr>
          <w:p w:rsidR="00DE527F" w:rsidRPr="001D33EB" w:rsidRDefault="00DE527F" w:rsidP="00234C8C">
            <w:pPr>
              <w:jc w:val="both"/>
              <w:rPr>
                <w:b/>
                <w:bCs/>
                <w:lang w:val="en-ZA" w:eastAsia="en-ZA"/>
              </w:rPr>
            </w:pPr>
            <w:r w:rsidRPr="001D33EB">
              <w:rPr>
                <w:b/>
                <w:bCs/>
                <w:lang w:val="en-ZA" w:eastAsia="en-ZA"/>
              </w:rPr>
              <w:t>88 867</w:t>
            </w:r>
          </w:p>
        </w:tc>
      </w:tr>
    </w:tbl>
    <w:p w:rsidR="00B45092" w:rsidRPr="001D33EB" w:rsidRDefault="00B45092" w:rsidP="00234C8C">
      <w:pPr>
        <w:jc w:val="both"/>
      </w:pPr>
    </w:p>
    <w:sectPr w:rsidR="00B45092" w:rsidRPr="001D33EB" w:rsidSect="00234C8C">
      <w:pgSz w:w="11906" w:h="16838"/>
      <w:pgMar w:top="426"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1632A"/>
    <w:multiLevelType w:val="hybridMultilevel"/>
    <w:tmpl w:val="411C3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06E72AC"/>
    <w:multiLevelType w:val="hybridMultilevel"/>
    <w:tmpl w:val="F440B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9F6B23"/>
    <w:multiLevelType w:val="hybridMultilevel"/>
    <w:tmpl w:val="F4A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7690F"/>
    <w:multiLevelType w:val="hybridMultilevel"/>
    <w:tmpl w:val="F446C128"/>
    <w:lvl w:ilvl="0" w:tplc="1D54A0B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D6D49"/>
    <w:multiLevelType w:val="hybridMultilevel"/>
    <w:tmpl w:val="2D742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74B7D55"/>
    <w:multiLevelType w:val="hybridMultilevel"/>
    <w:tmpl w:val="0518C59C"/>
    <w:lvl w:ilvl="0" w:tplc="69ECE7A8">
      <w:start w:val="1"/>
      <w:numFmt w:val="lowerLetter"/>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D20AD1"/>
    <w:multiLevelType w:val="hybridMultilevel"/>
    <w:tmpl w:val="266C4546"/>
    <w:lvl w:ilvl="0" w:tplc="25B2945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527F"/>
    <w:rsid w:val="000025F3"/>
    <w:rsid w:val="00007BF6"/>
    <w:rsid w:val="00061841"/>
    <w:rsid w:val="000E4F62"/>
    <w:rsid w:val="001D33EB"/>
    <w:rsid w:val="00200202"/>
    <w:rsid w:val="00234C8C"/>
    <w:rsid w:val="00422108"/>
    <w:rsid w:val="006668CC"/>
    <w:rsid w:val="00727E41"/>
    <w:rsid w:val="00904426"/>
    <w:rsid w:val="00A156BC"/>
    <w:rsid w:val="00AE3CFD"/>
    <w:rsid w:val="00B45092"/>
    <w:rsid w:val="00DE52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F"/>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dcterms:created xsi:type="dcterms:W3CDTF">2022-11-29T08:17:00Z</dcterms:created>
  <dcterms:modified xsi:type="dcterms:W3CDTF">2022-11-29T08:17:00Z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33e44ce9-4f60-496d-89df-099cc1f4f665</vt:lpwstr>
  </property>
</Properties>
</file>