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7E18EC79" w14:textId="77777777" w:rsidR="009433E9" w:rsidRPr="00426EC8" w:rsidRDefault="009433E9" w:rsidP="00426EC8">
      <w:pPr>
        <w:spacing w:before="100" w:beforeAutospacing="1" w:after="100" w:afterAutospacing="1" w:line="360" w:lineRule="auto"/>
        <w:jc w:val="both"/>
        <w:outlineLvl w:val="0"/>
        <w:rPr>
          <w:rFonts w:ascii="Arial" w:eastAsia="Calibri" w:hAnsi="Arial" w:cs="Arial"/>
          <w:b/>
          <w:lang w:val="en-ZA"/>
        </w:rPr>
      </w:pPr>
      <w:r w:rsidRPr="00426EC8">
        <w:rPr>
          <w:rFonts w:ascii="Arial" w:eastAsia="Calibri" w:hAnsi="Arial" w:cs="Arial"/>
          <w:b/>
          <w:lang w:val="en-ZA"/>
        </w:rPr>
        <w:t>NATIONAL ASSEMBLY:</w:t>
      </w:r>
    </w:p>
    <w:p w14:paraId="1D34E940" w14:textId="7973032E" w:rsidR="009433E9" w:rsidRPr="00426EC8" w:rsidRDefault="009433E9" w:rsidP="00426EC8">
      <w:pPr>
        <w:spacing w:before="100" w:beforeAutospacing="1" w:after="100" w:afterAutospacing="1" w:line="360" w:lineRule="auto"/>
        <w:jc w:val="both"/>
        <w:outlineLvl w:val="0"/>
        <w:rPr>
          <w:rFonts w:ascii="Arial" w:eastAsia="Calibri" w:hAnsi="Arial" w:cs="Arial"/>
          <w:b/>
          <w:lang w:val="en-ZA"/>
        </w:rPr>
      </w:pPr>
      <w:r w:rsidRPr="00426EC8">
        <w:rPr>
          <w:rFonts w:ascii="Arial" w:eastAsia="Calibri" w:hAnsi="Arial" w:cs="Arial"/>
          <w:b/>
          <w:lang w:val="en-ZA"/>
        </w:rPr>
        <w:t>QUESTION NUMBER: 3</w:t>
      </w:r>
      <w:r w:rsidR="00557920" w:rsidRPr="00426EC8">
        <w:rPr>
          <w:rFonts w:ascii="Arial" w:eastAsia="Calibri" w:hAnsi="Arial" w:cs="Arial"/>
          <w:b/>
          <w:lang w:val="en-ZA"/>
        </w:rPr>
        <w:t>254</w:t>
      </w:r>
    </w:p>
    <w:p w14:paraId="0B394CE4" w14:textId="2CD14D5C" w:rsidR="00557920" w:rsidRPr="00426EC8" w:rsidRDefault="00557920" w:rsidP="00426EC8">
      <w:pPr>
        <w:spacing w:before="100" w:beforeAutospacing="1" w:after="100" w:afterAutospacing="1" w:line="360" w:lineRule="auto"/>
        <w:ind w:left="720" w:hanging="720"/>
        <w:jc w:val="both"/>
        <w:outlineLvl w:val="0"/>
        <w:rPr>
          <w:rFonts w:ascii="Arial" w:hAnsi="Arial" w:cs="Arial"/>
          <w:b/>
        </w:rPr>
      </w:pPr>
      <w:proofErr w:type="spellStart"/>
      <w:r w:rsidRPr="00426EC8">
        <w:rPr>
          <w:rFonts w:ascii="Arial" w:hAnsi="Arial" w:cs="Arial"/>
          <w:b/>
        </w:rPr>
        <w:t>Ms</w:t>
      </w:r>
      <w:proofErr w:type="spellEnd"/>
      <w:r w:rsidRPr="00426EC8">
        <w:rPr>
          <w:rFonts w:ascii="Arial" w:hAnsi="Arial" w:cs="Arial"/>
          <w:b/>
        </w:rPr>
        <w:t xml:space="preserve"> T M </w:t>
      </w:r>
      <w:proofErr w:type="spellStart"/>
      <w:r w:rsidRPr="00426EC8">
        <w:rPr>
          <w:rFonts w:ascii="Arial" w:hAnsi="Arial" w:cs="Arial"/>
          <w:b/>
        </w:rPr>
        <w:t>Mbabama</w:t>
      </w:r>
      <w:proofErr w:type="spellEnd"/>
      <w:r w:rsidRPr="00426EC8">
        <w:rPr>
          <w:rFonts w:ascii="Arial" w:hAnsi="Arial" w:cs="Arial"/>
          <w:b/>
        </w:rPr>
        <w:t xml:space="preserve"> (DA) to ask the Minister of Transport:</w:t>
      </w:r>
    </w:p>
    <w:p w14:paraId="7E203BCA" w14:textId="77777777" w:rsidR="00426EC8" w:rsidRPr="00426EC8" w:rsidRDefault="00557920" w:rsidP="00426EC8">
      <w:pPr>
        <w:spacing w:before="100" w:beforeAutospacing="1" w:after="100" w:afterAutospacing="1" w:line="360" w:lineRule="auto"/>
        <w:ind w:left="720"/>
        <w:jc w:val="both"/>
        <w:outlineLvl w:val="0"/>
        <w:rPr>
          <w:rFonts w:ascii="Arial" w:hAnsi="Arial" w:cs="Arial"/>
        </w:rPr>
      </w:pPr>
      <w:r w:rsidRPr="00426EC8">
        <w:rPr>
          <w:rFonts w:ascii="Arial" w:hAnsi="Arial" w:cs="Arial"/>
        </w:rPr>
        <w:t>What (a) amount did (</w:t>
      </w:r>
      <w:proofErr w:type="spellStart"/>
      <w:r w:rsidRPr="00426EC8">
        <w:rPr>
          <w:rFonts w:ascii="Arial" w:hAnsi="Arial" w:cs="Arial"/>
        </w:rPr>
        <w:t>i</w:t>
      </w:r>
      <w:proofErr w:type="spellEnd"/>
      <w:r w:rsidRPr="00426EC8">
        <w:rPr>
          <w:rFonts w:ascii="Arial" w:hAnsi="Arial" w:cs="Arial"/>
        </w:rPr>
        <w:t xml:space="preserve">) his department and (ii) each entity reporting </w:t>
      </w:r>
      <w:bookmarkStart w:id="0" w:name="_Hlk528928312"/>
      <w:r w:rsidRPr="00426EC8">
        <w:rPr>
          <w:rFonts w:ascii="Arial" w:hAnsi="Arial" w:cs="Arial"/>
        </w:rPr>
        <w:t xml:space="preserve">to him borrow from any entity in the People’s Republic of China (aa) in each of the past three financial years and (bb) </w:t>
      </w:r>
      <w:r w:rsidRPr="00426EC8">
        <w:rPr>
          <w:rFonts w:ascii="Arial" w:hAnsi="Arial" w:cs="Arial"/>
          <w:lang w:val="en"/>
        </w:rPr>
        <w:t>since</w:t>
      </w:r>
      <w:r w:rsidRPr="00426EC8">
        <w:rPr>
          <w:rFonts w:ascii="Arial" w:hAnsi="Arial" w:cs="Arial"/>
        </w:rPr>
        <w:t xml:space="preserve"> 1 April 2018</w:t>
      </w:r>
      <w:bookmarkEnd w:id="0"/>
      <w:r w:rsidRPr="00426EC8">
        <w:rPr>
          <w:rFonts w:ascii="Arial" w:hAnsi="Arial" w:cs="Arial"/>
        </w:rPr>
        <w:t xml:space="preserve">, (b) is the name of the lender of each loan, (c) conditions are attached to each loan and (d) are the repayment periods for each loan in each case? </w:t>
      </w:r>
      <w:r w:rsidRPr="00426EC8">
        <w:rPr>
          <w:rFonts w:ascii="Arial" w:hAnsi="Arial" w:cs="Arial"/>
        </w:rPr>
        <w:tab/>
      </w:r>
      <w:r w:rsidRPr="00426EC8">
        <w:rPr>
          <w:rFonts w:ascii="Arial" w:hAnsi="Arial" w:cs="Arial"/>
        </w:rPr>
        <w:tab/>
      </w:r>
      <w:r w:rsidRPr="00426EC8">
        <w:rPr>
          <w:rFonts w:ascii="Arial" w:hAnsi="Arial" w:cs="Arial"/>
        </w:rPr>
        <w:tab/>
      </w:r>
      <w:r w:rsidRPr="00426EC8">
        <w:rPr>
          <w:rFonts w:ascii="Arial" w:hAnsi="Arial" w:cs="Arial"/>
        </w:rPr>
        <w:tab/>
      </w:r>
      <w:r w:rsidRPr="00426EC8">
        <w:rPr>
          <w:rFonts w:ascii="Arial" w:hAnsi="Arial" w:cs="Arial"/>
        </w:rPr>
        <w:tab/>
      </w:r>
      <w:r w:rsidRPr="00426EC8">
        <w:rPr>
          <w:rFonts w:ascii="Arial" w:hAnsi="Arial" w:cs="Arial"/>
        </w:rPr>
        <w:tab/>
      </w:r>
      <w:r w:rsidRPr="00426EC8">
        <w:rPr>
          <w:rFonts w:ascii="Arial" w:hAnsi="Arial" w:cs="Arial"/>
        </w:rPr>
        <w:tab/>
      </w:r>
      <w:r w:rsidRPr="00426EC8">
        <w:rPr>
          <w:rFonts w:ascii="Arial" w:hAnsi="Arial" w:cs="Arial"/>
        </w:rPr>
        <w:tab/>
      </w:r>
      <w:r w:rsidRPr="00426EC8">
        <w:rPr>
          <w:rFonts w:ascii="Arial" w:hAnsi="Arial" w:cs="Arial"/>
        </w:rPr>
        <w:tab/>
      </w:r>
    </w:p>
    <w:p w14:paraId="3047774F" w14:textId="44E7727F" w:rsidR="00557920" w:rsidRPr="00426EC8" w:rsidRDefault="00557920" w:rsidP="00426EC8">
      <w:pPr>
        <w:spacing w:before="100" w:beforeAutospacing="1" w:after="100" w:afterAutospacing="1" w:line="360" w:lineRule="auto"/>
        <w:ind w:left="7200" w:firstLine="720"/>
        <w:jc w:val="both"/>
        <w:outlineLvl w:val="0"/>
        <w:rPr>
          <w:rFonts w:ascii="Arial" w:hAnsi="Arial" w:cs="Arial"/>
          <w:b/>
        </w:rPr>
      </w:pPr>
      <w:r w:rsidRPr="00426EC8">
        <w:rPr>
          <w:rFonts w:ascii="Arial" w:hAnsi="Arial" w:cs="Arial"/>
          <w:b/>
          <w:lang w:val="en"/>
        </w:rPr>
        <w:t>NW3684E</w:t>
      </w:r>
    </w:p>
    <w:p w14:paraId="40B8D92E" w14:textId="77777777" w:rsidR="00557920" w:rsidRPr="00426EC8" w:rsidRDefault="00557920" w:rsidP="00426EC8">
      <w:pPr>
        <w:spacing w:before="100" w:beforeAutospacing="1" w:after="100" w:afterAutospacing="1" w:line="360" w:lineRule="auto"/>
        <w:jc w:val="both"/>
        <w:outlineLvl w:val="0"/>
        <w:rPr>
          <w:rFonts w:ascii="Arial" w:eastAsia="Calibri" w:hAnsi="Arial" w:cs="Arial"/>
          <w:b/>
          <w:lang w:val="en-ZA"/>
        </w:rPr>
      </w:pPr>
    </w:p>
    <w:p w14:paraId="0E709E7E" w14:textId="0D4BA685" w:rsidR="00557920" w:rsidRPr="00426EC8" w:rsidRDefault="00557920" w:rsidP="00426EC8">
      <w:pPr>
        <w:spacing w:before="100" w:beforeAutospacing="1" w:after="100" w:afterAutospacing="1" w:line="360" w:lineRule="auto"/>
        <w:jc w:val="both"/>
        <w:outlineLvl w:val="0"/>
        <w:rPr>
          <w:rFonts w:ascii="Arial" w:eastAsia="Calibri" w:hAnsi="Arial" w:cs="Arial"/>
          <w:b/>
          <w:lang w:val="en-ZA"/>
        </w:rPr>
      </w:pPr>
      <w:r w:rsidRPr="00426EC8">
        <w:rPr>
          <w:rFonts w:ascii="Arial" w:eastAsia="Calibri" w:hAnsi="Arial" w:cs="Arial"/>
          <w:b/>
          <w:lang w:val="en-ZA"/>
        </w:rPr>
        <w:t>R</w:t>
      </w:r>
      <w:r w:rsidRPr="00426EC8">
        <w:rPr>
          <w:rFonts w:ascii="Arial" w:eastAsia="Calibri" w:hAnsi="Arial" w:cs="Arial"/>
          <w:b/>
          <w:lang w:val="en-ZA"/>
        </w:rPr>
        <w:t>EPLY</w:t>
      </w:r>
      <w:r w:rsidRPr="00426EC8">
        <w:rPr>
          <w:rFonts w:ascii="Arial" w:eastAsia="Calibri" w:hAnsi="Arial" w:cs="Arial"/>
          <w:b/>
          <w:lang w:val="en-ZA"/>
        </w:rPr>
        <w:t>:</w:t>
      </w:r>
    </w:p>
    <w:p w14:paraId="117D0704" w14:textId="77777777" w:rsidR="00557920" w:rsidRPr="00426EC8" w:rsidRDefault="00557920" w:rsidP="00426EC8">
      <w:pPr>
        <w:spacing w:after="0" w:line="360" w:lineRule="auto"/>
        <w:jc w:val="both"/>
        <w:outlineLvl w:val="0"/>
        <w:rPr>
          <w:rFonts w:ascii="Arial" w:eastAsia="Calibri" w:hAnsi="Arial" w:cs="Arial"/>
          <w:b/>
          <w:lang w:val="en-ZA"/>
        </w:rPr>
      </w:pPr>
      <w:r w:rsidRPr="00426EC8">
        <w:rPr>
          <w:rFonts w:ascii="Arial" w:eastAsia="Calibri" w:hAnsi="Arial" w:cs="Arial"/>
          <w:b/>
          <w:lang w:val="en-ZA"/>
        </w:rPr>
        <w:t>Department</w:t>
      </w:r>
    </w:p>
    <w:p w14:paraId="0482E39F" w14:textId="77777777" w:rsidR="00557920" w:rsidRPr="00426EC8" w:rsidRDefault="00557920" w:rsidP="00426EC8">
      <w:pPr>
        <w:spacing w:line="360" w:lineRule="auto"/>
        <w:jc w:val="both"/>
        <w:outlineLvl w:val="0"/>
        <w:rPr>
          <w:rFonts w:ascii="Arial" w:eastAsia="Calibri" w:hAnsi="Arial" w:cs="Arial"/>
          <w:lang w:val="en-ZA"/>
        </w:rPr>
      </w:pPr>
      <w:r w:rsidRPr="00426EC8">
        <w:rPr>
          <w:rFonts w:ascii="Arial" w:eastAsia="Calibri" w:hAnsi="Arial" w:cs="Arial"/>
          <w:lang w:val="en-ZA"/>
        </w:rPr>
        <w:t>(a)(</w:t>
      </w:r>
      <w:proofErr w:type="spellStart"/>
      <w:r w:rsidRPr="00426EC8">
        <w:rPr>
          <w:rFonts w:ascii="Arial" w:eastAsia="Calibri" w:hAnsi="Arial" w:cs="Arial"/>
          <w:lang w:val="en-ZA"/>
        </w:rPr>
        <w:t>i</w:t>
      </w:r>
      <w:proofErr w:type="spellEnd"/>
      <w:r w:rsidRPr="00426EC8">
        <w:rPr>
          <w:rFonts w:ascii="Arial" w:eastAsia="Calibri" w:hAnsi="Arial" w:cs="Arial"/>
          <w:lang w:val="en-ZA"/>
        </w:rPr>
        <w:t>)</w:t>
      </w:r>
      <w:r w:rsidRPr="00426EC8">
        <w:rPr>
          <w:rFonts w:ascii="Arial" w:eastAsia="Calibri" w:hAnsi="Arial" w:cs="Arial"/>
          <w:lang w:val="en-ZA"/>
        </w:rPr>
        <w:tab/>
        <w:t>The Departm</w:t>
      </w:r>
      <w:bookmarkStart w:id="1" w:name="_GoBack"/>
      <w:bookmarkEnd w:id="1"/>
      <w:r w:rsidRPr="00426EC8">
        <w:rPr>
          <w:rFonts w:ascii="Arial" w:eastAsia="Calibri" w:hAnsi="Arial" w:cs="Arial"/>
          <w:lang w:val="en-ZA"/>
        </w:rPr>
        <w:t xml:space="preserve">ent of Transport has not borrowed any money from the People’s Republic </w:t>
      </w:r>
      <w:r w:rsidRPr="00426EC8">
        <w:rPr>
          <w:rFonts w:ascii="Arial" w:eastAsia="Calibri" w:hAnsi="Arial" w:cs="Arial"/>
          <w:lang w:val="en-ZA"/>
        </w:rPr>
        <w:tab/>
      </w:r>
      <w:r w:rsidRPr="00426EC8">
        <w:rPr>
          <w:rFonts w:ascii="Arial" w:eastAsia="Calibri" w:hAnsi="Arial" w:cs="Arial"/>
          <w:lang w:val="en-ZA"/>
        </w:rPr>
        <w:tab/>
        <w:t>of China since 1 April 2018.</w:t>
      </w:r>
    </w:p>
    <w:p w14:paraId="2C6302F6" w14:textId="77777777" w:rsidR="00557920" w:rsidRPr="00426EC8" w:rsidRDefault="00557920" w:rsidP="00426EC8">
      <w:pPr>
        <w:spacing w:line="360" w:lineRule="auto"/>
        <w:jc w:val="both"/>
        <w:outlineLvl w:val="0"/>
        <w:rPr>
          <w:rFonts w:ascii="Arial" w:eastAsia="Calibri" w:hAnsi="Arial" w:cs="Arial"/>
          <w:lang w:val="en-ZA"/>
        </w:rPr>
      </w:pPr>
      <w:r w:rsidRPr="00426EC8">
        <w:rPr>
          <w:rFonts w:ascii="Arial" w:eastAsia="Calibri" w:hAnsi="Arial" w:cs="Arial"/>
          <w:lang w:val="en-ZA"/>
        </w:rPr>
        <w:tab/>
        <w:t xml:space="preserve">   (ii)</w:t>
      </w:r>
      <w:r w:rsidRPr="00426EC8">
        <w:rPr>
          <w:rFonts w:ascii="Arial" w:eastAsia="Calibri" w:hAnsi="Arial" w:cs="Arial"/>
          <w:lang w:val="en-ZA"/>
        </w:rPr>
        <w:tab/>
        <w:t xml:space="preserve">None of the Entities borrowed money from the People’s Republic of China since 1 April </w:t>
      </w:r>
      <w:r w:rsidRPr="00426EC8">
        <w:rPr>
          <w:rFonts w:ascii="Arial" w:eastAsia="Calibri" w:hAnsi="Arial" w:cs="Arial"/>
          <w:lang w:val="en-ZA"/>
        </w:rPr>
        <w:tab/>
      </w:r>
      <w:r w:rsidRPr="00426EC8">
        <w:rPr>
          <w:rFonts w:ascii="Arial" w:eastAsia="Calibri" w:hAnsi="Arial" w:cs="Arial"/>
          <w:lang w:val="en-ZA"/>
        </w:rPr>
        <w:tab/>
        <w:t>2018.</w:t>
      </w:r>
    </w:p>
    <w:p w14:paraId="6D7553AF" w14:textId="77777777" w:rsidR="00557920" w:rsidRPr="00426EC8" w:rsidRDefault="00557920" w:rsidP="00426EC8">
      <w:pPr>
        <w:spacing w:line="360" w:lineRule="auto"/>
        <w:ind w:left="1440" w:hanging="660"/>
        <w:jc w:val="both"/>
        <w:outlineLvl w:val="0"/>
        <w:rPr>
          <w:rFonts w:ascii="Arial" w:eastAsia="Calibri" w:hAnsi="Arial" w:cs="Arial"/>
          <w:lang w:val="en-ZA"/>
        </w:rPr>
      </w:pPr>
      <w:r w:rsidRPr="00426EC8">
        <w:rPr>
          <w:rFonts w:ascii="Arial" w:eastAsia="Calibri" w:hAnsi="Arial" w:cs="Arial"/>
          <w:lang w:val="en-ZA"/>
        </w:rPr>
        <w:t>(aa)</w:t>
      </w:r>
      <w:r w:rsidRPr="00426EC8">
        <w:rPr>
          <w:rFonts w:ascii="Arial" w:eastAsia="Calibri" w:hAnsi="Arial" w:cs="Arial"/>
          <w:lang w:val="en-ZA"/>
        </w:rPr>
        <w:tab/>
        <w:t xml:space="preserve">The Department and its entities have not borrowed any money from the </w:t>
      </w:r>
      <w:r w:rsidRPr="00426EC8">
        <w:rPr>
          <w:rFonts w:ascii="Arial" w:hAnsi="Arial" w:cs="Arial"/>
        </w:rPr>
        <w:t>People’s Republic of China over the past three years.</w:t>
      </w:r>
    </w:p>
    <w:p w14:paraId="491842E1" w14:textId="77777777" w:rsidR="00557920" w:rsidRPr="00426EC8" w:rsidRDefault="00557920" w:rsidP="00426EC8">
      <w:pPr>
        <w:spacing w:line="360" w:lineRule="auto"/>
        <w:jc w:val="both"/>
        <w:outlineLvl w:val="0"/>
        <w:rPr>
          <w:rFonts w:ascii="Arial" w:eastAsia="Calibri" w:hAnsi="Arial" w:cs="Arial"/>
          <w:lang w:val="en-ZA"/>
        </w:rPr>
      </w:pPr>
      <w:r w:rsidRPr="00426EC8">
        <w:rPr>
          <w:rFonts w:ascii="Arial" w:eastAsia="Calibri" w:hAnsi="Arial" w:cs="Arial"/>
          <w:lang w:val="en-ZA"/>
        </w:rPr>
        <w:tab/>
        <w:t xml:space="preserve"> (bb)</w:t>
      </w:r>
      <w:r w:rsidRPr="00426EC8">
        <w:rPr>
          <w:rFonts w:ascii="Arial" w:eastAsia="Calibri" w:hAnsi="Arial" w:cs="Arial"/>
          <w:lang w:val="en-ZA"/>
        </w:rPr>
        <w:tab/>
        <w:t>As per response above.</w:t>
      </w:r>
    </w:p>
    <w:p w14:paraId="42CA9791" w14:textId="3B646DEE" w:rsidR="00557920" w:rsidRPr="00426EC8" w:rsidRDefault="00557920" w:rsidP="00426EC8">
      <w:pPr>
        <w:spacing w:line="360" w:lineRule="auto"/>
        <w:jc w:val="both"/>
        <w:outlineLvl w:val="0"/>
        <w:rPr>
          <w:rFonts w:ascii="Arial" w:eastAsia="Calibri" w:hAnsi="Arial" w:cs="Arial"/>
          <w:lang w:val="en-ZA"/>
        </w:rPr>
      </w:pPr>
      <w:r w:rsidRPr="00426EC8">
        <w:rPr>
          <w:rFonts w:ascii="Arial" w:eastAsia="Calibri" w:hAnsi="Arial" w:cs="Arial"/>
          <w:lang w:val="en-ZA"/>
        </w:rPr>
        <w:tab/>
        <w:t xml:space="preserve">  (b) </w:t>
      </w:r>
      <w:r w:rsidRPr="00426EC8">
        <w:rPr>
          <w:rFonts w:ascii="Arial" w:eastAsia="Calibri" w:hAnsi="Arial" w:cs="Arial"/>
          <w:lang w:val="en-ZA"/>
        </w:rPr>
        <w:tab/>
        <w:t xml:space="preserve">As per response </w:t>
      </w:r>
      <w:r w:rsidR="00426EC8" w:rsidRPr="00426EC8">
        <w:rPr>
          <w:rFonts w:ascii="Arial" w:eastAsia="Calibri" w:hAnsi="Arial" w:cs="Arial"/>
          <w:lang w:val="en-ZA"/>
        </w:rPr>
        <w:t>above.</w:t>
      </w:r>
    </w:p>
    <w:p w14:paraId="712569BE" w14:textId="77777777" w:rsidR="00557920" w:rsidRPr="00426EC8" w:rsidRDefault="00557920" w:rsidP="00426EC8">
      <w:pPr>
        <w:spacing w:line="360" w:lineRule="auto"/>
        <w:jc w:val="both"/>
        <w:outlineLvl w:val="0"/>
        <w:rPr>
          <w:rFonts w:ascii="Arial" w:eastAsia="Calibri" w:hAnsi="Arial" w:cs="Arial"/>
          <w:lang w:val="en-ZA"/>
        </w:rPr>
      </w:pPr>
      <w:r w:rsidRPr="00426EC8">
        <w:rPr>
          <w:rFonts w:ascii="Arial" w:eastAsia="Calibri" w:hAnsi="Arial" w:cs="Arial"/>
          <w:lang w:val="en-ZA"/>
        </w:rPr>
        <w:tab/>
        <w:t xml:space="preserve">  (c)</w:t>
      </w:r>
      <w:r w:rsidRPr="00426EC8">
        <w:rPr>
          <w:rFonts w:ascii="Arial" w:eastAsia="Calibri" w:hAnsi="Arial" w:cs="Arial"/>
          <w:lang w:val="en-ZA"/>
        </w:rPr>
        <w:tab/>
        <w:t>As per response above.</w:t>
      </w:r>
    </w:p>
    <w:p w14:paraId="43569695" w14:textId="77777777" w:rsidR="00557920" w:rsidRPr="00426EC8" w:rsidRDefault="00557920" w:rsidP="00426EC8">
      <w:pPr>
        <w:spacing w:line="360" w:lineRule="auto"/>
        <w:jc w:val="both"/>
        <w:outlineLvl w:val="0"/>
        <w:rPr>
          <w:rFonts w:ascii="Arial" w:eastAsia="Calibri" w:hAnsi="Arial" w:cs="Arial"/>
          <w:lang w:val="en-ZA"/>
        </w:rPr>
      </w:pPr>
      <w:r w:rsidRPr="00426EC8">
        <w:rPr>
          <w:rFonts w:ascii="Arial" w:eastAsia="Calibri" w:hAnsi="Arial" w:cs="Arial"/>
          <w:lang w:val="en-ZA"/>
        </w:rPr>
        <w:tab/>
        <w:t xml:space="preserve"> (d)</w:t>
      </w:r>
      <w:r w:rsidRPr="00426EC8">
        <w:rPr>
          <w:rFonts w:ascii="Arial" w:eastAsia="Calibri" w:hAnsi="Arial" w:cs="Arial"/>
          <w:lang w:val="en-ZA"/>
        </w:rPr>
        <w:tab/>
        <w:t>As per response above.</w:t>
      </w:r>
    </w:p>
    <w:p w14:paraId="6BDBB602" w14:textId="77777777" w:rsidR="00557920" w:rsidRPr="00426EC8" w:rsidRDefault="00557920" w:rsidP="00426EC8">
      <w:pPr>
        <w:spacing w:after="0" w:line="360" w:lineRule="auto"/>
        <w:jc w:val="both"/>
        <w:outlineLvl w:val="0"/>
        <w:rPr>
          <w:rFonts w:ascii="Arial" w:eastAsia="Calibri" w:hAnsi="Arial" w:cs="Arial"/>
          <w:lang w:val="en-ZA"/>
        </w:rPr>
      </w:pPr>
    </w:p>
    <w:p w14:paraId="66E2496F" w14:textId="77777777" w:rsidR="00557920" w:rsidRPr="00426EC8" w:rsidRDefault="00557920" w:rsidP="00426EC8">
      <w:pPr>
        <w:spacing w:after="0" w:line="360" w:lineRule="auto"/>
        <w:jc w:val="both"/>
        <w:outlineLvl w:val="0"/>
        <w:rPr>
          <w:rFonts w:ascii="Arial" w:eastAsia="Calibri" w:hAnsi="Arial" w:cs="Arial"/>
          <w:b/>
          <w:lang w:val="en-ZA"/>
        </w:rPr>
      </w:pPr>
      <w:r w:rsidRPr="00426EC8">
        <w:rPr>
          <w:rFonts w:ascii="Arial" w:eastAsia="Calibri" w:hAnsi="Arial" w:cs="Arial"/>
          <w:b/>
          <w:lang w:val="en-ZA"/>
        </w:rPr>
        <w:t>Airports Company South Africa SOC Limited (ACSA)</w:t>
      </w:r>
    </w:p>
    <w:p w14:paraId="122817F2" w14:textId="77777777" w:rsidR="00557920" w:rsidRPr="00426EC8" w:rsidRDefault="00557920" w:rsidP="00426EC8">
      <w:pPr>
        <w:spacing w:after="0" w:line="360" w:lineRule="auto"/>
        <w:ind w:left="720"/>
        <w:jc w:val="both"/>
        <w:outlineLvl w:val="0"/>
        <w:rPr>
          <w:rFonts w:ascii="Arial" w:eastAsia="Calibri" w:hAnsi="Arial" w:cs="Arial"/>
          <w:lang w:val="en-ZA"/>
        </w:rPr>
      </w:pPr>
      <w:r w:rsidRPr="00426EC8">
        <w:rPr>
          <w:rFonts w:ascii="Arial" w:eastAsia="Calibri" w:hAnsi="Arial" w:cs="Arial"/>
          <w:lang w:val="en-ZA"/>
        </w:rPr>
        <w:t>Airports Company South Africa did not borrow money from any entity in the People’s Republic of China in each of the past three financial years and since 1 April 2018.</w:t>
      </w:r>
    </w:p>
    <w:p w14:paraId="272B529E" w14:textId="77777777" w:rsidR="00557920" w:rsidRPr="00426EC8" w:rsidRDefault="00557920" w:rsidP="00426EC8">
      <w:pPr>
        <w:spacing w:after="0" w:line="360" w:lineRule="auto"/>
        <w:jc w:val="both"/>
        <w:outlineLvl w:val="0"/>
        <w:rPr>
          <w:rFonts w:ascii="Arial" w:eastAsia="Calibri" w:hAnsi="Arial" w:cs="Arial"/>
          <w:lang w:val="en-ZA"/>
        </w:rPr>
      </w:pPr>
    </w:p>
    <w:p w14:paraId="440D379D" w14:textId="77777777" w:rsidR="00557920" w:rsidRPr="00426EC8" w:rsidRDefault="00557920" w:rsidP="00426EC8">
      <w:pPr>
        <w:spacing w:after="0" w:line="360" w:lineRule="auto"/>
        <w:jc w:val="both"/>
        <w:outlineLvl w:val="0"/>
        <w:rPr>
          <w:rFonts w:ascii="Arial" w:eastAsia="Calibri" w:hAnsi="Arial" w:cs="Arial"/>
          <w:b/>
          <w:lang w:val="en-ZA"/>
        </w:rPr>
      </w:pPr>
      <w:r w:rsidRPr="00426EC8">
        <w:rPr>
          <w:rFonts w:ascii="Arial" w:eastAsia="Calibri" w:hAnsi="Arial" w:cs="Arial"/>
          <w:b/>
          <w:lang w:val="en-ZA"/>
        </w:rPr>
        <w:t>Air Traffic and Navigation Services SOC Limited (ATNS)</w:t>
      </w:r>
    </w:p>
    <w:p w14:paraId="4A1B4F10" w14:textId="77777777" w:rsidR="00557920" w:rsidRPr="00426EC8" w:rsidRDefault="00557920" w:rsidP="00426EC8">
      <w:pPr>
        <w:spacing w:after="0" w:line="360" w:lineRule="auto"/>
        <w:ind w:firstLine="720"/>
        <w:jc w:val="both"/>
        <w:outlineLvl w:val="0"/>
        <w:rPr>
          <w:rFonts w:ascii="Arial" w:eastAsia="Calibri" w:hAnsi="Arial" w:cs="Arial"/>
          <w:lang w:val="en-ZA"/>
        </w:rPr>
      </w:pPr>
      <w:r w:rsidRPr="00426EC8">
        <w:rPr>
          <w:rFonts w:ascii="Arial" w:eastAsia="Calibri" w:hAnsi="Arial" w:cs="Arial"/>
          <w:lang w:val="en-ZA"/>
        </w:rPr>
        <w:t>Not applicable to ATNS.</w:t>
      </w:r>
    </w:p>
    <w:p w14:paraId="14B4E82A" w14:textId="77777777" w:rsidR="00557920" w:rsidRPr="00426EC8" w:rsidRDefault="00557920" w:rsidP="00426EC8">
      <w:pPr>
        <w:spacing w:after="0" w:line="360" w:lineRule="auto"/>
        <w:rPr>
          <w:rFonts w:ascii="Arial" w:eastAsia="Calibri" w:hAnsi="Arial" w:cs="Arial"/>
          <w:b/>
          <w:lang w:val="en-ZA"/>
        </w:rPr>
      </w:pPr>
    </w:p>
    <w:p w14:paraId="7B3B5471" w14:textId="77777777" w:rsidR="00557920" w:rsidRPr="00426EC8" w:rsidRDefault="00557920" w:rsidP="00426EC8">
      <w:pPr>
        <w:spacing w:after="0" w:line="360" w:lineRule="auto"/>
        <w:rPr>
          <w:rFonts w:ascii="Arial" w:eastAsia="Calibri" w:hAnsi="Arial" w:cs="Arial"/>
          <w:b/>
          <w:lang w:val="en-ZA"/>
        </w:rPr>
      </w:pPr>
      <w:r w:rsidRPr="00426EC8">
        <w:rPr>
          <w:rFonts w:ascii="Arial" w:eastAsia="Calibri" w:hAnsi="Arial" w:cs="Arial"/>
          <w:b/>
          <w:lang w:val="en-ZA"/>
        </w:rPr>
        <w:t>South African Civil Aviation Authority (SACAA)</w:t>
      </w:r>
    </w:p>
    <w:p w14:paraId="2E23744E" w14:textId="77777777" w:rsidR="00557920" w:rsidRPr="00426EC8" w:rsidRDefault="00557920" w:rsidP="00426EC8">
      <w:pPr>
        <w:spacing w:after="0" w:line="360" w:lineRule="auto"/>
        <w:ind w:left="720"/>
        <w:rPr>
          <w:rFonts w:ascii="Arial" w:eastAsia="Calibri" w:hAnsi="Arial" w:cs="Arial"/>
          <w:lang w:val="en-ZA"/>
        </w:rPr>
      </w:pPr>
      <w:r w:rsidRPr="00426EC8">
        <w:rPr>
          <w:rFonts w:ascii="Arial" w:eastAsia="Calibri" w:hAnsi="Arial" w:cs="Arial"/>
          <w:lang w:val="en-ZA"/>
        </w:rPr>
        <w:t>NIL (</w:t>
      </w:r>
      <w:proofErr w:type="spellStart"/>
      <w:r w:rsidRPr="00426EC8">
        <w:rPr>
          <w:rFonts w:ascii="Arial" w:eastAsia="Calibri" w:hAnsi="Arial" w:cs="Arial"/>
          <w:lang w:val="en-ZA"/>
        </w:rPr>
        <w:t>i</w:t>
      </w:r>
      <w:proofErr w:type="spellEnd"/>
      <w:r w:rsidRPr="00426EC8">
        <w:rPr>
          <w:rFonts w:ascii="Arial" w:eastAsia="Calibri" w:hAnsi="Arial" w:cs="Arial"/>
          <w:lang w:val="en-ZA"/>
        </w:rPr>
        <w:t>) N/A (ii) South African Civil Aviation Authority did not borrow any amount from the People’s Republic of China (aa) N/A (bb) N/A (b) N/A (c) N/A (d) N/A.</w:t>
      </w:r>
    </w:p>
    <w:p w14:paraId="2131948D" w14:textId="77777777" w:rsidR="00557920" w:rsidRPr="00426EC8" w:rsidRDefault="00557920" w:rsidP="00426EC8">
      <w:pPr>
        <w:spacing w:after="0" w:line="360" w:lineRule="auto"/>
        <w:jc w:val="both"/>
        <w:outlineLvl w:val="0"/>
        <w:rPr>
          <w:rFonts w:ascii="Arial" w:hAnsi="Arial" w:cs="Arial"/>
          <w:b/>
        </w:rPr>
      </w:pPr>
    </w:p>
    <w:p w14:paraId="061CB241" w14:textId="77777777" w:rsidR="00557920" w:rsidRPr="00426EC8" w:rsidRDefault="00557920" w:rsidP="00426EC8">
      <w:pPr>
        <w:spacing w:after="0" w:line="360" w:lineRule="auto"/>
        <w:jc w:val="both"/>
        <w:outlineLvl w:val="0"/>
        <w:rPr>
          <w:rFonts w:ascii="Arial" w:eastAsia="Calibri" w:hAnsi="Arial" w:cs="Arial"/>
          <w:lang w:val="en-ZA"/>
        </w:rPr>
      </w:pPr>
      <w:r w:rsidRPr="00426EC8">
        <w:rPr>
          <w:rFonts w:ascii="Arial" w:hAnsi="Arial" w:cs="Arial"/>
          <w:b/>
        </w:rPr>
        <w:t>Cross-Border Road Transport Agency (CBRTA)</w:t>
      </w:r>
    </w:p>
    <w:p w14:paraId="15EF109A" w14:textId="77777777" w:rsidR="00557920" w:rsidRPr="00426EC8" w:rsidRDefault="00557920" w:rsidP="00426EC8">
      <w:pPr>
        <w:spacing w:after="0" w:line="360" w:lineRule="auto"/>
        <w:ind w:left="720"/>
        <w:jc w:val="both"/>
        <w:outlineLvl w:val="0"/>
        <w:rPr>
          <w:rFonts w:ascii="Arial" w:hAnsi="Arial" w:cs="Arial"/>
        </w:rPr>
      </w:pPr>
      <w:r w:rsidRPr="00426EC8">
        <w:rPr>
          <w:rFonts w:ascii="Arial" w:hAnsi="Arial" w:cs="Arial"/>
        </w:rPr>
        <w:t>The (a) (ii) Cross-Border Road Transport Agency did not borrow any amount from any entity in the People’s Republic of China (aa) in each of the past three financial years and (bb) since 1 April 2018 and (b), (c) and (d) are therefore not applicable.</w:t>
      </w:r>
    </w:p>
    <w:p w14:paraId="0F5CA523" w14:textId="77777777" w:rsidR="00557920" w:rsidRPr="00426EC8" w:rsidRDefault="00557920" w:rsidP="00426EC8">
      <w:pPr>
        <w:spacing w:after="0" w:line="360" w:lineRule="auto"/>
        <w:jc w:val="both"/>
        <w:outlineLvl w:val="0"/>
        <w:rPr>
          <w:rFonts w:ascii="Arial" w:hAnsi="Arial" w:cs="Arial"/>
          <w:b/>
        </w:rPr>
      </w:pPr>
    </w:p>
    <w:p w14:paraId="7037E43D" w14:textId="77777777" w:rsidR="00557920" w:rsidRPr="00426EC8" w:rsidRDefault="00557920" w:rsidP="00426EC8">
      <w:pPr>
        <w:spacing w:after="0" w:line="360" w:lineRule="auto"/>
        <w:jc w:val="both"/>
        <w:outlineLvl w:val="0"/>
        <w:rPr>
          <w:rFonts w:ascii="Arial" w:hAnsi="Arial" w:cs="Arial"/>
        </w:rPr>
      </w:pPr>
      <w:r w:rsidRPr="00426EC8">
        <w:rPr>
          <w:rFonts w:ascii="Arial" w:hAnsi="Arial" w:cs="Arial"/>
          <w:b/>
        </w:rPr>
        <w:t>Road Accident Fund (RAF)</w:t>
      </w:r>
    </w:p>
    <w:p w14:paraId="2B3BDEAA" w14:textId="77777777" w:rsidR="00557920" w:rsidRPr="00426EC8" w:rsidRDefault="00557920" w:rsidP="00426EC8">
      <w:pPr>
        <w:spacing w:after="0" w:line="360" w:lineRule="auto"/>
        <w:ind w:left="720"/>
        <w:jc w:val="both"/>
        <w:outlineLvl w:val="0"/>
        <w:rPr>
          <w:rFonts w:ascii="Arial" w:hAnsi="Arial" w:cs="Arial"/>
        </w:rPr>
      </w:pPr>
      <w:r w:rsidRPr="00426EC8">
        <w:rPr>
          <w:rFonts w:ascii="Arial" w:hAnsi="Arial" w:cs="Arial"/>
        </w:rPr>
        <w:t>The (a) (ii) Road Accident Fund did not borrow any amount from any entity in the People’s Republic of China (aa) in each of the past three financial years and (bb) since 1 April 2018 and (b), (c) and (d) are therefore not applicable.</w:t>
      </w:r>
    </w:p>
    <w:p w14:paraId="32D9E5D1" w14:textId="77777777" w:rsidR="00557920" w:rsidRPr="00426EC8" w:rsidRDefault="00557920" w:rsidP="00426EC8">
      <w:pPr>
        <w:spacing w:after="0" w:line="360" w:lineRule="auto"/>
        <w:jc w:val="both"/>
        <w:outlineLvl w:val="0"/>
        <w:rPr>
          <w:rFonts w:ascii="Arial" w:hAnsi="Arial" w:cs="Arial"/>
        </w:rPr>
      </w:pPr>
    </w:p>
    <w:p w14:paraId="6C525665" w14:textId="77777777" w:rsidR="00557920" w:rsidRPr="00426EC8" w:rsidRDefault="00557920" w:rsidP="00426EC8">
      <w:pPr>
        <w:spacing w:after="0" w:line="360" w:lineRule="auto"/>
        <w:jc w:val="both"/>
        <w:outlineLvl w:val="0"/>
        <w:rPr>
          <w:rFonts w:ascii="Arial" w:hAnsi="Arial" w:cs="Arial"/>
          <w:b/>
        </w:rPr>
      </w:pPr>
      <w:r w:rsidRPr="00426EC8">
        <w:rPr>
          <w:rFonts w:ascii="Arial" w:hAnsi="Arial" w:cs="Arial"/>
          <w:b/>
        </w:rPr>
        <w:t>Road Traffic Management Corporation</w:t>
      </w:r>
    </w:p>
    <w:p w14:paraId="2DC947DE" w14:textId="77777777" w:rsidR="00557920" w:rsidRPr="00426EC8" w:rsidRDefault="00557920" w:rsidP="00426EC8">
      <w:pPr>
        <w:spacing w:after="0" w:line="360" w:lineRule="auto"/>
        <w:ind w:left="720"/>
        <w:jc w:val="both"/>
        <w:outlineLvl w:val="0"/>
        <w:rPr>
          <w:rFonts w:ascii="Arial" w:hAnsi="Arial" w:cs="Arial"/>
        </w:rPr>
      </w:pPr>
      <w:r w:rsidRPr="00426EC8">
        <w:rPr>
          <w:rFonts w:ascii="Arial" w:hAnsi="Arial" w:cs="Arial"/>
        </w:rPr>
        <w:t>The (a) (ii) Road Traffic Management Corporation</w:t>
      </w:r>
      <w:r w:rsidRPr="00426EC8">
        <w:rPr>
          <w:rFonts w:ascii="Arial" w:hAnsi="Arial" w:cs="Arial"/>
          <w:b/>
        </w:rPr>
        <w:t xml:space="preserve"> </w:t>
      </w:r>
      <w:r w:rsidRPr="00426EC8">
        <w:rPr>
          <w:rFonts w:ascii="Arial" w:hAnsi="Arial" w:cs="Arial"/>
        </w:rPr>
        <w:t>did not borrow any amount from any entity in the People’s Republic of China (aa) in each of the past three financial years and (bb) since 1 April 2018 and (b), (c) and (d) are therefore not applicable.</w:t>
      </w:r>
    </w:p>
    <w:p w14:paraId="1DD6EE23" w14:textId="77777777" w:rsidR="00557920" w:rsidRPr="00426EC8" w:rsidRDefault="00557920" w:rsidP="00426EC8">
      <w:pPr>
        <w:spacing w:after="0" w:line="360" w:lineRule="auto"/>
        <w:jc w:val="both"/>
        <w:outlineLvl w:val="0"/>
        <w:rPr>
          <w:rFonts w:ascii="Arial" w:hAnsi="Arial" w:cs="Arial"/>
        </w:rPr>
      </w:pPr>
    </w:p>
    <w:p w14:paraId="597A6A10" w14:textId="77777777" w:rsidR="00557920" w:rsidRPr="00426EC8" w:rsidRDefault="00557920" w:rsidP="00426EC8">
      <w:pPr>
        <w:spacing w:after="0" w:line="360" w:lineRule="auto"/>
        <w:jc w:val="both"/>
        <w:outlineLvl w:val="0"/>
        <w:rPr>
          <w:rFonts w:ascii="Arial" w:hAnsi="Arial" w:cs="Arial"/>
          <w:b/>
        </w:rPr>
      </w:pPr>
      <w:r w:rsidRPr="00426EC8">
        <w:rPr>
          <w:rFonts w:ascii="Arial" w:hAnsi="Arial" w:cs="Arial"/>
          <w:b/>
        </w:rPr>
        <w:t>Road Traffic Infringement Agency (RTIA)</w:t>
      </w:r>
    </w:p>
    <w:p w14:paraId="4843CE3D" w14:textId="77777777" w:rsidR="00557920" w:rsidRPr="00426EC8" w:rsidRDefault="00557920" w:rsidP="00426EC8">
      <w:pPr>
        <w:spacing w:after="0" w:line="360" w:lineRule="auto"/>
        <w:ind w:left="720"/>
        <w:jc w:val="both"/>
        <w:outlineLvl w:val="0"/>
        <w:rPr>
          <w:rFonts w:ascii="Arial" w:hAnsi="Arial" w:cs="Arial"/>
        </w:rPr>
      </w:pPr>
      <w:r w:rsidRPr="00426EC8">
        <w:rPr>
          <w:rFonts w:ascii="Arial" w:hAnsi="Arial" w:cs="Arial"/>
        </w:rPr>
        <w:t>The (a) (ii) Road Traffic Infringement Agency did not borrow any amount from any entity in the People’s Republic of China (aa) in each of the past three financial years and (bb) since 1 April 2018 and (b), (c) and (d) are therefore not applicable.</w:t>
      </w:r>
    </w:p>
    <w:p w14:paraId="6C4BDF9C" w14:textId="77777777" w:rsidR="00557920" w:rsidRPr="00426EC8" w:rsidRDefault="00557920" w:rsidP="00426EC8">
      <w:pPr>
        <w:spacing w:after="0" w:line="360" w:lineRule="auto"/>
        <w:jc w:val="both"/>
        <w:outlineLvl w:val="0"/>
        <w:rPr>
          <w:rFonts w:ascii="Arial" w:hAnsi="Arial" w:cs="Arial"/>
        </w:rPr>
      </w:pPr>
    </w:p>
    <w:p w14:paraId="35CE61A1" w14:textId="77777777" w:rsidR="00557920" w:rsidRPr="00426EC8" w:rsidRDefault="00557920" w:rsidP="00426EC8">
      <w:pPr>
        <w:spacing w:after="0" w:line="360" w:lineRule="auto"/>
        <w:jc w:val="both"/>
        <w:outlineLvl w:val="0"/>
        <w:rPr>
          <w:rFonts w:ascii="Arial" w:hAnsi="Arial" w:cs="Arial"/>
          <w:b/>
        </w:rPr>
      </w:pPr>
      <w:r w:rsidRPr="00426EC8">
        <w:rPr>
          <w:rFonts w:ascii="Arial" w:hAnsi="Arial" w:cs="Arial"/>
          <w:b/>
        </w:rPr>
        <w:t>South African National Road Agency Limited (SANRAL)</w:t>
      </w:r>
    </w:p>
    <w:p w14:paraId="49841E00" w14:textId="77777777" w:rsidR="00557920" w:rsidRPr="00426EC8" w:rsidRDefault="00557920" w:rsidP="00426EC8">
      <w:pPr>
        <w:spacing w:after="0" w:line="360" w:lineRule="auto"/>
        <w:ind w:left="720"/>
        <w:jc w:val="both"/>
        <w:outlineLvl w:val="0"/>
        <w:rPr>
          <w:rFonts w:ascii="Arial" w:hAnsi="Arial" w:cs="Arial"/>
        </w:rPr>
      </w:pPr>
      <w:r w:rsidRPr="00426EC8">
        <w:rPr>
          <w:rFonts w:ascii="Arial" w:hAnsi="Arial" w:cs="Arial"/>
        </w:rPr>
        <w:t>The (a) (ii) South African National Road Agency Limited did not borrow any amount from any entity in the People’s Republic of China (aa) in each of the past three financial years and (bb) since 1 April 2018 and (b), (c) and (d) are therefore not applicable.</w:t>
      </w:r>
    </w:p>
    <w:p w14:paraId="6C7FCEE6" w14:textId="77777777" w:rsidR="00557920" w:rsidRPr="00426EC8" w:rsidRDefault="00557920" w:rsidP="00426EC8">
      <w:pPr>
        <w:spacing w:after="0" w:line="360" w:lineRule="auto"/>
        <w:jc w:val="both"/>
        <w:outlineLvl w:val="0"/>
        <w:rPr>
          <w:rFonts w:ascii="Arial" w:hAnsi="Arial" w:cs="Arial"/>
          <w:b/>
          <w:lang w:val="en"/>
        </w:rPr>
      </w:pPr>
    </w:p>
    <w:p w14:paraId="7E3132C8" w14:textId="77777777" w:rsidR="00557920" w:rsidRPr="00426EC8" w:rsidRDefault="00557920" w:rsidP="00426EC8">
      <w:pPr>
        <w:spacing w:after="0" w:line="360" w:lineRule="auto"/>
        <w:jc w:val="both"/>
        <w:outlineLvl w:val="0"/>
        <w:rPr>
          <w:rFonts w:ascii="Arial" w:hAnsi="Arial" w:cs="Arial"/>
          <w:b/>
          <w:lang w:val="en"/>
        </w:rPr>
      </w:pPr>
      <w:r w:rsidRPr="00426EC8">
        <w:rPr>
          <w:rFonts w:ascii="Arial" w:hAnsi="Arial" w:cs="Arial"/>
          <w:b/>
          <w:lang w:val="en"/>
        </w:rPr>
        <w:t>Railway Safety Regulator (RSR)</w:t>
      </w:r>
    </w:p>
    <w:p w14:paraId="40760BC8" w14:textId="77777777" w:rsidR="00557920" w:rsidRPr="00426EC8" w:rsidRDefault="00557920" w:rsidP="00426EC8">
      <w:pPr>
        <w:pStyle w:val="ListParagraph"/>
        <w:numPr>
          <w:ilvl w:val="0"/>
          <w:numId w:val="37"/>
        </w:numPr>
        <w:spacing w:after="0" w:line="360" w:lineRule="auto"/>
        <w:ind w:hanging="371"/>
        <w:jc w:val="both"/>
        <w:outlineLvl w:val="0"/>
        <w:rPr>
          <w:rFonts w:ascii="Arial" w:hAnsi="Arial" w:cs="Arial"/>
          <w:lang w:val="en"/>
        </w:rPr>
      </w:pPr>
      <w:r w:rsidRPr="00426EC8">
        <w:rPr>
          <w:rFonts w:ascii="Arial" w:hAnsi="Arial" w:cs="Arial"/>
          <w:lang w:val="en"/>
        </w:rPr>
        <w:t>No amount was borrowed by the RSR from any entity in the People’s Republic of China,</w:t>
      </w:r>
    </w:p>
    <w:p w14:paraId="0BAECB81" w14:textId="77777777" w:rsidR="00557920" w:rsidRPr="00426EC8" w:rsidRDefault="00557920" w:rsidP="00426EC8">
      <w:pPr>
        <w:pStyle w:val="ListParagraph"/>
        <w:spacing w:after="0" w:line="360" w:lineRule="auto"/>
        <w:ind w:left="1701" w:hanging="567"/>
        <w:jc w:val="both"/>
        <w:outlineLvl w:val="0"/>
        <w:rPr>
          <w:rFonts w:ascii="Arial" w:hAnsi="Arial" w:cs="Arial"/>
          <w:lang w:val="en"/>
        </w:rPr>
      </w:pPr>
      <w:r w:rsidRPr="00426EC8">
        <w:rPr>
          <w:rFonts w:ascii="Arial" w:hAnsi="Arial" w:cs="Arial"/>
          <w:lang w:val="en"/>
        </w:rPr>
        <w:t>(aa)</w:t>
      </w:r>
      <w:r w:rsidRPr="00426EC8">
        <w:rPr>
          <w:rFonts w:ascii="Arial" w:hAnsi="Arial" w:cs="Arial"/>
          <w:lang w:val="en"/>
        </w:rPr>
        <w:tab/>
        <w:t xml:space="preserve">in any of the past three financial years, and </w:t>
      </w:r>
    </w:p>
    <w:p w14:paraId="4BC1D127" w14:textId="77777777" w:rsidR="00557920" w:rsidRPr="00426EC8" w:rsidRDefault="00557920" w:rsidP="00426EC8">
      <w:pPr>
        <w:pStyle w:val="ListParagraph"/>
        <w:spacing w:after="0" w:line="360" w:lineRule="auto"/>
        <w:ind w:left="1701" w:hanging="567"/>
        <w:jc w:val="both"/>
        <w:outlineLvl w:val="0"/>
        <w:rPr>
          <w:rFonts w:ascii="Arial" w:hAnsi="Arial" w:cs="Arial"/>
          <w:lang w:val="en"/>
        </w:rPr>
      </w:pPr>
      <w:r w:rsidRPr="00426EC8">
        <w:rPr>
          <w:rFonts w:ascii="Arial" w:hAnsi="Arial" w:cs="Arial"/>
          <w:lang w:val="en"/>
        </w:rPr>
        <w:t>(bb)</w:t>
      </w:r>
      <w:r w:rsidRPr="00426EC8">
        <w:rPr>
          <w:rFonts w:ascii="Arial" w:hAnsi="Arial" w:cs="Arial"/>
          <w:lang w:val="en"/>
        </w:rPr>
        <w:tab/>
        <w:t>since 1 April 2018;</w:t>
      </w:r>
    </w:p>
    <w:p w14:paraId="6581B555" w14:textId="77777777" w:rsidR="00557920" w:rsidRPr="00426EC8" w:rsidRDefault="00557920" w:rsidP="00426EC8">
      <w:pPr>
        <w:pStyle w:val="ListParagraph"/>
        <w:spacing w:after="0" w:line="360" w:lineRule="auto"/>
        <w:ind w:left="1701" w:hanging="567"/>
        <w:jc w:val="both"/>
        <w:outlineLvl w:val="0"/>
        <w:rPr>
          <w:rFonts w:ascii="Arial" w:hAnsi="Arial" w:cs="Arial"/>
          <w:lang w:val="en"/>
        </w:rPr>
      </w:pPr>
    </w:p>
    <w:p w14:paraId="3C167ADC" w14:textId="77777777" w:rsidR="00557920" w:rsidRPr="00426EC8" w:rsidRDefault="00557920" w:rsidP="00426EC8">
      <w:pPr>
        <w:pStyle w:val="ListParagraph"/>
        <w:numPr>
          <w:ilvl w:val="0"/>
          <w:numId w:val="37"/>
        </w:numPr>
        <w:spacing w:after="0" w:line="360" w:lineRule="auto"/>
        <w:ind w:hanging="371"/>
        <w:jc w:val="both"/>
        <w:outlineLvl w:val="0"/>
        <w:rPr>
          <w:rFonts w:ascii="Arial" w:hAnsi="Arial" w:cs="Arial"/>
          <w:lang w:val="en"/>
        </w:rPr>
      </w:pPr>
      <w:r w:rsidRPr="00426EC8">
        <w:rPr>
          <w:rFonts w:ascii="Arial" w:hAnsi="Arial" w:cs="Arial"/>
          <w:lang w:val="en"/>
        </w:rPr>
        <w:t>Not applicable, refer to (a)</w:t>
      </w:r>
    </w:p>
    <w:p w14:paraId="457422DD" w14:textId="77777777" w:rsidR="00557920" w:rsidRPr="00426EC8" w:rsidRDefault="00557920" w:rsidP="00426EC8">
      <w:pPr>
        <w:pStyle w:val="ListParagraph"/>
        <w:spacing w:after="0" w:line="360" w:lineRule="auto"/>
        <w:ind w:left="1080"/>
        <w:jc w:val="both"/>
        <w:outlineLvl w:val="0"/>
        <w:rPr>
          <w:rFonts w:ascii="Arial" w:hAnsi="Arial" w:cs="Arial"/>
          <w:lang w:val="en"/>
        </w:rPr>
      </w:pPr>
    </w:p>
    <w:p w14:paraId="136A4311" w14:textId="77777777" w:rsidR="00557920" w:rsidRPr="00426EC8" w:rsidRDefault="00557920" w:rsidP="00426EC8">
      <w:pPr>
        <w:pStyle w:val="ListParagraph"/>
        <w:numPr>
          <w:ilvl w:val="0"/>
          <w:numId w:val="37"/>
        </w:numPr>
        <w:spacing w:after="0" w:line="360" w:lineRule="auto"/>
        <w:ind w:hanging="371"/>
        <w:jc w:val="both"/>
        <w:outlineLvl w:val="0"/>
        <w:rPr>
          <w:rFonts w:ascii="Arial" w:hAnsi="Arial" w:cs="Arial"/>
          <w:lang w:val="en"/>
        </w:rPr>
      </w:pPr>
      <w:r w:rsidRPr="00426EC8">
        <w:rPr>
          <w:rFonts w:ascii="Arial" w:hAnsi="Arial" w:cs="Arial"/>
          <w:lang w:val="en"/>
        </w:rPr>
        <w:t>Not applicable, refer to (a)</w:t>
      </w:r>
    </w:p>
    <w:p w14:paraId="6E9BA14A" w14:textId="77777777" w:rsidR="00557920" w:rsidRPr="00426EC8" w:rsidRDefault="00557920" w:rsidP="00426EC8">
      <w:pPr>
        <w:pStyle w:val="ListParagraph"/>
        <w:spacing w:after="0" w:line="360" w:lineRule="auto"/>
        <w:ind w:left="1080"/>
        <w:jc w:val="both"/>
        <w:outlineLvl w:val="0"/>
        <w:rPr>
          <w:rFonts w:ascii="Arial" w:hAnsi="Arial" w:cs="Arial"/>
          <w:lang w:val="en"/>
        </w:rPr>
      </w:pPr>
    </w:p>
    <w:p w14:paraId="638783F9" w14:textId="77777777" w:rsidR="00557920" w:rsidRPr="00426EC8" w:rsidRDefault="00557920" w:rsidP="00426EC8">
      <w:pPr>
        <w:pStyle w:val="ListParagraph"/>
        <w:numPr>
          <w:ilvl w:val="0"/>
          <w:numId w:val="37"/>
        </w:numPr>
        <w:spacing w:after="0" w:line="360" w:lineRule="auto"/>
        <w:ind w:hanging="371"/>
        <w:jc w:val="both"/>
        <w:outlineLvl w:val="0"/>
        <w:rPr>
          <w:rFonts w:ascii="Arial" w:hAnsi="Arial" w:cs="Arial"/>
          <w:lang w:val="en"/>
        </w:rPr>
      </w:pPr>
      <w:r w:rsidRPr="00426EC8">
        <w:rPr>
          <w:rFonts w:ascii="Arial" w:hAnsi="Arial" w:cs="Arial"/>
          <w:lang w:val="en"/>
        </w:rPr>
        <w:t>Not applicable, refer to (a)</w:t>
      </w:r>
    </w:p>
    <w:p w14:paraId="60DEDD78" w14:textId="77777777" w:rsidR="00557920" w:rsidRPr="00426EC8" w:rsidRDefault="00557920" w:rsidP="00426EC8">
      <w:pPr>
        <w:spacing w:after="0" w:line="360" w:lineRule="auto"/>
        <w:ind w:left="709"/>
        <w:jc w:val="both"/>
        <w:outlineLvl w:val="0"/>
        <w:rPr>
          <w:rFonts w:ascii="Arial" w:hAnsi="Arial" w:cs="Arial"/>
          <w:lang w:val="en"/>
        </w:rPr>
      </w:pPr>
    </w:p>
    <w:p w14:paraId="60E321A7" w14:textId="77777777" w:rsidR="00557920" w:rsidRPr="00426EC8" w:rsidRDefault="00557920" w:rsidP="00426EC8">
      <w:pPr>
        <w:spacing w:after="0" w:line="360" w:lineRule="auto"/>
        <w:jc w:val="both"/>
        <w:outlineLvl w:val="0"/>
        <w:rPr>
          <w:rFonts w:ascii="Arial" w:hAnsi="Arial" w:cs="Arial"/>
          <w:lang w:val="en"/>
        </w:rPr>
      </w:pPr>
      <w:r w:rsidRPr="00426EC8">
        <w:rPr>
          <w:rFonts w:ascii="Arial" w:hAnsi="Arial" w:cs="Arial"/>
          <w:b/>
          <w:lang w:val="en"/>
        </w:rPr>
        <w:t>Passenger Rail Agency of South Africa (PRASA)</w:t>
      </w:r>
    </w:p>
    <w:p w14:paraId="048EF470" w14:textId="77777777" w:rsidR="00557920" w:rsidRPr="00426EC8" w:rsidRDefault="00557920" w:rsidP="00426EC8">
      <w:pPr>
        <w:pStyle w:val="ListParagraph"/>
        <w:numPr>
          <w:ilvl w:val="0"/>
          <w:numId w:val="38"/>
        </w:numPr>
        <w:spacing w:after="0" w:line="360" w:lineRule="auto"/>
        <w:jc w:val="both"/>
        <w:outlineLvl w:val="0"/>
        <w:rPr>
          <w:rFonts w:ascii="Arial" w:hAnsi="Arial" w:cs="Arial"/>
          <w:lang w:val="en"/>
        </w:rPr>
      </w:pPr>
      <w:r w:rsidRPr="00426EC8">
        <w:rPr>
          <w:rFonts w:ascii="Arial" w:hAnsi="Arial" w:cs="Arial"/>
          <w:lang w:val="en"/>
        </w:rPr>
        <w:t>No amount was borrowed by PRASA from any entity in the People’s Republic of China,</w:t>
      </w:r>
    </w:p>
    <w:p w14:paraId="7B442E52" w14:textId="3985A2E4" w:rsidR="00557920" w:rsidRPr="00426EC8" w:rsidRDefault="00557920" w:rsidP="00426EC8">
      <w:pPr>
        <w:spacing w:after="0" w:line="360" w:lineRule="auto"/>
        <w:ind w:firstLine="720"/>
        <w:jc w:val="both"/>
        <w:outlineLvl w:val="0"/>
        <w:rPr>
          <w:rFonts w:ascii="Arial" w:hAnsi="Arial" w:cs="Arial"/>
          <w:lang w:val="en"/>
        </w:rPr>
      </w:pPr>
      <w:r w:rsidRPr="00426EC8">
        <w:rPr>
          <w:rFonts w:ascii="Arial" w:hAnsi="Arial" w:cs="Arial"/>
          <w:lang w:val="en"/>
        </w:rPr>
        <w:t>(aa)</w:t>
      </w:r>
      <w:r w:rsidR="00426EC8" w:rsidRPr="00426EC8">
        <w:rPr>
          <w:rFonts w:ascii="Arial" w:hAnsi="Arial" w:cs="Arial"/>
          <w:lang w:val="en"/>
        </w:rPr>
        <w:t xml:space="preserve"> </w:t>
      </w:r>
      <w:r w:rsidRPr="00426EC8">
        <w:rPr>
          <w:rFonts w:ascii="Arial" w:hAnsi="Arial" w:cs="Arial"/>
          <w:lang w:val="en"/>
        </w:rPr>
        <w:t xml:space="preserve">in any of the past three financial years, and </w:t>
      </w:r>
    </w:p>
    <w:p w14:paraId="01B2047E" w14:textId="279DE92E" w:rsidR="00557920" w:rsidRPr="00426EC8" w:rsidRDefault="00557920" w:rsidP="00426EC8">
      <w:pPr>
        <w:spacing w:after="0" w:line="360" w:lineRule="auto"/>
        <w:ind w:firstLine="709"/>
        <w:jc w:val="both"/>
        <w:outlineLvl w:val="0"/>
        <w:rPr>
          <w:rFonts w:ascii="Arial" w:hAnsi="Arial" w:cs="Arial"/>
          <w:lang w:val="en"/>
        </w:rPr>
      </w:pPr>
      <w:r w:rsidRPr="00426EC8">
        <w:rPr>
          <w:rFonts w:ascii="Arial" w:hAnsi="Arial" w:cs="Arial"/>
          <w:lang w:val="en"/>
        </w:rPr>
        <w:t>(bb)</w:t>
      </w:r>
      <w:r w:rsidR="00426EC8" w:rsidRPr="00426EC8">
        <w:rPr>
          <w:rFonts w:ascii="Arial" w:hAnsi="Arial" w:cs="Arial"/>
          <w:lang w:val="en"/>
        </w:rPr>
        <w:t xml:space="preserve"> </w:t>
      </w:r>
      <w:r w:rsidRPr="00426EC8">
        <w:rPr>
          <w:rFonts w:ascii="Arial" w:hAnsi="Arial" w:cs="Arial"/>
          <w:lang w:val="en"/>
        </w:rPr>
        <w:t>since 1 April 2018;</w:t>
      </w:r>
    </w:p>
    <w:p w14:paraId="2562FD43" w14:textId="77777777" w:rsidR="00557920" w:rsidRPr="00426EC8" w:rsidRDefault="00557920" w:rsidP="00426EC8">
      <w:pPr>
        <w:pStyle w:val="ListParagraph"/>
        <w:spacing w:after="0" w:line="360" w:lineRule="auto"/>
        <w:ind w:left="1701" w:hanging="567"/>
        <w:jc w:val="both"/>
        <w:outlineLvl w:val="0"/>
        <w:rPr>
          <w:rFonts w:ascii="Arial" w:hAnsi="Arial" w:cs="Arial"/>
          <w:lang w:val="en"/>
        </w:rPr>
      </w:pPr>
    </w:p>
    <w:p w14:paraId="619AC29D" w14:textId="77777777" w:rsidR="00557920" w:rsidRPr="00426EC8" w:rsidRDefault="00557920" w:rsidP="00426EC8">
      <w:pPr>
        <w:pStyle w:val="ListParagraph"/>
        <w:numPr>
          <w:ilvl w:val="0"/>
          <w:numId w:val="38"/>
        </w:numPr>
        <w:spacing w:after="0" w:line="360" w:lineRule="auto"/>
        <w:ind w:hanging="371"/>
        <w:jc w:val="both"/>
        <w:outlineLvl w:val="0"/>
        <w:rPr>
          <w:rFonts w:ascii="Arial" w:hAnsi="Arial" w:cs="Arial"/>
          <w:lang w:val="en"/>
        </w:rPr>
      </w:pPr>
      <w:r w:rsidRPr="00426EC8">
        <w:rPr>
          <w:rFonts w:ascii="Arial" w:hAnsi="Arial" w:cs="Arial"/>
          <w:lang w:val="en"/>
        </w:rPr>
        <w:t>Not applicable, refer to (a)</w:t>
      </w:r>
    </w:p>
    <w:p w14:paraId="0928F8A0" w14:textId="77777777" w:rsidR="00557920" w:rsidRPr="00426EC8" w:rsidRDefault="00557920" w:rsidP="00426EC8">
      <w:pPr>
        <w:pStyle w:val="ListParagraph"/>
        <w:spacing w:after="0" w:line="360" w:lineRule="auto"/>
        <w:ind w:left="1080"/>
        <w:jc w:val="both"/>
        <w:outlineLvl w:val="0"/>
        <w:rPr>
          <w:rFonts w:ascii="Arial" w:hAnsi="Arial" w:cs="Arial"/>
          <w:lang w:val="en"/>
        </w:rPr>
      </w:pPr>
    </w:p>
    <w:p w14:paraId="03D6C1B5" w14:textId="77777777" w:rsidR="00557920" w:rsidRPr="00426EC8" w:rsidRDefault="00557920" w:rsidP="00426EC8">
      <w:pPr>
        <w:pStyle w:val="ListParagraph"/>
        <w:numPr>
          <w:ilvl w:val="0"/>
          <w:numId w:val="38"/>
        </w:numPr>
        <w:spacing w:after="0" w:line="360" w:lineRule="auto"/>
        <w:ind w:hanging="371"/>
        <w:jc w:val="both"/>
        <w:outlineLvl w:val="0"/>
        <w:rPr>
          <w:rFonts w:ascii="Arial" w:hAnsi="Arial" w:cs="Arial"/>
          <w:lang w:val="en"/>
        </w:rPr>
      </w:pPr>
      <w:r w:rsidRPr="00426EC8">
        <w:rPr>
          <w:rFonts w:ascii="Arial" w:hAnsi="Arial" w:cs="Arial"/>
          <w:lang w:val="en"/>
        </w:rPr>
        <w:t>Not applicable, refer to (a)</w:t>
      </w:r>
    </w:p>
    <w:p w14:paraId="60D1FD57" w14:textId="77777777" w:rsidR="00557920" w:rsidRPr="00426EC8" w:rsidRDefault="00557920" w:rsidP="00426EC8">
      <w:pPr>
        <w:spacing w:after="0" w:line="360" w:lineRule="auto"/>
        <w:ind w:left="1080"/>
        <w:jc w:val="both"/>
        <w:outlineLvl w:val="0"/>
        <w:rPr>
          <w:rFonts w:ascii="Arial" w:hAnsi="Arial" w:cs="Arial"/>
          <w:lang w:val="en"/>
        </w:rPr>
      </w:pPr>
    </w:p>
    <w:p w14:paraId="72F0E278" w14:textId="77777777" w:rsidR="00557920" w:rsidRPr="00426EC8" w:rsidRDefault="00557920" w:rsidP="00426EC8">
      <w:pPr>
        <w:pStyle w:val="ListParagraph"/>
        <w:numPr>
          <w:ilvl w:val="0"/>
          <w:numId w:val="38"/>
        </w:numPr>
        <w:spacing w:after="0" w:line="360" w:lineRule="auto"/>
        <w:ind w:hanging="371"/>
        <w:jc w:val="both"/>
        <w:outlineLvl w:val="0"/>
        <w:rPr>
          <w:rFonts w:ascii="Arial" w:hAnsi="Arial" w:cs="Arial"/>
          <w:lang w:val="en"/>
        </w:rPr>
      </w:pPr>
      <w:r w:rsidRPr="00426EC8">
        <w:rPr>
          <w:rFonts w:ascii="Arial" w:hAnsi="Arial" w:cs="Arial"/>
          <w:lang w:val="en"/>
        </w:rPr>
        <w:t>Not applicable, refer to (a)</w:t>
      </w:r>
    </w:p>
    <w:p w14:paraId="1E2D1D11" w14:textId="77777777" w:rsidR="00557920" w:rsidRPr="00426EC8" w:rsidRDefault="00557920" w:rsidP="00426EC8">
      <w:pPr>
        <w:spacing w:after="0" w:line="360" w:lineRule="auto"/>
        <w:jc w:val="both"/>
        <w:outlineLvl w:val="0"/>
        <w:rPr>
          <w:rFonts w:ascii="Arial" w:eastAsia="Calibri" w:hAnsi="Arial" w:cs="Arial"/>
          <w:b/>
          <w:lang w:val="en-ZA"/>
        </w:rPr>
      </w:pPr>
    </w:p>
    <w:p w14:paraId="43C0D83D" w14:textId="77777777" w:rsidR="00557920" w:rsidRPr="00426EC8" w:rsidRDefault="00557920" w:rsidP="00426EC8">
      <w:pPr>
        <w:spacing w:after="0" w:line="360" w:lineRule="auto"/>
        <w:jc w:val="both"/>
        <w:outlineLvl w:val="0"/>
        <w:rPr>
          <w:rFonts w:ascii="Arial" w:eastAsia="Calibri" w:hAnsi="Arial" w:cs="Arial"/>
          <w:b/>
          <w:lang w:val="en-ZA"/>
        </w:rPr>
      </w:pPr>
      <w:r w:rsidRPr="00426EC8">
        <w:rPr>
          <w:rFonts w:ascii="Arial" w:eastAsia="Calibri" w:hAnsi="Arial" w:cs="Arial"/>
          <w:b/>
          <w:lang w:val="en-ZA"/>
        </w:rPr>
        <w:t>Ports Regulator of South Africa (PRSA)</w:t>
      </w:r>
    </w:p>
    <w:p w14:paraId="58346570" w14:textId="77777777" w:rsidR="00557920" w:rsidRPr="00426EC8" w:rsidRDefault="00557920" w:rsidP="00426EC8">
      <w:pPr>
        <w:spacing w:after="0" w:line="360" w:lineRule="auto"/>
        <w:ind w:left="360"/>
        <w:jc w:val="both"/>
        <w:outlineLvl w:val="0"/>
        <w:rPr>
          <w:rFonts w:ascii="Arial" w:eastAsia="Calibri" w:hAnsi="Arial" w:cs="Arial"/>
          <w:lang w:val="en-ZA"/>
        </w:rPr>
      </w:pPr>
      <w:r w:rsidRPr="00426EC8">
        <w:rPr>
          <w:rFonts w:ascii="Arial" w:eastAsia="Calibri" w:hAnsi="Arial" w:cs="Arial"/>
          <w:lang w:val="en-ZA"/>
        </w:rPr>
        <w:t xml:space="preserve">(ii) The Ports Regulator does not have borrowing powers in terms of legislation and has not borrowed from any institution in the past and has no plans to borrow in the medium term. </w:t>
      </w:r>
    </w:p>
    <w:p w14:paraId="6D246C40" w14:textId="77777777" w:rsidR="00557920" w:rsidRPr="00426EC8" w:rsidRDefault="00557920" w:rsidP="00426EC8">
      <w:pPr>
        <w:spacing w:before="100" w:beforeAutospacing="1" w:after="100" w:afterAutospacing="1" w:line="360" w:lineRule="auto"/>
        <w:ind w:left="360"/>
        <w:jc w:val="both"/>
        <w:outlineLvl w:val="0"/>
        <w:rPr>
          <w:rFonts w:ascii="Arial" w:eastAsia="Calibri" w:hAnsi="Arial" w:cs="Arial"/>
          <w:lang w:val="en-ZA"/>
        </w:rPr>
      </w:pPr>
      <w:r w:rsidRPr="00426EC8">
        <w:rPr>
          <w:rFonts w:ascii="Arial" w:eastAsia="Calibri" w:hAnsi="Arial" w:cs="Arial"/>
          <w:lang w:val="en-ZA"/>
        </w:rPr>
        <w:t>(aa) N/A</w:t>
      </w:r>
    </w:p>
    <w:p w14:paraId="2959C90A" w14:textId="77777777" w:rsidR="00557920" w:rsidRPr="00426EC8" w:rsidRDefault="00557920" w:rsidP="00426EC8">
      <w:pPr>
        <w:spacing w:before="100" w:beforeAutospacing="1" w:after="100" w:afterAutospacing="1" w:line="360" w:lineRule="auto"/>
        <w:ind w:left="360"/>
        <w:jc w:val="both"/>
        <w:outlineLvl w:val="0"/>
        <w:rPr>
          <w:rFonts w:ascii="Arial" w:eastAsia="Calibri" w:hAnsi="Arial" w:cs="Arial"/>
          <w:lang w:val="en-ZA"/>
        </w:rPr>
      </w:pPr>
      <w:r w:rsidRPr="00426EC8">
        <w:rPr>
          <w:rFonts w:ascii="Arial" w:eastAsia="Calibri" w:hAnsi="Arial" w:cs="Arial"/>
          <w:lang w:val="en-ZA"/>
        </w:rPr>
        <w:t>(bb) N/A</w:t>
      </w:r>
    </w:p>
    <w:p w14:paraId="74824CC9" w14:textId="77777777" w:rsidR="00557920" w:rsidRPr="00426EC8" w:rsidRDefault="00557920" w:rsidP="00426EC8">
      <w:pPr>
        <w:pStyle w:val="ListParagraph"/>
        <w:numPr>
          <w:ilvl w:val="0"/>
          <w:numId w:val="39"/>
        </w:numPr>
        <w:spacing w:before="100" w:beforeAutospacing="1" w:after="100" w:afterAutospacing="1" w:line="360" w:lineRule="auto"/>
        <w:jc w:val="both"/>
        <w:outlineLvl w:val="0"/>
        <w:rPr>
          <w:rFonts w:ascii="Arial" w:eastAsia="Calibri" w:hAnsi="Arial" w:cs="Arial"/>
          <w:lang w:val="en-ZA"/>
        </w:rPr>
      </w:pPr>
      <w:r w:rsidRPr="00426EC8">
        <w:rPr>
          <w:rFonts w:ascii="Arial" w:eastAsia="Calibri" w:hAnsi="Arial" w:cs="Arial"/>
          <w:lang w:val="en-ZA"/>
        </w:rPr>
        <w:t>N/A</w:t>
      </w:r>
    </w:p>
    <w:p w14:paraId="45C8B826" w14:textId="77777777" w:rsidR="00557920" w:rsidRPr="00426EC8" w:rsidRDefault="00557920" w:rsidP="00426EC8">
      <w:pPr>
        <w:pStyle w:val="ListParagraph"/>
        <w:numPr>
          <w:ilvl w:val="0"/>
          <w:numId w:val="39"/>
        </w:numPr>
        <w:spacing w:before="100" w:beforeAutospacing="1" w:after="100" w:afterAutospacing="1" w:line="360" w:lineRule="auto"/>
        <w:jc w:val="both"/>
        <w:outlineLvl w:val="0"/>
        <w:rPr>
          <w:rFonts w:ascii="Arial" w:eastAsia="Calibri" w:hAnsi="Arial" w:cs="Arial"/>
          <w:lang w:val="en-ZA"/>
        </w:rPr>
      </w:pPr>
      <w:r w:rsidRPr="00426EC8">
        <w:rPr>
          <w:rFonts w:ascii="Arial" w:eastAsia="Calibri" w:hAnsi="Arial" w:cs="Arial"/>
          <w:lang w:val="en-ZA"/>
        </w:rPr>
        <w:t>N/A</w:t>
      </w:r>
    </w:p>
    <w:p w14:paraId="404D70D5" w14:textId="77777777" w:rsidR="00557920" w:rsidRPr="00426EC8" w:rsidRDefault="00557920" w:rsidP="00426EC8">
      <w:pPr>
        <w:pStyle w:val="ListParagraph"/>
        <w:numPr>
          <w:ilvl w:val="0"/>
          <w:numId w:val="39"/>
        </w:numPr>
        <w:spacing w:before="100" w:beforeAutospacing="1" w:after="100" w:afterAutospacing="1" w:line="360" w:lineRule="auto"/>
        <w:jc w:val="both"/>
        <w:outlineLvl w:val="0"/>
        <w:rPr>
          <w:rFonts w:ascii="Arial" w:eastAsia="Calibri" w:hAnsi="Arial" w:cs="Arial"/>
          <w:lang w:val="en-ZA"/>
        </w:rPr>
      </w:pPr>
      <w:r w:rsidRPr="00426EC8">
        <w:rPr>
          <w:rFonts w:ascii="Arial" w:eastAsia="Calibri" w:hAnsi="Arial" w:cs="Arial"/>
          <w:lang w:val="en-ZA"/>
        </w:rPr>
        <w:t>N/A</w:t>
      </w:r>
    </w:p>
    <w:p w14:paraId="75EE6BD9" w14:textId="77777777" w:rsidR="00557920" w:rsidRPr="00426EC8" w:rsidRDefault="00557920" w:rsidP="00426EC8">
      <w:pPr>
        <w:spacing w:after="0" w:line="360" w:lineRule="auto"/>
        <w:jc w:val="both"/>
        <w:outlineLvl w:val="0"/>
        <w:rPr>
          <w:rFonts w:ascii="Arial" w:eastAsia="Calibri" w:hAnsi="Arial" w:cs="Arial"/>
          <w:b/>
          <w:lang w:val="en-ZA"/>
        </w:rPr>
      </w:pPr>
      <w:r w:rsidRPr="00426EC8">
        <w:rPr>
          <w:rFonts w:ascii="Arial" w:eastAsia="Calibri" w:hAnsi="Arial" w:cs="Arial"/>
          <w:b/>
          <w:lang w:val="en-ZA"/>
        </w:rPr>
        <w:t>South African Maritime Safety Authority (SAMSA)</w:t>
      </w:r>
    </w:p>
    <w:p w14:paraId="56AC672E" w14:textId="77777777" w:rsidR="00557920" w:rsidRPr="00426EC8" w:rsidRDefault="00557920" w:rsidP="00426EC8">
      <w:pPr>
        <w:spacing w:after="0" w:line="360" w:lineRule="auto"/>
        <w:ind w:firstLine="720"/>
        <w:jc w:val="both"/>
        <w:outlineLvl w:val="0"/>
        <w:rPr>
          <w:rFonts w:ascii="Arial" w:eastAsia="Calibri" w:hAnsi="Arial" w:cs="Arial"/>
          <w:lang w:val="en-ZA"/>
        </w:rPr>
      </w:pPr>
      <w:r w:rsidRPr="00426EC8">
        <w:rPr>
          <w:rFonts w:ascii="Arial" w:eastAsia="Calibri" w:hAnsi="Arial" w:cs="Arial"/>
          <w:lang w:val="en-ZA"/>
        </w:rPr>
        <w:t>Not Applicable as no amounts were borrowed from any entity in the People’s Republic of China</w:t>
      </w:r>
    </w:p>
    <w:p w14:paraId="76C43CEC" w14:textId="6F618507" w:rsidR="001068D0" w:rsidRPr="00426EC8" w:rsidRDefault="001068D0" w:rsidP="00426EC8">
      <w:pPr>
        <w:spacing w:before="100" w:beforeAutospacing="1" w:after="100" w:afterAutospacing="1" w:line="360" w:lineRule="auto"/>
        <w:ind w:left="720" w:hanging="720"/>
        <w:jc w:val="both"/>
        <w:outlineLvl w:val="0"/>
        <w:rPr>
          <w:rFonts w:ascii="Arial" w:eastAsia="Calibri" w:hAnsi="Arial" w:cs="Arial"/>
          <w:lang w:val="en-ZA"/>
        </w:rPr>
      </w:pPr>
    </w:p>
    <w:sectPr w:rsidR="001068D0" w:rsidRPr="00426EC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957ED" w14:textId="77777777" w:rsidR="0035684B" w:rsidRDefault="0035684B" w:rsidP="00DB1508">
      <w:pPr>
        <w:spacing w:after="0" w:line="240" w:lineRule="auto"/>
      </w:pPr>
      <w:r>
        <w:separator/>
      </w:r>
    </w:p>
  </w:endnote>
  <w:endnote w:type="continuationSeparator" w:id="0">
    <w:p w14:paraId="5802D260" w14:textId="77777777" w:rsidR="0035684B" w:rsidRDefault="0035684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8AB2" w14:textId="77777777" w:rsidR="0035684B" w:rsidRDefault="0035684B" w:rsidP="00DB1508">
      <w:pPr>
        <w:spacing w:after="0" w:line="240" w:lineRule="auto"/>
      </w:pPr>
      <w:r>
        <w:separator/>
      </w:r>
    </w:p>
  </w:footnote>
  <w:footnote w:type="continuationSeparator" w:id="0">
    <w:p w14:paraId="2DEA7F76" w14:textId="77777777" w:rsidR="0035684B" w:rsidRDefault="0035684B"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4"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0"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35"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35"/>
  </w:num>
  <w:num w:numId="3">
    <w:abstractNumId w:val="1"/>
  </w:num>
  <w:num w:numId="4">
    <w:abstractNumId w:val="23"/>
  </w:num>
  <w:num w:numId="5">
    <w:abstractNumId w:val="22"/>
  </w:num>
  <w:num w:numId="6">
    <w:abstractNumId w:val="5"/>
  </w:num>
  <w:num w:numId="7">
    <w:abstractNumId w:val="0"/>
  </w:num>
  <w:num w:numId="8">
    <w:abstractNumId w:val="37"/>
  </w:num>
  <w:num w:numId="9">
    <w:abstractNumId w:val="26"/>
  </w:num>
  <w:num w:numId="10">
    <w:abstractNumId w:val="32"/>
  </w:num>
  <w:num w:numId="11">
    <w:abstractNumId w:val="20"/>
  </w:num>
  <w:num w:numId="12">
    <w:abstractNumId w:val="8"/>
  </w:num>
  <w:num w:numId="13">
    <w:abstractNumId w:val="3"/>
  </w:num>
  <w:num w:numId="14">
    <w:abstractNumId w:val="18"/>
  </w:num>
  <w:num w:numId="15">
    <w:abstractNumId w:val="30"/>
  </w:num>
  <w:num w:numId="16">
    <w:abstractNumId w:val="9"/>
  </w:num>
  <w:num w:numId="17">
    <w:abstractNumId w:val="17"/>
  </w:num>
  <w:num w:numId="18">
    <w:abstractNumId w:val="11"/>
  </w:num>
  <w:num w:numId="19">
    <w:abstractNumId w:val="38"/>
  </w:num>
  <w:num w:numId="20">
    <w:abstractNumId w:val="21"/>
  </w:num>
  <w:num w:numId="21">
    <w:abstractNumId w:val="19"/>
  </w:num>
  <w:num w:numId="22">
    <w:abstractNumId w:val="24"/>
  </w:num>
  <w:num w:numId="23">
    <w:abstractNumId w:val="15"/>
  </w:num>
  <w:num w:numId="24">
    <w:abstractNumId w:val="7"/>
  </w:num>
  <w:num w:numId="25">
    <w:abstractNumId w:val="33"/>
  </w:num>
  <w:num w:numId="26">
    <w:abstractNumId w:val="28"/>
  </w:num>
  <w:num w:numId="27">
    <w:abstractNumId w:val="36"/>
  </w:num>
  <w:num w:numId="28">
    <w:abstractNumId w:val="2"/>
  </w:num>
  <w:num w:numId="29">
    <w:abstractNumId w:val="31"/>
  </w:num>
  <w:num w:numId="30">
    <w:abstractNumId w:val="13"/>
  </w:num>
  <w:num w:numId="31">
    <w:abstractNumId w:val="12"/>
  </w:num>
  <w:num w:numId="32">
    <w:abstractNumId w:val="6"/>
  </w:num>
  <w:num w:numId="33">
    <w:abstractNumId w:val="27"/>
  </w:num>
  <w:num w:numId="34">
    <w:abstractNumId w:val="25"/>
  </w:num>
  <w:num w:numId="35">
    <w:abstractNumId w:val="14"/>
  </w:num>
  <w:num w:numId="36">
    <w:abstractNumId w:val="29"/>
  </w:num>
  <w:num w:numId="37">
    <w:abstractNumId w:val="34"/>
  </w:num>
  <w:num w:numId="38">
    <w:abstractNumId w:val="16"/>
  </w:num>
  <w:num w:numId="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02DF-1402-4525-9920-C579A0EE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2018-11-16T10:14:00Z</dcterms:created>
  <dcterms:modified xsi:type="dcterms:W3CDTF">2018-11-16T10:17:00Z</dcterms:modified>
</cp:coreProperties>
</file>