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EF" w:rsidRPr="006D7B63" w:rsidRDefault="009F7AEF">
      <w:pPr>
        <w:rPr>
          <w:rFonts w:ascii="Times New Roman" w:hAnsi="Times New Roman"/>
          <w:b/>
          <w:sz w:val="24"/>
          <w:szCs w:val="24"/>
        </w:rPr>
      </w:pPr>
      <w:r w:rsidRPr="006D7B63">
        <w:rPr>
          <w:rFonts w:ascii="Times New Roman" w:hAnsi="Times New Roman"/>
          <w:b/>
          <w:sz w:val="24"/>
          <w:szCs w:val="24"/>
        </w:rPr>
        <w:t>NATIONAL ASSEMBLY</w:t>
      </w:r>
    </w:p>
    <w:p w:rsidR="009F7AEF" w:rsidRPr="006D7B63" w:rsidRDefault="009F7AEF">
      <w:pPr>
        <w:rPr>
          <w:rFonts w:ascii="Times New Roman" w:hAnsi="Times New Roman"/>
          <w:b/>
          <w:sz w:val="24"/>
          <w:szCs w:val="24"/>
        </w:rPr>
      </w:pPr>
    </w:p>
    <w:p w:rsidR="009F7AEF" w:rsidRPr="006D7B63" w:rsidRDefault="009F7AEF">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9F7AEF" w:rsidRPr="006D7B63" w:rsidRDefault="009F7AEF">
      <w:pPr>
        <w:rPr>
          <w:rFonts w:ascii="Times New Roman" w:hAnsi="Times New Roman"/>
          <w:b/>
          <w:sz w:val="24"/>
          <w:szCs w:val="24"/>
        </w:rPr>
      </w:pPr>
    </w:p>
    <w:p w:rsidR="009F7AEF" w:rsidRPr="006D7B63" w:rsidRDefault="009F7AEF">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3246</w:t>
      </w:r>
    </w:p>
    <w:p w:rsidR="009F7AEF" w:rsidRPr="006D7B63" w:rsidRDefault="009F7AEF">
      <w:pPr>
        <w:rPr>
          <w:rFonts w:ascii="Times New Roman" w:hAnsi="Times New Roman"/>
          <w:b/>
          <w:sz w:val="24"/>
          <w:szCs w:val="24"/>
        </w:rPr>
      </w:pPr>
    </w:p>
    <w:p w:rsidR="009F7AEF" w:rsidRPr="006D7B63" w:rsidRDefault="009F7AEF">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28/08</w:t>
      </w:r>
      <w:r w:rsidRPr="006D7B63">
        <w:rPr>
          <w:rFonts w:ascii="Times New Roman" w:hAnsi="Times New Roman"/>
          <w:b/>
          <w:sz w:val="24"/>
          <w:szCs w:val="24"/>
          <w:u w:val="single"/>
        </w:rPr>
        <w:t>/2015</w:t>
      </w:r>
    </w:p>
    <w:p w:rsidR="009F7AEF" w:rsidRDefault="009F7AEF">
      <w:pPr>
        <w:rPr>
          <w:rFonts w:ascii="Times New Roman" w:hAnsi="Times New Roman"/>
          <w:b/>
          <w:sz w:val="24"/>
          <w:szCs w:val="24"/>
          <w:u w:val="single"/>
        </w:rPr>
      </w:pPr>
      <w:r>
        <w:rPr>
          <w:rFonts w:ascii="Times New Roman" w:hAnsi="Times New Roman"/>
          <w:b/>
          <w:sz w:val="24"/>
          <w:szCs w:val="24"/>
          <w:u w:val="single"/>
        </w:rPr>
        <w:t>INTERNAL QUESTION PAPER: 34</w:t>
      </w:r>
      <w:r w:rsidRPr="006D7B63">
        <w:rPr>
          <w:rFonts w:ascii="Times New Roman" w:hAnsi="Times New Roman"/>
          <w:b/>
          <w:sz w:val="24"/>
          <w:szCs w:val="24"/>
          <w:u w:val="single"/>
        </w:rPr>
        <w:t>/2015</w:t>
      </w:r>
    </w:p>
    <w:p w:rsidR="009F7AEF" w:rsidRPr="00117C6F" w:rsidRDefault="009F7AEF" w:rsidP="00117C6F">
      <w:pPr>
        <w:spacing w:after="0" w:line="240" w:lineRule="auto"/>
        <w:ind w:left="709" w:hanging="709"/>
        <w:jc w:val="both"/>
        <w:rPr>
          <w:rFonts w:ascii="Times New Roman" w:hAnsi="Times New Roman"/>
          <w:sz w:val="24"/>
          <w:szCs w:val="24"/>
          <w:lang w:val="en-GB"/>
        </w:rPr>
      </w:pPr>
      <w:r w:rsidRPr="00117C6F">
        <w:rPr>
          <w:rFonts w:ascii="Times New Roman" w:hAnsi="Times New Roman"/>
          <w:b/>
          <w:sz w:val="24"/>
          <w:szCs w:val="24"/>
          <w:lang w:val="en-GB"/>
        </w:rPr>
        <w:t>3246.</w:t>
      </w:r>
      <w:r w:rsidRPr="00117C6F">
        <w:rPr>
          <w:rFonts w:ascii="Times New Roman" w:hAnsi="Times New Roman"/>
          <w:b/>
          <w:sz w:val="24"/>
          <w:szCs w:val="24"/>
          <w:lang w:val="en-GB"/>
        </w:rPr>
        <w:tab/>
        <w:t>Ms A T Lovemore (DA) to ask the Minister of Basic Education:</w:t>
      </w:r>
      <w:r w:rsidRPr="00117C6F">
        <w:rPr>
          <w:rFonts w:ascii="Times New Roman" w:hAnsi="Times New Roman"/>
          <w:b/>
          <w:sz w:val="24"/>
          <w:szCs w:val="24"/>
          <w:lang w:val="af-ZA"/>
        </w:rPr>
        <w:t xml:space="preserve"> </w:t>
      </w:r>
    </w:p>
    <w:p w:rsidR="009F7AEF" w:rsidRPr="00117C6F" w:rsidRDefault="009F7AEF" w:rsidP="00117C6F">
      <w:pPr>
        <w:spacing w:before="100" w:beforeAutospacing="1" w:after="100" w:afterAutospacing="1" w:line="240" w:lineRule="auto"/>
        <w:ind w:left="709"/>
        <w:jc w:val="both"/>
        <w:rPr>
          <w:sz w:val="24"/>
          <w:szCs w:val="24"/>
          <w:lang w:eastAsia="en-ZA"/>
        </w:rPr>
      </w:pPr>
      <w:r w:rsidRPr="00117C6F">
        <w:rPr>
          <w:rFonts w:ascii="Times New Roman" w:hAnsi="Times New Roman"/>
          <w:sz w:val="24"/>
          <w:szCs w:val="24"/>
          <w:lang w:eastAsia="en-ZA"/>
        </w:rPr>
        <w:t>What (a) number and (b) percentage of Funza Lushaka bursars graduate (i) within the prescribed minimum period for their course of study and (ii) at all in respect of each university and each year of initial enrolment in (aa) 2007, (bb) 2008, (cc) 2009, (dd) 2010 and (ee) 2011?</w:t>
      </w:r>
      <w:r w:rsidRPr="00117C6F">
        <w:rPr>
          <w:rFonts w:ascii="Times New Roman" w:hAnsi="Times New Roman"/>
          <w:sz w:val="24"/>
          <w:szCs w:val="24"/>
          <w:lang w:eastAsia="en-ZA"/>
        </w:rPr>
        <w:tab/>
      </w:r>
      <w:r w:rsidRPr="00117C6F">
        <w:rPr>
          <w:rFonts w:ascii="Times New Roman" w:hAnsi="Times New Roman"/>
          <w:sz w:val="24"/>
          <w:szCs w:val="24"/>
          <w:lang w:eastAsia="en-ZA"/>
        </w:rPr>
        <w:tab/>
      </w:r>
      <w:r w:rsidRPr="00117C6F">
        <w:rPr>
          <w:rFonts w:ascii="Times New Roman" w:hAnsi="Times New Roman"/>
          <w:sz w:val="24"/>
          <w:szCs w:val="24"/>
          <w:lang w:eastAsia="en-ZA"/>
        </w:rPr>
        <w:tab/>
      </w:r>
      <w:r w:rsidRPr="00117C6F">
        <w:rPr>
          <w:rFonts w:ascii="Times New Roman" w:hAnsi="Times New Roman"/>
          <w:sz w:val="24"/>
          <w:szCs w:val="24"/>
          <w:lang w:eastAsia="en-ZA"/>
        </w:rPr>
        <w:tab/>
      </w:r>
      <w:r w:rsidRPr="00117C6F">
        <w:rPr>
          <w:rFonts w:ascii="Times New Roman" w:hAnsi="Times New Roman"/>
          <w:sz w:val="24"/>
          <w:szCs w:val="24"/>
          <w:lang w:eastAsia="en-ZA"/>
        </w:rPr>
        <w:tab/>
      </w:r>
      <w:r w:rsidRPr="00117C6F">
        <w:rPr>
          <w:rFonts w:ascii="Times New Roman" w:hAnsi="Times New Roman"/>
          <w:sz w:val="20"/>
          <w:szCs w:val="24"/>
          <w:lang w:eastAsia="en-ZA"/>
        </w:rPr>
        <w:t>NW3847E</w:t>
      </w:r>
    </w:p>
    <w:p w:rsidR="009F7AEF" w:rsidRPr="00C24709" w:rsidRDefault="009F7AEF" w:rsidP="007C7C0A">
      <w:pPr>
        <w:rPr>
          <w:rFonts w:ascii="Times New Roman" w:hAnsi="Times New Roman"/>
          <w:b/>
          <w:lang w:val="en-US"/>
        </w:rPr>
      </w:pPr>
      <w:r w:rsidRPr="00C24709">
        <w:rPr>
          <w:rFonts w:ascii="Times New Roman" w:hAnsi="Times New Roman"/>
          <w:b/>
          <w:lang w:val="en-US"/>
        </w:rPr>
        <w:t>REPLY</w:t>
      </w:r>
    </w:p>
    <w:p w:rsidR="009F7AEF" w:rsidRPr="00C24709" w:rsidRDefault="009F7AEF" w:rsidP="007C7C0A">
      <w:pPr>
        <w:jc w:val="both"/>
        <w:rPr>
          <w:rFonts w:ascii="Times New Roman" w:hAnsi="Times New Roman"/>
          <w:lang w:val="en-US"/>
        </w:rPr>
      </w:pPr>
      <w:r w:rsidRPr="00C24709">
        <w:rPr>
          <w:rFonts w:ascii="Times New Roman" w:hAnsi="Times New Roman"/>
          <w:lang w:val="en-US"/>
        </w:rPr>
        <w:t xml:space="preserve">Preliminary data from the Implementation Evaluation of the Funza Lushaka bursary programme indicates the number and percentage of sampled Funza Lushaka bursars that graduated within the prescribed period for their course of study at university between 2007 and 2012: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05"/>
        <w:gridCol w:w="3333"/>
        <w:gridCol w:w="2174"/>
        <w:gridCol w:w="2030"/>
      </w:tblGrid>
      <w:tr w:rsidR="009F7AEF" w:rsidRPr="00003ECF" w:rsidTr="00A338D7">
        <w:trPr>
          <w:trHeight w:val="584"/>
        </w:trPr>
        <w:tc>
          <w:tcPr>
            <w:tcW w:w="922" w:type="pct"/>
            <w:shd w:val="clear" w:color="auto" w:fill="D9D9D9"/>
            <w:tcMar>
              <w:top w:w="15" w:type="dxa"/>
              <w:left w:w="108" w:type="dxa"/>
              <w:bottom w:w="0" w:type="dxa"/>
              <w:right w:w="108" w:type="dxa"/>
            </w:tcMar>
            <w:vAlign w:val="center"/>
          </w:tcPr>
          <w:p w:rsidR="009F7AEF" w:rsidRPr="00003ECF" w:rsidRDefault="009F7AEF" w:rsidP="00A338D7">
            <w:pPr>
              <w:jc w:val="center"/>
              <w:rPr>
                <w:rFonts w:ascii="Times New Roman" w:hAnsi="Times New Roman"/>
                <w:b/>
                <w:i/>
                <w:lang w:val="en-US"/>
              </w:rPr>
            </w:pPr>
            <w:r w:rsidRPr="00003ECF">
              <w:rPr>
                <w:rFonts w:ascii="Times New Roman" w:hAnsi="Times New Roman"/>
                <w:b/>
                <w:bCs/>
                <w:lang w:val="en-US"/>
              </w:rPr>
              <w:t>Programme</w:t>
            </w:r>
          </w:p>
        </w:tc>
        <w:tc>
          <w:tcPr>
            <w:tcW w:w="1803" w:type="pct"/>
            <w:shd w:val="clear" w:color="auto" w:fill="D9D9D9"/>
            <w:tcMar>
              <w:top w:w="15" w:type="dxa"/>
              <w:left w:w="108" w:type="dxa"/>
              <w:bottom w:w="0" w:type="dxa"/>
              <w:right w:w="108" w:type="dxa"/>
            </w:tcMar>
            <w:vAlign w:val="center"/>
          </w:tcPr>
          <w:p w:rsidR="009F7AEF" w:rsidRPr="00003ECF" w:rsidRDefault="009F7AEF" w:rsidP="00A338D7">
            <w:pPr>
              <w:jc w:val="center"/>
              <w:rPr>
                <w:rFonts w:ascii="Times New Roman" w:hAnsi="Times New Roman"/>
                <w:b/>
                <w:i/>
                <w:lang w:val="en-US"/>
              </w:rPr>
            </w:pPr>
            <w:r w:rsidRPr="00003ECF">
              <w:rPr>
                <w:rFonts w:ascii="Times New Roman" w:hAnsi="Times New Roman"/>
                <w:b/>
                <w:bCs/>
                <w:lang w:val="en-US"/>
              </w:rPr>
              <w:t>Time Taken</w:t>
            </w:r>
          </w:p>
        </w:tc>
        <w:tc>
          <w:tcPr>
            <w:tcW w:w="1176" w:type="pct"/>
            <w:shd w:val="clear" w:color="auto" w:fill="D9D9D9"/>
            <w:tcMar>
              <w:top w:w="15" w:type="dxa"/>
              <w:left w:w="108" w:type="dxa"/>
              <w:bottom w:w="0" w:type="dxa"/>
              <w:right w:w="108" w:type="dxa"/>
            </w:tcMar>
            <w:vAlign w:val="center"/>
          </w:tcPr>
          <w:p w:rsidR="009F7AEF" w:rsidRPr="00003ECF" w:rsidRDefault="009F7AEF" w:rsidP="00A338D7">
            <w:pPr>
              <w:jc w:val="center"/>
              <w:rPr>
                <w:rFonts w:ascii="Times New Roman" w:hAnsi="Times New Roman"/>
                <w:b/>
                <w:i/>
                <w:lang w:val="en-US"/>
              </w:rPr>
            </w:pPr>
            <w:r w:rsidRPr="00003ECF">
              <w:rPr>
                <w:rFonts w:ascii="Times New Roman" w:hAnsi="Times New Roman"/>
                <w:b/>
                <w:bCs/>
                <w:lang w:val="en-US"/>
              </w:rPr>
              <w:t>Number</w:t>
            </w:r>
          </w:p>
        </w:tc>
        <w:tc>
          <w:tcPr>
            <w:tcW w:w="1098" w:type="pct"/>
            <w:shd w:val="clear" w:color="auto" w:fill="D9D9D9"/>
            <w:tcMar>
              <w:top w:w="15" w:type="dxa"/>
              <w:left w:w="108" w:type="dxa"/>
              <w:bottom w:w="0" w:type="dxa"/>
              <w:right w:w="108" w:type="dxa"/>
            </w:tcMar>
            <w:vAlign w:val="center"/>
          </w:tcPr>
          <w:p w:rsidR="009F7AEF" w:rsidRPr="00003ECF" w:rsidRDefault="009F7AEF" w:rsidP="00A338D7">
            <w:pPr>
              <w:jc w:val="center"/>
              <w:rPr>
                <w:rFonts w:ascii="Times New Roman" w:hAnsi="Times New Roman"/>
                <w:b/>
                <w:i/>
                <w:lang w:val="en-US"/>
              </w:rPr>
            </w:pPr>
            <w:r w:rsidRPr="00003ECF">
              <w:rPr>
                <w:rFonts w:ascii="Times New Roman" w:hAnsi="Times New Roman"/>
                <w:b/>
                <w:bCs/>
                <w:lang w:val="en-US"/>
              </w:rPr>
              <w:t>Percentage</w:t>
            </w:r>
          </w:p>
        </w:tc>
      </w:tr>
      <w:tr w:rsidR="009F7AEF" w:rsidRPr="00003ECF" w:rsidTr="00A338D7">
        <w:trPr>
          <w:trHeight w:val="394"/>
        </w:trPr>
        <w:tc>
          <w:tcPr>
            <w:tcW w:w="922" w:type="pct"/>
            <w:vMerge w:val="restart"/>
            <w:tcMar>
              <w:top w:w="15" w:type="dxa"/>
              <w:left w:w="108" w:type="dxa"/>
              <w:bottom w:w="0" w:type="dxa"/>
              <w:right w:w="108" w:type="dxa"/>
            </w:tcMar>
            <w:vAlign w:val="center"/>
          </w:tcPr>
          <w:p w:rsidR="009F7AEF" w:rsidRPr="00003ECF" w:rsidRDefault="009F7AEF" w:rsidP="00A338D7">
            <w:pPr>
              <w:jc w:val="center"/>
              <w:rPr>
                <w:rFonts w:ascii="Times New Roman" w:hAnsi="Times New Roman"/>
                <w:lang w:val="en-US"/>
              </w:rPr>
            </w:pPr>
            <w:r w:rsidRPr="00003ECF">
              <w:rPr>
                <w:rFonts w:ascii="Times New Roman" w:hAnsi="Times New Roman"/>
                <w:bCs/>
                <w:lang w:val="en-US"/>
              </w:rPr>
              <w:t>BEd</w:t>
            </w:r>
          </w:p>
        </w:tc>
        <w:tc>
          <w:tcPr>
            <w:tcW w:w="1803" w:type="pct"/>
            <w:tcMar>
              <w:top w:w="15" w:type="dxa"/>
              <w:left w:w="108" w:type="dxa"/>
              <w:bottom w:w="0" w:type="dxa"/>
              <w:right w:w="108" w:type="dxa"/>
            </w:tcMar>
            <w:vAlign w:val="center"/>
          </w:tcPr>
          <w:p w:rsidR="009F7AEF" w:rsidRPr="00003ECF" w:rsidRDefault="009F7AEF" w:rsidP="00A338D7">
            <w:pPr>
              <w:rPr>
                <w:rFonts w:ascii="Times New Roman" w:hAnsi="Times New Roman"/>
                <w:lang w:val="en-US"/>
              </w:rPr>
            </w:pPr>
            <w:r w:rsidRPr="00003ECF">
              <w:rPr>
                <w:rFonts w:ascii="Times New Roman" w:hAnsi="Times New Roman"/>
                <w:lang w:val="en-US"/>
              </w:rPr>
              <w:t>More than Minimum Time</w:t>
            </w:r>
          </w:p>
        </w:tc>
        <w:tc>
          <w:tcPr>
            <w:tcW w:w="1176" w:type="pct"/>
            <w:tcMar>
              <w:top w:w="15" w:type="dxa"/>
              <w:left w:w="108" w:type="dxa"/>
              <w:bottom w:w="0" w:type="dxa"/>
              <w:right w:w="108" w:type="dxa"/>
            </w:tcMar>
            <w:vAlign w:val="center"/>
          </w:tcPr>
          <w:p w:rsidR="009F7AEF" w:rsidRPr="00003ECF" w:rsidRDefault="009F7AEF" w:rsidP="00A338D7">
            <w:pPr>
              <w:jc w:val="center"/>
              <w:rPr>
                <w:rFonts w:ascii="Times New Roman" w:hAnsi="Times New Roman"/>
                <w:lang w:val="en-US"/>
              </w:rPr>
            </w:pPr>
            <w:r w:rsidRPr="00003ECF">
              <w:rPr>
                <w:rFonts w:ascii="Times New Roman" w:hAnsi="Times New Roman"/>
                <w:lang w:val="en-US"/>
              </w:rPr>
              <w:t>296</w:t>
            </w:r>
          </w:p>
        </w:tc>
        <w:tc>
          <w:tcPr>
            <w:tcW w:w="1098" w:type="pct"/>
            <w:tcMar>
              <w:top w:w="15" w:type="dxa"/>
              <w:left w:w="108" w:type="dxa"/>
              <w:bottom w:w="0" w:type="dxa"/>
              <w:right w:w="108" w:type="dxa"/>
            </w:tcMar>
            <w:vAlign w:val="center"/>
          </w:tcPr>
          <w:p w:rsidR="009F7AEF" w:rsidRPr="00003ECF" w:rsidRDefault="009F7AEF" w:rsidP="00A338D7">
            <w:pPr>
              <w:jc w:val="center"/>
              <w:rPr>
                <w:rFonts w:ascii="Times New Roman" w:hAnsi="Times New Roman"/>
                <w:lang w:val="en-US"/>
              </w:rPr>
            </w:pPr>
            <w:r w:rsidRPr="00003ECF">
              <w:rPr>
                <w:rFonts w:ascii="Times New Roman" w:hAnsi="Times New Roman"/>
                <w:lang w:val="en-US"/>
              </w:rPr>
              <w:t>19%</w:t>
            </w:r>
          </w:p>
        </w:tc>
      </w:tr>
      <w:tr w:rsidR="009F7AEF" w:rsidRPr="00003ECF" w:rsidTr="00A338D7">
        <w:trPr>
          <w:trHeight w:val="258"/>
        </w:trPr>
        <w:tc>
          <w:tcPr>
            <w:tcW w:w="922" w:type="pct"/>
            <w:vMerge/>
            <w:vAlign w:val="center"/>
          </w:tcPr>
          <w:p w:rsidR="009F7AEF" w:rsidRPr="00003ECF" w:rsidRDefault="009F7AEF" w:rsidP="00A338D7">
            <w:pPr>
              <w:jc w:val="center"/>
              <w:rPr>
                <w:rFonts w:ascii="Times New Roman" w:hAnsi="Times New Roman"/>
                <w:lang w:val="en-US"/>
              </w:rPr>
            </w:pPr>
          </w:p>
        </w:tc>
        <w:tc>
          <w:tcPr>
            <w:tcW w:w="1803" w:type="pct"/>
            <w:tcMar>
              <w:top w:w="15" w:type="dxa"/>
              <w:left w:w="108" w:type="dxa"/>
              <w:bottom w:w="0" w:type="dxa"/>
              <w:right w:w="108" w:type="dxa"/>
            </w:tcMar>
            <w:vAlign w:val="center"/>
          </w:tcPr>
          <w:p w:rsidR="009F7AEF" w:rsidRPr="00003ECF" w:rsidRDefault="009F7AEF" w:rsidP="00A338D7">
            <w:pPr>
              <w:rPr>
                <w:rFonts w:ascii="Times New Roman" w:hAnsi="Times New Roman"/>
                <w:lang w:val="en-US"/>
              </w:rPr>
            </w:pPr>
            <w:r w:rsidRPr="00003ECF">
              <w:rPr>
                <w:rFonts w:ascii="Times New Roman" w:hAnsi="Times New Roman"/>
                <w:lang w:val="en-US"/>
              </w:rPr>
              <w:t>Minimum Time</w:t>
            </w:r>
          </w:p>
        </w:tc>
        <w:tc>
          <w:tcPr>
            <w:tcW w:w="1176" w:type="pct"/>
            <w:tcMar>
              <w:top w:w="15" w:type="dxa"/>
              <w:left w:w="108" w:type="dxa"/>
              <w:bottom w:w="0" w:type="dxa"/>
              <w:right w:w="108" w:type="dxa"/>
            </w:tcMar>
            <w:vAlign w:val="center"/>
          </w:tcPr>
          <w:p w:rsidR="009F7AEF" w:rsidRPr="00003ECF" w:rsidRDefault="009F7AEF" w:rsidP="00A338D7">
            <w:pPr>
              <w:jc w:val="center"/>
              <w:rPr>
                <w:rFonts w:ascii="Times New Roman" w:hAnsi="Times New Roman"/>
                <w:lang w:val="en-US"/>
              </w:rPr>
            </w:pPr>
            <w:r w:rsidRPr="00003ECF">
              <w:rPr>
                <w:rFonts w:ascii="Times New Roman" w:hAnsi="Times New Roman"/>
                <w:lang w:val="en-US"/>
              </w:rPr>
              <w:t>1265</w:t>
            </w:r>
          </w:p>
        </w:tc>
        <w:tc>
          <w:tcPr>
            <w:tcW w:w="1098" w:type="pct"/>
            <w:tcMar>
              <w:top w:w="15" w:type="dxa"/>
              <w:left w:w="108" w:type="dxa"/>
              <w:bottom w:w="0" w:type="dxa"/>
              <w:right w:w="108" w:type="dxa"/>
            </w:tcMar>
            <w:vAlign w:val="center"/>
          </w:tcPr>
          <w:p w:rsidR="009F7AEF" w:rsidRPr="00003ECF" w:rsidRDefault="009F7AEF" w:rsidP="00A338D7">
            <w:pPr>
              <w:jc w:val="center"/>
              <w:rPr>
                <w:rFonts w:ascii="Times New Roman" w:hAnsi="Times New Roman"/>
                <w:lang w:val="en-US"/>
              </w:rPr>
            </w:pPr>
            <w:r w:rsidRPr="00003ECF">
              <w:rPr>
                <w:rFonts w:ascii="Times New Roman" w:hAnsi="Times New Roman"/>
                <w:lang w:val="en-US"/>
              </w:rPr>
              <w:t>81%</w:t>
            </w:r>
          </w:p>
        </w:tc>
      </w:tr>
      <w:tr w:rsidR="009F7AEF" w:rsidRPr="00003ECF" w:rsidTr="00A338D7">
        <w:trPr>
          <w:trHeight w:val="258"/>
        </w:trPr>
        <w:tc>
          <w:tcPr>
            <w:tcW w:w="922" w:type="pct"/>
            <w:vMerge w:val="restart"/>
            <w:vAlign w:val="center"/>
          </w:tcPr>
          <w:p w:rsidR="009F7AEF" w:rsidRPr="00003ECF" w:rsidRDefault="009F7AEF" w:rsidP="00A338D7">
            <w:pPr>
              <w:jc w:val="center"/>
              <w:rPr>
                <w:rFonts w:ascii="Times New Roman" w:hAnsi="Times New Roman"/>
                <w:lang w:val="en-US"/>
              </w:rPr>
            </w:pPr>
            <w:r w:rsidRPr="00003ECF">
              <w:rPr>
                <w:rFonts w:ascii="Times New Roman" w:hAnsi="Times New Roman"/>
                <w:bCs/>
                <w:lang w:val="en-US"/>
              </w:rPr>
              <w:t>PGCE</w:t>
            </w:r>
          </w:p>
        </w:tc>
        <w:tc>
          <w:tcPr>
            <w:tcW w:w="1803" w:type="pct"/>
            <w:tcMar>
              <w:top w:w="15" w:type="dxa"/>
              <w:left w:w="108" w:type="dxa"/>
              <w:bottom w:w="0" w:type="dxa"/>
              <w:right w:w="108" w:type="dxa"/>
            </w:tcMar>
            <w:vAlign w:val="center"/>
          </w:tcPr>
          <w:p w:rsidR="009F7AEF" w:rsidRPr="00003ECF" w:rsidRDefault="009F7AEF" w:rsidP="00A338D7">
            <w:pPr>
              <w:rPr>
                <w:rFonts w:ascii="Times New Roman" w:hAnsi="Times New Roman"/>
                <w:lang w:val="en-US"/>
              </w:rPr>
            </w:pPr>
            <w:r w:rsidRPr="00003ECF">
              <w:rPr>
                <w:rFonts w:ascii="Times New Roman" w:hAnsi="Times New Roman"/>
                <w:lang w:val="en-US"/>
              </w:rPr>
              <w:t>More than Minimum Time</w:t>
            </w:r>
          </w:p>
        </w:tc>
        <w:tc>
          <w:tcPr>
            <w:tcW w:w="1176" w:type="pct"/>
            <w:tcMar>
              <w:top w:w="15" w:type="dxa"/>
              <w:left w:w="108" w:type="dxa"/>
              <w:bottom w:w="0" w:type="dxa"/>
              <w:right w:w="108" w:type="dxa"/>
            </w:tcMar>
            <w:vAlign w:val="center"/>
          </w:tcPr>
          <w:p w:rsidR="009F7AEF" w:rsidRPr="00003ECF" w:rsidRDefault="009F7AEF" w:rsidP="00A338D7">
            <w:pPr>
              <w:jc w:val="center"/>
              <w:rPr>
                <w:rFonts w:ascii="Times New Roman" w:hAnsi="Times New Roman"/>
                <w:lang w:val="en-US"/>
              </w:rPr>
            </w:pPr>
            <w:r w:rsidRPr="00003ECF">
              <w:rPr>
                <w:rFonts w:ascii="Times New Roman" w:hAnsi="Times New Roman"/>
                <w:lang w:val="en-US"/>
              </w:rPr>
              <w:t>109</w:t>
            </w:r>
          </w:p>
        </w:tc>
        <w:tc>
          <w:tcPr>
            <w:tcW w:w="1098" w:type="pct"/>
            <w:tcMar>
              <w:top w:w="15" w:type="dxa"/>
              <w:left w:w="108" w:type="dxa"/>
              <w:bottom w:w="0" w:type="dxa"/>
              <w:right w:w="108" w:type="dxa"/>
            </w:tcMar>
            <w:vAlign w:val="center"/>
          </w:tcPr>
          <w:p w:rsidR="009F7AEF" w:rsidRPr="00003ECF" w:rsidRDefault="009F7AEF" w:rsidP="00A338D7">
            <w:pPr>
              <w:jc w:val="center"/>
              <w:rPr>
                <w:rFonts w:ascii="Times New Roman" w:hAnsi="Times New Roman"/>
                <w:lang w:val="en-US"/>
              </w:rPr>
            </w:pPr>
            <w:r w:rsidRPr="00003ECF">
              <w:rPr>
                <w:rFonts w:ascii="Times New Roman" w:hAnsi="Times New Roman"/>
                <w:lang w:val="en-US"/>
              </w:rPr>
              <w:t>51%</w:t>
            </w:r>
          </w:p>
        </w:tc>
      </w:tr>
      <w:tr w:rsidR="009F7AEF" w:rsidRPr="00003ECF" w:rsidTr="00A338D7">
        <w:trPr>
          <w:trHeight w:val="258"/>
        </w:trPr>
        <w:tc>
          <w:tcPr>
            <w:tcW w:w="922" w:type="pct"/>
            <w:vMerge/>
            <w:vAlign w:val="center"/>
          </w:tcPr>
          <w:p w:rsidR="009F7AEF" w:rsidRPr="00003ECF" w:rsidRDefault="009F7AEF" w:rsidP="00A338D7">
            <w:pPr>
              <w:jc w:val="center"/>
              <w:rPr>
                <w:rFonts w:ascii="Times New Roman" w:hAnsi="Times New Roman"/>
                <w:lang w:val="en-US"/>
              </w:rPr>
            </w:pPr>
          </w:p>
        </w:tc>
        <w:tc>
          <w:tcPr>
            <w:tcW w:w="1803" w:type="pct"/>
            <w:tcMar>
              <w:top w:w="15" w:type="dxa"/>
              <w:left w:w="108" w:type="dxa"/>
              <w:bottom w:w="0" w:type="dxa"/>
              <w:right w:w="108" w:type="dxa"/>
            </w:tcMar>
            <w:vAlign w:val="center"/>
          </w:tcPr>
          <w:p w:rsidR="009F7AEF" w:rsidRPr="00003ECF" w:rsidRDefault="009F7AEF" w:rsidP="00A338D7">
            <w:pPr>
              <w:rPr>
                <w:rFonts w:ascii="Times New Roman" w:hAnsi="Times New Roman"/>
                <w:lang w:val="en-US"/>
              </w:rPr>
            </w:pPr>
            <w:r w:rsidRPr="00003ECF">
              <w:rPr>
                <w:rFonts w:ascii="Times New Roman" w:hAnsi="Times New Roman"/>
                <w:lang w:val="en-US"/>
              </w:rPr>
              <w:t>Minimum Time</w:t>
            </w:r>
          </w:p>
        </w:tc>
        <w:tc>
          <w:tcPr>
            <w:tcW w:w="1176" w:type="pct"/>
            <w:tcMar>
              <w:top w:w="15" w:type="dxa"/>
              <w:left w:w="108" w:type="dxa"/>
              <w:bottom w:w="0" w:type="dxa"/>
              <w:right w:w="108" w:type="dxa"/>
            </w:tcMar>
            <w:vAlign w:val="center"/>
          </w:tcPr>
          <w:p w:rsidR="009F7AEF" w:rsidRPr="00003ECF" w:rsidRDefault="009F7AEF" w:rsidP="00A338D7">
            <w:pPr>
              <w:jc w:val="center"/>
              <w:rPr>
                <w:rFonts w:ascii="Times New Roman" w:hAnsi="Times New Roman"/>
                <w:lang w:val="en-US"/>
              </w:rPr>
            </w:pPr>
            <w:r w:rsidRPr="00003ECF">
              <w:rPr>
                <w:rFonts w:ascii="Times New Roman" w:hAnsi="Times New Roman"/>
                <w:lang w:val="en-US"/>
              </w:rPr>
              <w:t>106</w:t>
            </w:r>
          </w:p>
        </w:tc>
        <w:tc>
          <w:tcPr>
            <w:tcW w:w="1098" w:type="pct"/>
            <w:tcMar>
              <w:top w:w="15" w:type="dxa"/>
              <w:left w:w="108" w:type="dxa"/>
              <w:bottom w:w="0" w:type="dxa"/>
              <w:right w:w="108" w:type="dxa"/>
            </w:tcMar>
            <w:vAlign w:val="center"/>
          </w:tcPr>
          <w:p w:rsidR="009F7AEF" w:rsidRPr="00003ECF" w:rsidRDefault="009F7AEF" w:rsidP="00A338D7">
            <w:pPr>
              <w:jc w:val="center"/>
              <w:rPr>
                <w:rFonts w:ascii="Times New Roman" w:hAnsi="Times New Roman"/>
                <w:lang w:val="en-US"/>
              </w:rPr>
            </w:pPr>
            <w:r w:rsidRPr="00003ECF">
              <w:rPr>
                <w:rFonts w:ascii="Times New Roman" w:hAnsi="Times New Roman"/>
                <w:lang w:val="en-US"/>
              </w:rPr>
              <w:t>49%</w:t>
            </w:r>
          </w:p>
        </w:tc>
      </w:tr>
    </w:tbl>
    <w:p w:rsidR="009F7AEF" w:rsidRDefault="009F7AEF" w:rsidP="007C7C0A">
      <w:pPr>
        <w:rPr>
          <w:rFonts w:ascii="Times New Roman" w:hAnsi="Times New Roman"/>
        </w:rPr>
      </w:pPr>
    </w:p>
    <w:p w:rsidR="009F7AEF" w:rsidRDefault="009F7AEF" w:rsidP="007C7C0A">
      <w:pPr>
        <w:jc w:val="both"/>
        <w:rPr>
          <w:rFonts w:ascii="Times New Roman" w:hAnsi="Times New Roman"/>
        </w:rPr>
      </w:pPr>
      <w:r>
        <w:rPr>
          <w:rFonts w:ascii="Times New Roman" w:hAnsi="Times New Roman"/>
        </w:rPr>
        <w:t xml:space="preserve">Kindly note that the first intake of Funza Lushaka bursary holders was in 2007. It is expected that students will complete a Bachelor of Education degree within four years. Completing the course within the minimum prescribed period can therefore not be disaggregated by year from 2007-2011. </w:t>
      </w:r>
    </w:p>
    <w:p w:rsidR="009F7AEF" w:rsidRDefault="009F7AEF" w:rsidP="007C7C0A">
      <w:pPr>
        <w:rPr>
          <w:rFonts w:ascii="Times New Roman" w:hAnsi="Times New Roman"/>
        </w:rPr>
      </w:pPr>
    </w:p>
    <w:p w:rsidR="009F7AEF" w:rsidRDefault="009F7AEF" w:rsidP="007C7C0A">
      <w:pPr>
        <w:rPr>
          <w:rFonts w:ascii="Times New Roman" w:hAnsi="Times New Roman"/>
        </w:rPr>
      </w:pPr>
    </w:p>
    <w:p w:rsidR="009F7AEF" w:rsidRDefault="009F7AEF" w:rsidP="007C7C0A">
      <w:pPr>
        <w:rPr>
          <w:rFonts w:ascii="Times New Roman" w:hAnsi="Times New Roman"/>
        </w:rPr>
      </w:pPr>
    </w:p>
    <w:p w:rsidR="009F7AEF" w:rsidRPr="006D7B63" w:rsidRDefault="009F7AEF" w:rsidP="007C7C0A">
      <w:pPr>
        <w:rPr>
          <w:rFonts w:ascii="Times New Roman" w:hAnsi="Times New Roman"/>
        </w:rPr>
      </w:pPr>
      <w:bookmarkStart w:id="0" w:name="_GoBack"/>
      <w:bookmarkEnd w:id="0"/>
    </w:p>
    <w:sectPr w:rsidR="009F7AEF" w:rsidRPr="006D7B63" w:rsidSect="003828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03ECF"/>
    <w:rsid w:val="00117C6F"/>
    <w:rsid w:val="00183BCF"/>
    <w:rsid w:val="002032D4"/>
    <w:rsid w:val="0027063B"/>
    <w:rsid w:val="002C32A6"/>
    <w:rsid w:val="0037043F"/>
    <w:rsid w:val="00382857"/>
    <w:rsid w:val="003B39A7"/>
    <w:rsid w:val="00405587"/>
    <w:rsid w:val="004532C0"/>
    <w:rsid w:val="004A2F02"/>
    <w:rsid w:val="00570560"/>
    <w:rsid w:val="005827AF"/>
    <w:rsid w:val="006B4DBB"/>
    <w:rsid w:val="006D7B63"/>
    <w:rsid w:val="006F297B"/>
    <w:rsid w:val="007A4190"/>
    <w:rsid w:val="007C7C0A"/>
    <w:rsid w:val="007D1663"/>
    <w:rsid w:val="007F25CB"/>
    <w:rsid w:val="00830D56"/>
    <w:rsid w:val="00857A1D"/>
    <w:rsid w:val="008E742B"/>
    <w:rsid w:val="009B6115"/>
    <w:rsid w:val="009D302C"/>
    <w:rsid w:val="009F7AEF"/>
    <w:rsid w:val="00A338D7"/>
    <w:rsid w:val="00A666AB"/>
    <w:rsid w:val="00AC4C02"/>
    <w:rsid w:val="00B6783D"/>
    <w:rsid w:val="00C24709"/>
    <w:rsid w:val="00D34C31"/>
    <w:rsid w:val="00D86137"/>
    <w:rsid w:val="00D94B1F"/>
    <w:rsid w:val="00D97E99"/>
    <w:rsid w:val="00E06373"/>
    <w:rsid w:val="00E67F6F"/>
    <w:rsid w:val="00FD3E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57"/>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183</Words>
  <Characters>1048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2015-09-14T11:06:00Z</dcterms:created>
  <dcterms:modified xsi:type="dcterms:W3CDTF">2015-09-14T11:06:00Z</dcterms:modified>
</cp:coreProperties>
</file>