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A928D2">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821BB4">
        <w:rPr>
          <w:rFonts w:ascii="Arial" w:hAnsi="Arial" w:cs="Arial"/>
          <w:b/>
          <w:bCs/>
        </w:rPr>
        <w:t>245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E29A8">
        <w:rPr>
          <w:rFonts w:ascii="Arial" w:hAnsi="Arial" w:cs="Arial"/>
          <w:b/>
          <w:bCs/>
          <w:u w:val="single"/>
        </w:rPr>
        <w:t>2</w:t>
      </w:r>
      <w:r w:rsidR="002C6CA2">
        <w:rPr>
          <w:rFonts w:ascii="Arial" w:hAnsi="Arial" w:cs="Arial"/>
          <w:b/>
          <w:bCs/>
          <w:u w:val="single"/>
        </w:rPr>
        <w:t>8</w:t>
      </w:r>
      <w:r w:rsidR="00E103E5">
        <w:rPr>
          <w:rFonts w:ascii="Arial" w:hAnsi="Arial" w:cs="Arial"/>
          <w:b/>
          <w:bCs/>
          <w:u w:val="single"/>
        </w:rPr>
        <w:t>/</w:t>
      </w:r>
      <w:r w:rsidR="007468B1">
        <w:rPr>
          <w:rFonts w:ascii="Arial" w:hAnsi="Arial" w:cs="Arial"/>
          <w:b/>
          <w:bCs/>
          <w:u w:val="single"/>
        </w:rPr>
        <w:t>08</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w:t>
      </w:r>
      <w:r w:rsidR="002C6CA2">
        <w:rPr>
          <w:rFonts w:ascii="Arial" w:hAnsi="Arial" w:cs="Arial"/>
          <w:b/>
          <w:bCs/>
          <w:u w:val="single"/>
        </w:rPr>
        <w:t>4</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821BB4" w:rsidRPr="00821BB4" w:rsidRDefault="00821BB4" w:rsidP="00821BB4">
      <w:pPr>
        <w:spacing w:before="120" w:after="120" w:line="360" w:lineRule="auto"/>
        <w:ind w:left="709" w:hanging="709"/>
        <w:jc w:val="both"/>
        <w:rPr>
          <w:rFonts w:ascii="Arial" w:hAnsi="Arial" w:cs="Arial"/>
          <w:b/>
          <w:lang w:val="en-ZA"/>
        </w:rPr>
      </w:pPr>
      <w:r w:rsidRPr="00821BB4">
        <w:rPr>
          <w:rFonts w:ascii="Arial" w:hAnsi="Arial" w:cs="Arial"/>
          <w:b/>
          <w:lang w:val="en-ZA"/>
        </w:rPr>
        <w:t xml:space="preserve">Ms A T </w:t>
      </w:r>
      <w:proofErr w:type="spellStart"/>
      <w:r w:rsidRPr="00821BB4">
        <w:rPr>
          <w:rFonts w:ascii="Arial" w:hAnsi="Arial" w:cs="Arial"/>
          <w:b/>
          <w:lang w:val="en-ZA"/>
        </w:rPr>
        <w:t>Lovemore</w:t>
      </w:r>
      <w:proofErr w:type="spellEnd"/>
      <w:r w:rsidRPr="00821BB4">
        <w:rPr>
          <w:rFonts w:ascii="Arial" w:hAnsi="Arial" w:cs="Arial"/>
          <w:b/>
          <w:lang w:val="en-ZA"/>
        </w:rPr>
        <w:t xml:space="preserve"> (DA) to ask the Minister of Higher Education and Training: </w:t>
      </w:r>
    </w:p>
    <w:p w:rsidR="00821BB4" w:rsidRDefault="00821BB4" w:rsidP="00821BB4">
      <w:pPr>
        <w:pStyle w:val="p0"/>
        <w:spacing w:before="120" w:after="120" w:line="360" w:lineRule="auto"/>
        <w:jc w:val="both"/>
        <w:rPr>
          <w:rFonts w:ascii="Arial" w:hAnsi="Arial" w:cs="Arial"/>
          <w:sz w:val="22"/>
          <w:szCs w:val="22"/>
        </w:rPr>
      </w:pPr>
      <w:r w:rsidRPr="00821BB4">
        <w:rPr>
          <w:rFonts w:ascii="Arial" w:hAnsi="Arial" w:cs="Arial"/>
          <w:sz w:val="22"/>
          <w:szCs w:val="22"/>
        </w:rPr>
        <w:t>With reference to the summary report entitled An Examination of Aspects of Initial Teacher Education Curricula at Five Higher Education Institutions in The Initial Teacher Education Research Project, compiled by JET Education Services and issued in August 2014, for each of the key findings, what are the details of the action which (a) has already been taken and (b) will be taken to rectify the shortcomings in the university education of intermediate phase teachers identified in</w:t>
      </w:r>
      <w:r>
        <w:rPr>
          <w:rFonts w:ascii="Arial" w:hAnsi="Arial" w:cs="Arial"/>
          <w:sz w:val="22"/>
          <w:szCs w:val="22"/>
        </w:rPr>
        <w:t xml:space="preserve"> each of the key findings?</w:t>
      </w:r>
    </w:p>
    <w:p w:rsidR="00821BB4" w:rsidRPr="00821BB4" w:rsidRDefault="00821BB4" w:rsidP="00821BB4">
      <w:pPr>
        <w:pStyle w:val="p0"/>
        <w:spacing w:before="120" w:after="120" w:line="360" w:lineRule="auto"/>
        <w:ind w:left="357"/>
        <w:jc w:val="right"/>
        <w:rPr>
          <w:rFonts w:ascii="Arial" w:hAnsi="Arial" w:cs="Arial"/>
          <w:b/>
          <w:sz w:val="22"/>
          <w:szCs w:val="22"/>
        </w:rPr>
      </w:pPr>
      <w:r w:rsidRPr="00821BB4">
        <w:rPr>
          <w:rFonts w:ascii="Arial" w:hAnsi="Arial" w:cs="Arial"/>
          <w:b/>
          <w:sz w:val="22"/>
          <w:szCs w:val="22"/>
        </w:rPr>
        <w:t>NW3846E</w:t>
      </w:r>
    </w:p>
    <w:p w:rsidR="00C3677B" w:rsidRPr="00417FD5" w:rsidRDefault="00DA58E0" w:rsidP="005B35DA">
      <w:pPr>
        <w:spacing w:before="100" w:beforeAutospacing="1" w:after="100" w:afterAutospacing="1"/>
        <w:rPr>
          <w:sz w:val="20"/>
          <w:szCs w:val="20"/>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B47F37" w:rsidRPr="00B47F37" w:rsidRDefault="00B47F37" w:rsidP="009B7B9C">
      <w:pPr>
        <w:spacing w:line="360" w:lineRule="auto"/>
        <w:jc w:val="both"/>
        <w:rPr>
          <w:rFonts w:ascii="Arial" w:eastAsia="Times New Roman" w:hAnsi="Arial" w:cs="Arial"/>
          <w:lang w:val="en-US"/>
        </w:rPr>
      </w:pPr>
      <w:r w:rsidRPr="00B47F37">
        <w:rPr>
          <w:rFonts w:ascii="Arial" w:eastAsia="Times New Roman" w:hAnsi="Arial" w:cs="Arial"/>
          <w:lang w:val="en-US"/>
        </w:rPr>
        <w:t xml:space="preserve">The Initial Teacher Education Research Project </w:t>
      </w:r>
      <w:r w:rsidR="001E05F3" w:rsidRPr="00B47F37">
        <w:rPr>
          <w:rFonts w:ascii="Arial" w:eastAsia="Times New Roman" w:hAnsi="Arial" w:cs="Arial"/>
          <w:lang w:val="en-US"/>
        </w:rPr>
        <w:t xml:space="preserve">(ITERP) </w:t>
      </w:r>
      <w:r w:rsidRPr="00B47F37">
        <w:rPr>
          <w:rFonts w:ascii="Arial" w:eastAsia="Times New Roman" w:hAnsi="Arial" w:cs="Arial"/>
          <w:lang w:val="en-US"/>
        </w:rPr>
        <w:t xml:space="preserve">that is currently being conducted by JET Education Services is a partnership project between </w:t>
      </w:r>
      <w:r w:rsidR="00500B8A">
        <w:rPr>
          <w:rFonts w:ascii="Arial" w:eastAsia="Times New Roman" w:hAnsi="Arial" w:cs="Arial"/>
          <w:lang w:val="en-US"/>
        </w:rPr>
        <w:t>JET, th</w:t>
      </w:r>
      <w:r w:rsidR="006824A2">
        <w:rPr>
          <w:rFonts w:ascii="Arial" w:eastAsia="Times New Roman" w:hAnsi="Arial" w:cs="Arial"/>
          <w:lang w:val="en-US"/>
        </w:rPr>
        <w:t xml:space="preserve">e Education Deans Forum and </w:t>
      </w:r>
      <w:r w:rsidRPr="00B47F37">
        <w:rPr>
          <w:rFonts w:ascii="Arial" w:eastAsia="Times New Roman" w:hAnsi="Arial" w:cs="Arial"/>
          <w:lang w:val="en-US"/>
        </w:rPr>
        <w:t>Department</w:t>
      </w:r>
      <w:r w:rsidR="001E05F3">
        <w:rPr>
          <w:rFonts w:ascii="Arial" w:eastAsia="Times New Roman" w:hAnsi="Arial" w:cs="Arial"/>
          <w:lang w:val="en-US"/>
        </w:rPr>
        <w:t>s</w:t>
      </w:r>
      <w:r w:rsidRPr="00B47F37">
        <w:rPr>
          <w:rFonts w:ascii="Arial" w:eastAsia="Times New Roman" w:hAnsi="Arial" w:cs="Arial"/>
          <w:lang w:val="en-US"/>
        </w:rPr>
        <w:t xml:space="preserve"> of </w:t>
      </w:r>
      <w:r w:rsidR="001E05F3" w:rsidRPr="00B47F37">
        <w:rPr>
          <w:rFonts w:ascii="Arial" w:eastAsia="Times New Roman" w:hAnsi="Arial" w:cs="Arial"/>
          <w:lang w:val="en-US"/>
        </w:rPr>
        <w:t>Basic Education</w:t>
      </w:r>
      <w:r w:rsidR="006824A2">
        <w:rPr>
          <w:rFonts w:ascii="Arial" w:eastAsia="Times New Roman" w:hAnsi="Arial" w:cs="Arial"/>
          <w:lang w:val="en-US"/>
        </w:rPr>
        <w:t>,</w:t>
      </w:r>
      <w:r w:rsidR="001E05F3">
        <w:rPr>
          <w:rFonts w:ascii="Arial" w:eastAsia="Times New Roman" w:hAnsi="Arial" w:cs="Arial"/>
          <w:lang w:val="en-US"/>
        </w:rPr>
        <w:t xml:space="preserve"> and</w:t>
      </w:r>
      <w:r w:rsidR="001E05F3" w:rsidRPr="00B47F37">
        <w:rPr>
          <w:rFonts w:ascii="Arial" w:eastAsia="Times New Roman" w:hAnsi="Arial" w:cs="Arial"/>
          <w:lang w:val="en-US"/>
        </w:rPr>
        <w:t xml:space="preserve"> </w:t>
      </w:r>
      <w:r w:rsidR="001E05F3">
        <w:rPr>
          <w:rFonts w:ascii="Arial" w:eastAsia="Times New Roman" w:hAnsi="Arial" w:cs="Arial"/>
          <w:lang w:val="en-US"/>
        </w:rPr>
        <w:t>Higher Education and Training</w:t>
      </w:r>
      <w:r w:rsidRPr="00B47F37">
        <w:rPr>
          <w:rFonts w:ascii="Arial" w:eastAsia="Times New Roman" w:hAnsi="Arial" w:cs="Arial"/>
          <w:lang w:val="en-US"/>
        </w:rPr>
        <w:t>. It is a longitudinal project</w:t>
      </w:r>
      <w:r w:rsidR="006824A2">
        <w:rPr>
          <w:rFonts w:ascii="Arial" w:eastAsia="Times New Roman" w:hAnsi="Arial" w:cs="Arial"/>
          <w:lang w:val="en-US"/>
        </w:rPr>
        <w:t>,</w:t>
      </w:r>
      <w:r w:rsidRPr="00B47F37">
        <w:rPr>
          <w:rFonts w:ascii="Arial" w:eastAsia="Times New Roman" w:hAnsi="Arial" w:cs="Arial"/>
          <w:lang w:val="en-US"/>
        </w:rPr>
        <w:t xml:space="preserve"> which is investigating initial teacher education programme delivery at a selected sample of universities. It is also tracking new teacher graduates as they take up posts in schools in an attempt to understand their readiness as beginning teachers and their ability to make the transition from teacher education into teaching.</w:t>
      </w:r>
    </w:p>
    <w:p w:rsidR="00B47F37" w:rsidRPr="00B47F37" w:rsidRDefault="00B47F37" w:rsidP="009B7B9C">
      <w:pPr>
        <w:spacing w:line="360" w:lineRule="auto"/>
        <w:jc w:val="both"/>
        <w:rPr>
          <w:rFonts w:ascii="Arial" w:eastAsia="Times New Roman" w:hAnsi="Arial" w:cs="Arial"/>
          <w:lang w:val="en-US"/>
        </w:rPr>
      </w:pPr>
      <w:r w:rsidRPr="00B47F37">
        <w:rPr>
          <w:rFonts w:ascii="Arial" w:eastAsia="Times New Roman" w:hAnsi="Arial" w:cs="Arial"/>
          <w:lang w:val="en-US"/>
        </w:rPr>
        <w:t xml:space="preserve">The </w:t>
      </w:r>
      <w:r w:rsidR="001E05F3" w:rsidRPr="00B47F37">
        <w:rPr>
          <w:rFonts w:ascii="Arial" w:eastAsia="Times New Roman" w:hAnsi="Arial" w:cs="Arial"/>
          <w:lang w:val="en-US"/>
        </w:rPr>
        <w:t xml:space="preserve">ITERP </w:t>
      </w:r>
      <w:r w:rsidR="00500B8A">
        <w:rPr>
          <w:rFonts w:ascii="Arial" w:eastAsia="Times New Roman" w:hAnsi="Arial" w:cs="Arial"/>
          <w:lang w:val="en-US"/>
        </w:rPr>
        <w:t xml:space="preserve">was </w:t>
      </w:r>
      <w:proofErr w:type="spellStart"/>
      <w:r w:rsidR="00500B8A">
        <w:rPr>
          <w:rFonts w:ascii="Arial" w:eastAsia="Times New Roman" w:hAnsi="Arial" w:cs="Arial"/>
          <w:lang w:val="en-US"/>
        </w:rPr>
        <w:t>conceptualis</w:t>
      </w:r>
      <w:r w:rsidRPr="00B47F37">
        <w:rPr>
          <w:rFonts w:ascii="Arial" w:eastAsia="Times New Roman" w:hAnsi="Arial" w:cs="Arial"/>
          <w:lang w:val="en-US"/>
        </w:rPr>
        <w:t>ed</w:t>
      </w:r>
      <w:proofErr w:type="spellEnd"/>
      <w:r w:rsidRPr="00B47F37">
        <w:rPr>
          <w:rFonts w:ascii="Arial" w:eastAsia="Times New Roman" w:hAnsi="Arial" w:cs="Arial"/>
          <w:lang w:val="en-US"/>
        </w:rPr>
        <w:t xml:space="preserve"> and is being implemented as part of efforts to strengthen teacher education and is not separate from</w:t>
      </w:r>
      <w:r w:rsidR="009B7B9C">
        <w:rPr>
          <w:rFonts w:ascii="Arial" w:eastAsia="Times New Roman" w:hAnsi="Arial" w:cs="Arial"/>
          <w:lang w:val="en-US"/>
        </w:rPr>
        <w:t xml:space="preserve"> this. The project findings are </w:t>
      </w:r>
      <w:r w:rsidRPr="00B47F37">
        <w:rPr>
          <w:rFonts w:ascii="Arial" w:eastAsia="Times New Roman" w:hAnsi="Arial" w:cs="Arial"/>
          <w:lang w:val="en-US"/>
        </w:rPr>
        <w:t>fed directly back to universities through engagements with individual universities and regular reporting on findings at the quarterly meetings</w:t>
      </w:r>
      <w:r w:rsidR="009B7B9C">
        <w:rPr>
          <w:rFonts w:ascii="Arial" w:eastAsia="Times New Roman" w:hAnsi="Arial" w:cs="Arial"/>
          <w:lang w:val="en-US"/>
        </w:rPr>
        <w:t xml:space="preserve"> of the Education Deans Forum. </w:t>
      </w:r>
    </w:p>
    <w:p w:rsidR="00B47F37" w:rsidRPr="00B47F37" w:rsidRDefault="00B47F37" w:rsidP="009B7B9C">
      <w:pPr>
        <w:spacing w:line="360" w:lineRule="auto"/>
        <w:jc w:val="both"/>
        <w:rPr>
          <w:rFonts w:ascii="Arial" w:eastAsia="Times New Roman" w:hAnsi="Arial" w:cs="Arial"/>
          <w:lang w:val="en-US"/>
        </w:rPr>
      </w:pPr>
      <w:r w:rsidRPr="00B47F37">
        <w:rPr>
          <w:rFonts w:ascii="Arial" w:eastAsia="Times New Roman" w:hAnsi="Arial" w:cs="Arial"/>
          <w:lang w:val="en-US"/>
        </w:rPr>
        <w:t xml:space="preserve">It must be noted that the ITERP is researching the initial teacher education programmes that were designed and implemented in line with the former teacher education qualifications policy, </w:t>
      </w:r>
      <w:r w:rsidR="009B7B9C">
        <w:rPr>
          <w:rFonts w:ascii="Arial" w:eastAsia="Times New Roman" w:hAnsi="Arial" w:cs="Arial"/>
          <w:lang w:val="en-US"/>
        </w:rPr>
        <w:t xml:space="preserve">i.e. </w:t>
      </w:r>
      <w:r w:rsidRPr="00B47F37">
        <w:rPr>
          <w:rFonts w:ascii="Arial" w:eastAsia="Times New Roman" w:hAnsi="Arial" w:cs="Arial"/>
          <w:lang w:val="en-US"/>
        </w:rPr>
        <w:t>the Norms and Stand</w:t>
      </w:r>
      <w:r w:rsidR="001E05F3">
        <w:rPr>
          <w:rFonts w:ascii="Arial" w:eastAsia="Times New Roman" w:hAnsi="Arial" w:cs="Arial"/>
          <w:lang w:val="en-US"/>
        </w:rPr>
        <w:t>ards for Educators in Schooling of</w:t>
      </w:r>
      <w:r w:rsidRPr="00B47F37">
        <w:rPr>
          <w:rFonts w:ascii="Arial" w:eastAsia="Times New Roman" w:hAnsi="Arial" w:cs="Arial"/>
          <w:lang w:val="en-US"/>
        </w:rPr>
        <w:t xml:space="preserve"> 2000. All teacher education programmes have to be redesigned to align with the new standards set by the </w:t>
      </w:r>
      <w:r w:rsidR="001E05F3">
        <w:rPr>
          <w:rFonts w:ascii="Arial" w:eastAsia="Times New Roman" w:hAnsi="Arial" w:cs="Arial"/>
          <w:lang w:val="en-US"/>
        </w:rPr>
        <w:t xml:space="preserve">Higher Education Qualifications </w:t>
      </w:r>
      <w:r w:rsidRPr="00B47F37">
        <w:rPr>
          <w:rFonts w:ascii="Arial" w:eastAsia="Times New Roman" w:hAnsi="Arial" w:cs="Arial"/>
          <w:lang w:val="en-US"/>
        </w:rPr>
        <w:t>Sub</w:t>
      </w:r>
      <w:r w:rsidR="001E05F3">
        <w:rPr>
          <w:rFonts w:ascii="Arial" w:eastAsia="Times New Roman" w:hAnsi="Arial" w:cs="Arial"/>
          <w:lang w:val="en-US"/>
        </w:rPr>
        <w:t xml:space="preserve">-Framework of </w:t>
      </w:r>
      <w:r w:rsidRPr="00B47F37">
        <w:rPr>
          <w:rFonts w:ascii="Arial" w:eastAsia="Times New Roman" w:hAnsi="Arial" w:cs="Arial"/>
          <w:lang w:val="en-US"/>
        </w:rPr>
        <w:t xml:space="preserve">2007, revised </w:t>
      </w:r>
      <w:r w:rsidR="001E05F3">
        <w:rPr>
          <w:rFonts w:ascii="Arial" w:eastAsia="Times New Roman" w:hAnsi="Arial" w:cs="Arial"/>
          <w:lang w:val="en-US"/>
        </w:rPr>
        <w:t xml:space="preserve">in </w:t>
      </w:r>
      <w:r w:rsidRPr="00B47F37">
        <w:rPr>
          <w:rFonts w:ascii="Arial" w:eastAsia="Times New Roman" w:hAnsi="Arial" w:cs="Arial"/>
          <w:lang w:val="en-US"/>
        </w:rPr>
        <w:t>2013 and the Policy on Minimum Requirements for Teacher Education Qualifications (MRTEQ</w:t>
      </w:r>
      <w:r w:rsidR="001E05F3">
        <w:rPr>
          <w:rFonts w:ascii="Arial" w:eastAsia="Times New Roman" w:hAnsi="Arial" w:cs="Arial"/>
          <w:lang w:val="en-US"/>
        </w:rPr>
        <w:t>) of</w:t>
      </w:r>
      <w:r w:rsidRPr="00B47F37">
        <w:rPr>
          <w:rFonts w:ascii="Arial" w:eastAsia="Times New Roman" w:hAnsi="Arial" w:cs="Arial"/>
          <w:lang w:val="en-US"/>
        </w:rPr>
        <w:t xml:space="preserve"> 2011, revised </w:t>
      </w:r>
      <w:r w:rsidR="001E05F3">
        <w:rPr>
          <w:rFonts w:ascii="Arial" w:eastAsia="Times New Roman" w:hAnsi="Arial" w:cs="Arial"/>
          <w:lang w:val="en-US"/>
        </w:rPr>
        <w:t xml:space="preserve">in </w:t>
      </w:r>
      <w:r w:rsidRPr="00B47F37">
        <w:rPr>
          <w:rFonts w:ascii="Arial" w:eastAsia="Times New Roman" w:hAnsi="Arial" w:cs="Arial"/>
          <w:lang w:val="en-US"/>
        </w:rPr>
        <w:t>2015. One of the main purposes of the ITERP is to inform the design of new</w:t>
      </w:r>
      <w:r w:rsidR="009B7B9C">
        <w:rPr>
          <w:rFonts w:ascii="Arial" w:eastAsia="Times New Roman" w:hAnsi="Arial" w:cs="Arial"/>
          <w:lang w:val="en-US"/>
        </w:rPr>
        <w:t xml:space="preserve"> teacher education programmes. </w:t>
      </w:r>
    </w:p>
    <w:p w:rsidR="00B47F37" w:rsidRPr="00B47F37" w:rsidRDefault="00B47F37" w:rsidP="009B7B9C">
      <w:pPr>
        <w:spacing w:line="360" w:lineRule="auto"/>
        <w:jc w:val="both"/>
        <w:rPr>
          <w:rFonts w:ascii="Arial" w:eastAsia="Times New Roman" w:hAnsi="Arial" w:cs="Arial"/>
          <w:lang w:val="en-US"/>
        </w:rPr>
      </w:pPr>
      <w:r w:rsidRPr="00B47F37">
        <w:rPr>
          <w:rFonts w:ascii="Arial" w:eastAsia="Times New Roman" w:hAnsi="Arial" w:cs="Arial"/>
          <w:lang w:val="en-US"/>
        </w:rPr>
        <w:t>The MRTEQ sets standards for teacher education at the programme level. Initial teacher education programmes have to meet the stan</w:t>
      </w:r>
      <w:r w:rsidR="00500B8A">
        <w:rPr>
          <w:rFonts w:ascii="Arial" w:eastAsia="Times New Roman" w:hAnsi="Arial" w:cs="Arial"/>
          <w:lang w:val="en-US"/>
        </w:rPr>
        <w:t xml:space="preserve">dards set for teaching </w:t>
      </w:r>
      <w:proofErr w:type="spellStart"/>
      <w:r w:rsidR="00500B8A">
        <w:rPr>
          <w:rFonts w:ascii="Arial" w:eastAsia="Times New Roman" w:hAnsi="Arial" w:cs="Arial"/>
          <w:lang w:val="en-US"/>
        </w:rPr>
        <w:t>specialis</w:t>
      </w:r>
      <w:r w:rsidRPr="00B47F37">
        <w:rPr>
          <w:rFonts w:ascii="Arial" w:eastAsia="Times New Roman" w:hAnsi="Arial" w:cs="Arial"/>
          <w:lang w:val="en-US"/>
        </w:rPr>
        <w:t>ations</w:t>
      </w:r>
      <w:proofErr w:type="spellEnd"/>
      <w:r w:rsidRPr="00B47F37">
        <w:rPr>
          <w:rFonts w:ascii="Arial" w:eastAsia="Times New Roman" w:hAnsi="Arial" w:cs="Arial"/>
          <w:lang w:val="en-US"/>
        </w:rPr>
        <w:t xml:space="preserve"> in terms of knowledge mix, credits and levels. This will assist to respond to one of the key finding</w:t>
      </w:r>
      <w:r w:rsidR="001E05F3">
        <w:rPr>
          <w:rFonts w:ascii="Arial" w:eastAsia="Times New Roman" w:hAnsi="Arial" w:cs="Arial"/>
          <w:lang w:val="en-US"/>
        </w:rPr>
        <w:t>s</w:t>
      </w:r>
      <w:r w:rsidR="009B7B9C">
        <w:rPr>
          <w:rFonts w:ascii="Arial" w:eastAsia="Times New Roman" w:hAnsi="Arial" w:cs="Arial"/>
          <w:lang w:val="en-US"/>
        </w:rPr>
        <w:t xml:space="preserve"> that emerged from the ITERP and</w:t>
      </w:r>
      <w:r w:rsidRPr="00B47F37">
        <w:rPr>
          <w:rFonts w:ascii="Arial" w:eastAsia="Times New Roman" w:hAnsi="Arial" w:cs="Arial"/>
          <w:lang w:val="en-US"/>
        </w:rPr>
        <w:t xml:space="preserve"> the degree of variation between programmes offe</w:t>
      </w:r>
      <w:r w:rsidR="009B7B9C">
        <w:rPr>
          <w:rFonts w:ascii="Arial" w:eastAsia="Times New Roman" w:hAnsi="Arial" w:cs="Arial"/>
          <w:lang w:val="en-US"/>
        </w:rPr>
        <w:t xml:space="preserve">red by different universities. </w:t>
      </w:r>
    </w:p>
    <w:p w:rsidR="00B47F37" w:rsidRPr="00B47F37" w:rsidRDefault="00B47F37" w:rsidP="009B7B9C">
      <w:pPr>
        <w:spacing w:line="360" w:lineRule="auto"/>
        <w:jc w:val="both"/>
        <w:rPr>
          <w:rFonts w:ascii="Arial" w:eastAsia="Times New Roman" w:hAnsi="Arial" w:cs="Arial"/>
          <w:lang w:val="en-US"/>
        </w:rPr>
      </w:pPr>
      <w:r w:rsidRPr="00B47F37">
        <w:rPr>
          <w:rFonts w:ascii="Arial" w:eastAsia="Times New Roman" w:hAnsi="Arial" w:cs="Arial"/>
          <w:lang w:val="en-US"/>
        </w:rPr>
        <w:t>The MRTEQ also</w:t>
      </w:r>
      <w:r w:rsidR="001E05F3">
        <w:rPr>
          <w:rFonts w:ascii="Arial" w:eastAsia="Times New Roman" w:hAnsi="Arial" w:cs="Arial"/>
          <w:lang w:val="en-US"/>
        </w:rPr>
        <w:t>,</w:t>
      </w:r>
      <w:r w:rsidRPr="00B47F37">
        <w:rPr>
          <w:rFonts w:ascii="Arial" w:eastAsia="Times New Roman" w:hAnsi="Arial" w:cs="Arial"/>
          <w:lang w:val="en-US"/>
        </w:rPr>
        <w:t xml:space="preserve"> more closely</w:t>
      </w:r>
      <w:r w:rsidR="001E05F3">
        <w:rPr>
          <w:rFonts w:ascii="Arial" w:eastAsia="Times New Roman" w:hAnsi="Arial" w:cs="Arial"/>
          <w:lang w:val="en-US"/>
        </w:rPr>
        <w:t>,</w:t>
      </w:r>
      <w:r w:rsidRPr="00B47F37">
        <w:rPr>
          <w:rFonts w:ascii="Arial" w:eastAsia="Times New Roman" w:hAnsi="Arial" w:cs="Arial"/>
          <w:lang w:val="en-US"/>
        </w:rPr>
        <w:t xml:space="preserve"> regulates the teaching practice component of teacher education programmes to strengthen this component of initial teacher education programmes. It sets standards regarding the nature of schools to be used for teaching practice, the nature of the teaching practice component within initial teacher education programmes, and the time spent in schools.</w:t>
      </w:r>
    </w:p>
    <w:p w:rsidR="00B47F37" w:rsidRPr="00B47F37" w:rsidRDefault="00B47F37" w:rsidP="009B7B9C">
      <w:pPr>
        <w:spacing w:line="360" w:lineRule="auto"/>
        <w:jc w:val="both"/>
        <w:rPr>
          <w:rFonts w:ascii="Arial" w:eastAsia="Times New Roman" w:hAnsi="Arial" w:cs="Arial"/>
          <w:lang w:val="en-US"/>
        </w:rPr>
      </w:pPr>
      <w:r w:rsidRPr="00B47F37">
        <w:rPr>
          <w:rFonts w:ascii="Arial" w:eastAsia="Times New Roman" w:hAnsi="Arial" w:cs="Arial"/>
          <w:lang w:val="en-US"/>
        </w:rPr>
        <w:lastRenderedPageBreak/>
        <w:t>A national Teacher Education Programme Evaluation Committee (TEPEC) has been set up, chaired by the Department of Higher Education and Training</w:t>
      </w:r>
      <w:r w:rsidR="00500B8A">
        <w:rPr>
          <w:rFonts w:ascii="Arial" w:eastAsia="Times New Roman" w:hAnsi="Arial" w:cs="Arial"/>
          <w:lang w:val="en-US"/>
        </w:rPr>
        <w:t xml:space="preserve">, </w:t>
      </w:r>
      <w:r w:rsidRPr="00B47F37">
        <w:rPr>
          <w:rFonts w:ascii="Arial" w:eastAsia="Times New Roman" w:hAnsi="Arial" w:cs="Arial"/>
          <w:lang w:val="en-US"/>
        </w:rPr>
        <w:t>involving the participation of the Department of Basic Education, South African Cou</w:t>
      </w:r>
      <w:r w:rsidR="00500B8A">
        <w:rPr>
          <w:rFonts w:ascii="Arial" w:eastAsia="Times New Roman" w:hAnsi="Arial" w:cs="Arial"/>
          <w:lang w:val="en-US"/>
        </w:rPr>
        <w:t>ncil of Educators and Education and the</w:t>
      </w:r>
      <w:r w:rsidRPr="00B47F37">
        <w:rPr>
          <w:rFonts w:ascii="Arial" w:eastAsia="Times New Roman" w:hAnsi="Arial" w:cs="Arial"/>
          <w:lang w:val="en-US"/>
        </w:rPr>
        <w:t xml:space="preserve"> Training and Development Practices Sector Edu</w:t>
      </w:r>
      <w:r w:rsidR="001E05F3">
        <w:rPr>
          <w:rFonts w:ascii="Arial" w:eastAsia="Times New Roman" w:hAnsi="Arial" w:cs="Arial"/>
          <w:lang w:val="en-US"/>
        </w:rPr>
        <w:t xml:space="preserve">cation and Training Authority (ETDP SETA). </w:t>
      </w:r>
      <w:r w:rsidRPr="00B47F37">
        <w:rPr>
          <w:rFonts w:ascii="Arial" w:eastAsia="Times New Roman" w:hAnsi="Arial" w:cs="Arial"/>
          <w:lang w:val="en-US"/>
        </w:rPr>
        <w:t>This committee reviews all teacher education programmes to ensure that they meet the requirements stipulated in the Policy on Minimum Requirements for Teac</w:t>
      </w:r>
      <w:r w:rsidR="009B7B9C">
        <w:rPr>
          <w:rFonts w:ascii="Arial" w:eastAsia="Times New Roman" w:hAnsi="Arial" w:cs="Arial"/>
          <w:lang w:val="en-US"/>
        </w:rPr>
        <w:t xml:space="preserve">her Education Qualifications.  </w:t>
      </w:r>
    </w:p>
    <w:p w:rsidR="00B47F37" w:rsidRPr="00B47F37" w:rsidRDefault="00B47F37" w:rsidP="009B7B9C">
      <w:pPr>
        <w:spacing w:line="360" w:lineRule="auto"/>
        <w:jc w:val="both"/>
        <w:rPr>
          <w:rFonts w:ascii="Arial" w:eastAsia="Times New Roman" w:hAnsi="Arial" w:cs="Arial"/>
          <w:lang w:val="en-US"/>
        </w:rPr>
      </w:pPr>
      <w:r w:rsidRPr="00B47F37">
        <w:rPr>
          <w:rFonts w:ascii="Arial" w:eastAsia="Times New Roman" w:hAnsi="Arial" w:cs="Arial"/>
          <w:lang w:val="en-US"/>
        </w:rPr>
        <w:t>In addition to the policy measures that have been put in place to strengthen teacher education, the Department of Higher Education and Training is</w:t>
      </w:r>
      <w:r w:rsidR="001E05F3">
        <w:rPr>
          <w:rFonts w:ascii="Arial" w:eastAsia="Times New Roman" w:hAnsi="Arial" w:cs="Arial"/>
          <w:lang w:val="en-US"/>
        </w:rPr>
        <w:t xml:space="preserve"> implementing a 5 year (2015/16 – </w:t>
      </w:r>
      <w:r w:rsidRPr="00B47F37">
        <w:rPr>
          <w:rFonts w:ascii="Arial" w:eastAsia="Times New Roman" w:hAnsi="Arial" w:cs="Arial"/>
          <w:lang w:val="en-US"/>
        </w:rPr>
        <w:t>2019/20) Teaching and Learning Development Capacity Improvement Programme (TLDCIP) that will support universities t</w:t>
      </w:r>
      <w:r w:rsidR="001E05F3">
        <w:rPr>
          <w:rFonts w:ascii="Arial" w:eastAsia="Times New Roman" w:hAnsi="Arial" w:cs="Arial"/>
          <w:lang w:val="en-US"/>
        </w:rPr>
        <w:t xml:space="preserve">o strengthen teacher education </w:t>
      </w:r>
      <w:r w:rsidRPr="00B47F37">
        <w:rPr>
          <w:rFonts w:ascii="Arial" w:eastAsia="Times New Roman" w:hAnsi="Arial" w:cs="Arial"/>
          <w:lang w:val="en-US"/>
        </w:rPr>
        <w:t>programmes at the level of curriculum stru</w:t>
      </w:r>
      <w:r w:rsidR="009B7B9C">
        <w:rPr>
          <w:rFonts w:ascii="Arial" w:eastAsia="Times New Roman" w:hAnsi="Arial" w:cs="Arial"/>
          <w:lang w:val="en-US"/>
        </w:rPr>
        <w:t xml:space="preserve">cture and curriculum delivery. </w:t>
      </w:r>
    </w:p>
    <w:p w:rsidR="00B47F37" w:rsidRPr="00B47F37" w:rsidRDefault="00B47F37" w:rsidP="009B7B9C">
      <w:pPr>
        <w:spacing w:line="360" w:lineRule="auto"/>
        <w:jc w:val="both"/>
        <w:rPr>
          <w:rFonts w:ascii="Arial" w:eastAsia="Times New Roman" w:hAnsi="Arial" w:cs="Arial"/>
          <w:bCs/>
          <w:lang w:val="en-US"/>
        </w:rPr>
      </w:pPr>
      <w:r w:rsidRPr="00B47F37">
        <w:rPr>
          <w:rFonts w:ascii="Arial" w:eastAsia="Times New Roman" w:hAnsi="Arial" w:cs="Arial"/>
          <w:lang w:val="en-US"/>
        </w:rPr>
        <w:t>A specific project in the TLDCIP will focus on s</w:t>
      </w:r>
      <w:r w:rsidRPr="00B47F37">
        <w:rPr>
          <w:rFonts w:ascii="Arial" w:eastAsia="Times New Roman" w:hAnsi="Arial" w:cs="Arial"/>
          <w:bCs/>
          <w:lang w:val="en-US"/>
        </w:rPr>
        <w:t>trengthening university capacity for primary teacher education. It will involve the implementation of a range of activities to strengthen the capacity and capability of universities for the delivery of quality primary school teacher education programmes, including the following:</w:t>
      </w:r>
    </w:p>
    <w:p w:rsidR="00B47F37" w:rsidRPr="00B47F37" w:rsidRDefault="00B47F37" w:rsidP="009B7B9C">
      <w:pPr>
        <w:numPr>
          <w:ilvl w:val="0"/>
          <w:numId w:val="48"/>
        </w:numPr>
        <w:spacing w:after="0" w:line="360" w:lineRule="auto"/>
        <w:ind w:left="567" w:hanging="283"/>
        <w:contextualSpacing/>
        <w:jc w:val="both"/>
        <w:rPr>
          <w:rFonts w:ascii="Arial" w:eastAsia="Times New Roman" w:hAnsi="Arial" w:cs="Arial"/>
          <w:bCs/>
          <w:lang w:val="en-ZA"/>
        </w:rPr>
      </w:pPr>
      <w:r w:rsidRPr="00B47F37">
        <w:rPr>
          <w:rFonts w:ascii="Arial" w:eastAsia="Times New Roman" w:hAnsi="Arial" w:cs="Arial"/>
          <w:bCs/>
          <w:lang w:val="en-ZA"/>
        </w:rPr>
        <w:t>Establish new initial teacher education programmes at universities w</w:t>
      </w:r>
      <w:r w:rsidR="00500B8A">
        <w:rPr>
          <w:rFonts w:ascii="Arial" w:eastAsia="Times New Roman" w:hAnsi="Arial" w:cs="Arial"/>
          <w:bCs/>
          <w:lang w:val="en-ZA"/>
        </w:rPr>
        <w:t>here specific specialis</w:t>
      </w:r>
      <w:r w:rsidRPr="00B47F37">
        <w:rPr>
          <w:rFonts w:ascii="Arial" w:eastAsia="Times New Roman" w:hAnsi="Arial" w:cs="Arial"/>
          <w:bCs/>
          <w:lang w:val="en-ZA"/>
        </w:rPr>
        <w:t>ations are not yet offered but which are needed and which the un</w:t>
      </w:r>
      <w:r w:rsidR="00500B8A">
        <w:rPr>
          <w:rFonts w:ascii="Arial" w:eastAsia="Times New Roman" w:hAnsi="Arial" w:cs="Arial"/>
          <w:bCs/>
          <w:lang w:val="en-ZA"/>
        </w:rPr>
        <w:t>iversity is interested to offer;</w:t>
      </w:r>
    </w:p>
    <w:p w:rsidR="00B47F37" w:rsidRPr="00B47F37" w:rsidRDefault="00B47F37" w:rsidP="009B7B9C">
      <w:pPr>
        <w:numPr>
          <w:ilvl w:val="0"/>
          <w:numId w:val="48"/>
        </w:numPr>
        <w:spacing w:after="0" w:line="360" w:lineRule="auto"/>
        <w:ind w:left="567" w:hanging="283"/>
        <w:contextualSpacing/>
        <w:jc w:val="both"/>
        <w:rPr>
          <w:rFonts w:ascii="Arial" w:eastAsia="Times New Roman" w:hAnsi="Arial" w:cs="Arial"/>
          <w:bCs/>
          <w:lang w:val="en-ZA"/>
        </w:rPr>
      </w:pPr>
      <w:r w:rsidRPr="00B47F37">
        <w:rPr>
          <w:rFonts w:ascii="Arial" w:eastAsia="Times New Roman" w:hAnsi="Arial" w:cs="Arial"/>
          <w:bCs/>
          <w:lang w:val="en-ZA"/>
        </w:rPr>
        <w:t>Develop and roll-out a national advocacy campaign for teaching generally</w:t>
      </w:r>
      <w:r w:rsidR="001E05F3">
        <w:rPr>
          <w:rFonts w:ascii="Arial" w:eastAsia="Times New Roman" w:hAnsi="Arial" w:cs="Arial"/>
          <w:bCs/>
          <w:lang w:val="en-ZA"/>
        </w:rPr>
        <w:t>,</w:t>
      </w:r>
      <w:r w:rsidRPr="00B47F37">
        <w:rPr>
          <w:rFonts w:ascii="Arial" w:eastAsia="Times New Roman" w:hAnsi="Arial" w:cs="Arial"/>
          <w:bCs/>
          <w:lang w:val="en-ZA"/>
        </w:rPr>
        <w:t xml:space="preserve"> </w:t>
      </w:r>
      <w:r w:rsidR="001E05F3" w:rsidRPr="00B47F37">
        <w:rPr>
          <w:rFonts w:ascii="Arial" w:eastAsia="Times New Roman" w:hAnsi="Arial" w:cs="Arial"/>
          <w:bCs/>
          <w:lang w:val="en-ZA"/>
        </w:rPr>
        <w:t xml:space="preserve">specifically </w:t>
      </w:r>
      <w:r w:rsidRPr="00B47F37">
        <w:rPr>
          <w:rFonts w:ascii="Arial" w:eastAsia="Times New Roman" w:hAnsi="Arial" w:cs="Arial"/>
          <w:bCs/>
          <w:lang w:val="en-ZA"/>
        </w:rPr>
        <w:t>Foundation Phase teaching as a viable and attractive career choice</w:t>
      </w:r>
      <w:r w:rsidR="00500B8A">
        <w:rPr>
          <w:rFonts w:ascii="Arial" w:eastAsia="Times New Roman" w:hAnsi="Arial" w:cs="Arial"/>
          <w:bCs/>
          <w:lang w:val="en-ZA"/>
        </w:rPr>
        <w:t>;</w:t>
      </w:r>
    </w:p>
    <w:p w:rsidR="00B47F37" w:rsidRPr="00B47F37" w:rsidRDefault="001E05F3" w:rsidP="009B7B9C">
      <w:pPr>
        <w:numPr>
          <w:ilvl w:val="0"/>
          <w:numId w:val="48"/>
        </w:numPr>
        <w:spacing w:after="0" w:line="360" w:lineRule="auto"/>
        <w:ind w:left="567" w:hanging="283"/>
        <w:contextualSpacing/>
        <w:jc w:val="both"/>
        <w:rPr>
          <w:rFonts w:ascii="Arial" w:eastAsia="Times New Roman" w:hAnsi="Arial" w:cs="Arial"/>
          <w:bCs/>
          <w:lang w:val="en-ZA"/>
        </w:rPr>
      </w:pPr>
      <w:r>
        <w:rPr>
          <w:rFonts w:ascii="Arial" w:eastAsia="Times New Roman" w:hAnsi="Arial" w:cs="Arial"/>
          <w:bCs/>
          <w:lang w:val="en-ZA"/>
        </w:rPr>
        <w:t xml:space="preserve">Support </w:t>
      </w:r>
      <w:r w:rsidR="00B47F37" w:rsidRPr="00B47F37">
        <w:rPr>
          <w:rFonts w:ascii="Arial" w:eastAsia="Times New Roman" w:hAnsi="Arial" w:cs="Arial"/>
          <w:bCs/>
          <w:lang w:val="en-ZA"/>
        </w:rPr>
        <w:t>academic communities of practice focused on pri</w:t>
      </w:r>
      <w:r w:rsidR="00500B8A">
        <w:rPr>
          <w:rFonts w:ascii="Arial" w:eastAsia="Times New Roman" w:hAnsi="Arial" w:cs="Arial"/>
          <w:bCs/>
          <w:lang w:val="en-ZA"/>
        </w:rPr>
        <w:t>ority teaching subject specialis</w:t>
      </w:r>
      <w:r w:rsidR="00B47F37" w:rsidRPr="00B47F37">
        <w:rPr>
          <w:rFonts w:ascii="Arial" w:eastAsia="Times New Roman" w:hAnsi="Arial" w:cs="Arial"/>
          <w:bCs/>
          <w:lang w:val="en-ZA"/>
        </w:rPr>
        <w:t>ations (</w:t>
      </w:r>
      <w:r>
        <w:rPr>
          <w:rFonts w:ascii="Arial" w:eastAsia="Times New Roman" w:hAnsi="Arial" w:cs="Arial"/>
          <w:bCs/>
          <w:lang w:val="en-ZA"/>
        </w:rPr>
        <w:t>Mathematics, L</w:t>
      </w:r>
      <w:r w:rsidR="00B47F37" w:rsidRPr="00B47F37">
        <w:rPr>
          <w:rFonts w:ascii="Arial" w:eastAsia="Times New Roman" w:hAnsi="Arial" w:cs="Arial"/>
          <w:bCs/>
          <w:lang w:val="en-ZA"/>
        </w:rPr>
        <w:t xml:space="preserve">anguages, </w:t>
      </w:r>
      <w:r>
        <w:rPr>
          <w:rFonts w:ascii="Arial" w:eastAsia="Times New Roman" w:hAnsi="Arial" w:cs="Arial"/>
          <w:bCs/>
          <w:lang w:val="en-ZA"/>
        </w:rPr>
        <w:t>S</w:t>
      </w:r>
      <w:r w:rsidR="00B47F37" w:rsidRPr="00B47F37">
        <w:rPr>
          <w:rFonts w:ascii="Arial" w:eastAsia="Times New Roman" w:hAnsi="Arial" w:cs="Arial"/>
          <w:bCs/>
          <w:lang w:val="en-ZA"/>
        </w:rPr>
        <w:t xml:space="preserve">cience and </w:t>
      </w:r>
      <w:r>
        <w:rPr>
          <w:rFonts w:ascii="Arial" w:eastAsia="Times New Roman" w:hAnsi="Arial" w:cs="Arial"/>
          <w:bCs/>
          <w:lang w:val="en-ZA"/>
        </w:rPr>
        <w:t>T</w:t>
      </w:r>
      <w:r w:rsidR="00B47F37" w:rsidRPr="00B47F37">
        <w:rPr>
          <w:rFonts w:ascii="Arial" w:eastAsia="Times New Roman" w:hAnsi="Arial" w:cs="Arial"/>
          <w:bCs/>
          <w:lang w:val="en-ZA"/>
        </w:rPr>
        <w:t>echnology), which would have the responsibility to understand university practices across the system with</w:t>
      </w:r>
      <w:r w:rsidR="00500B8A">
        <w:rPr>
          <w:rFonts w:ascii="Arial" w:eastAsia="Times New Roman" w:hAnsi="Arial" w:cs="Arial"/>
          <w:bCs/>
          <w:lang w:val="en-ZA"/>
        </w:rPr>
        <w:t xml:space="preserve"> respect to the specialis</w:t>
      </w:r>
      <w:r w:rsidR="00B47F37" w:rsidRPr="00B47F37">
        <w:rPr>
          <w:rFonts w:ascii="Arial" w:eastAsia="Times New Roman" w:hAnsi="Arial" w:cs="Arial"/>
          <w:bCs/>
          <w:lang w:val="en-ZA"/>
        </w:rPr>
        <w:t>ation, with a view towards the development of knowledge and practice stan</w:t>
      </w:r>
      <w:r w:rsidR="00500B8A">
        <w:rPr>
          <w:rFonts w:ascii="Arial" w:eastAsia="Times New Roman" w:hAnsi="Arial" w:cs="Arial"/>
          <w:bCs/>
          <w:lang w:val="en-ZA"/>
        </w:rPr>
        <w:t>dards for the teaching specialis</w:t>
      </w:r>
      <w:r w:rsidR="00B47F37" w:rsidRPr="00B47F37">
        <w:rPr>
          <w:rFonts w:ascii="Arial" w:eastAsia="Times New Roman" w:hAnsi="Arial" w:cs="Arial"/>
          <w:bCs/>
          <w:lang w:val="en-ZA"/>
        </w:rPr>
        <w:t>ation, which could assist to achieve greater convergence and rigour</w:t>
      </w:r>
      <w:r w:rsidR="00500B8A">
        <w:rPr>
          <w:rFonts w:ascii="Arial" w:eastAsia="Times New Roman" w:hAnsi="Arial" w:cs="Arial"/>
          <w:bCs/>
          <w:lang w:val="en-ZA"/>
        </w:rPr>
        <w:t xml:space="preserve"> in teacher education curricula;</w:t>
      </w:r>
    </w:p>
    <w:p w:rsidR="00B47F37" w:rsidRPr="00B47F37" w:rsidRDefault="00B47F37" w:rsidP="009B7B9C">
      <w:pPr>
        <w:numPr>
          <w:ilvl w:val="0"/>
          <w:numId w:val="48"/>
        </w:numPr>
        <w:spacing w:after="0" w:line="360" w:lineRule="auto"/>
        <w:ind w:left="567" w:hanging="283"/>
        <w:contextualSpacing/>
        <w:jc w:val="both"/>
        <w:rPr>
          <w:rFonts w:ascii="Arial" w:eastAsia="Times New Roman" w:hAnsi="Arial" w:cs="Arial"/>
          <w:bCs/>
          <w:lang w:val="en-ZA"/>
        </w:rPr>
      </w:pPr>
      <w:r w:rsidRPr="00B47F37">
        <w:rPr>
          <w:rFonts w:ascii="Arial" w:eastAsia="Times New Roman" w:hAnsi="Arial" w:cs="Arial"/>
          <w:bCs/>
          <w:lang w:val="en-ZA"/>
        </w:rPr>
        <w:t>Support appropriate research, programme development and material development activities that will improve the quality of initial teach</w:t>
      </w:r>
      <w:r w:rsidR="00500B8A">
        <w:rPr>
          <w:rFonts w:ascii="Arial" w:eastAsia="Times New Roman" w:hAnsi="Arial" w:cs="Arial"/>
          <w:bCs/>
          <w:lang w:val="en-ZA"/>
        </w:rPr>
        <w:t>er education programme delivery;</w:t>
      </w:r>
    </w:p>
    <w:p w:rsidR="00B47F37" w:rsidRPr="00B47F37" w:rsidRDefault="00B47F37" w:rsidP="009B7B9C">
      <w:pPr>
        <w:numPr>
          <w:ilvl w:val="0"/>
          <w:numId w:val="48"/>
        </w:numPr>
        <w:spacing w:after="0" w:line="360" w:lineRule="auto"/>
        <w:ind w:left="567" w:hanging="283"/>
        <w:contextualSpacing/>
        <w:jc w:val="both"/>
        <w:rPr>
          <w:rFonts w:ascii="Arial" w:eastAsia="Times New Roman" w:hAnsi="Arial" w:cs="Arial"/>
          <w:bCs/>
          <w:lang w:val="en-ZA"/>
        </w:rPr>
      </w:pPr>
      <w:r w:rsidRPr="00B47F37">
        <w:rPr>
          <w:rFonts w:ascii="Arial" w:eastAsia="Times New Roman" w:hAnsi="Arial" w:cs="Arial"/>
          <w:bCs/>
          <w:lang w:val="en-ZA"/>
        </w:rPr>
        <w:t xml:space="preserve">Finalise norms and standards for professional practice </w:t>
      </w:r>
      <w:r w:rsidR="001E05F3">
        <w:rPr>
          <w:rFonts w:ascii="Arial" w:eastAsia="Times New Roman" w:hAnsi="Arial" w:cs="Arial"/>
          <w:bCs/>
          <w:lang w:val="en-ZA"/>
        </w:rPr>
        <w:t>and teaching schools as well as</w:t>
      </w:r>
      <w:r w:rsidRPr="00B47F37">
        <w:rPr>
          <w:rFonts w:ascii="Arial" w:eastAsia="Times New Roman" w:hAnsi="Arial" w:cs="Arial"/>
          <w:bCs/>
          <w:lang w:val="en-ZA"/>
        </w:rPr>
        <w:t xml:space="preserve"> mechanisms for their establi</w:t>
      </w:r>
      <w:r w:rsidR="00500B8A">
        <w:rPr>
          <w:rFonts w:ascii="Arial" w:eastAsia="Times New Roman" w:hAnsi="Arial" w:cs="Arial"/>
          <w:bCs/>
          <w:lang w:val="en-ZA"/>
        </w:rPr>
        <w:t>shment;</w:t>
      </w:r>
    </w:p>
    <w:p w:rsidR="00B47F37" w:rsidRPr="00B47F37" w:rsidRDefault="00B47F37" w:rsidP="009B7B9C">
      <w:pPr>
        <w:numPr>
          <w:ilvl w:val="0"/>
          <w:numId w:val="48"/>
        </w:numPr>
        <w:spacing w:after="0" w:line="360" w:lineRule="auto"/>
        <w:ind w:left="567" w:hanging="283"/>
        <w:contextualSpacing/>
        <w:jc w:val="both"/>
        <w:rPr>
          <w:rFonts w:ascii="Arial" w:eastAsia="Times New Roman" w:hAnsi="Arial" w:cs="Arial"/>
          <w:bCs/>
          <w:lang w:val="en-ZA"/>
        </w:rPr>
      </w:pPr>
      <w:r w:rsidRPr="00B47F37">
        <w:rPr>
          <w:rFonts w:ascii="Arial" w:eastAsia="Times New Roman" w:hAnsi="Arial" w:cs="Arial"/>
          <w:bCs/>
          <w:lang w:val="en-ZA"/>
        </w:rPr>
        <w:lastRenderedPageBreak/>
        <w:t>Develop a national database of schools that will be developed a</w:t>
      </w:r>
      <w:r w:rsidR="00500B8A">
        <w:rPr>
          <w:rFonts w:ascii="Arial" w:eastAsia="Times New Roman" w:hAnsi="Arial" w:cs="Arial"/>
          <w:bCs/>
          <w:lang w:val="en-ZA"/>
        </w:rPr>
        <w:t>s professional practice schools;</w:t>
      </w:r>
    </w:p>
    <w:p w:rsidR="00B47F37" w:rsidRPr="00B47F37" w:rsidRDefault="00B47F37" w:rsidP="009B7B9C">
      <w:pPr>
        <w:numPr>
          <w:ilvl w:val="0"/>
          <w:numId w:val="48"/>
        </w:numPr>
        <w:spacing w:after="0" w:line="360" w:lineRule="auto"/>
        <w:ind w:left="567" w:hanging="283"/>
        <w:contextualSpacing/>
        <w:jc w:val="both"/>
        <w:rPr>
          <w:rFonts w:ascii="Arial" w:eastAsia="Times New Roman" w:hAnsi="Arial" w:cs="Arial"/>
          <w:bCs/>
          <w:lang w:val="en-ZA"/>
        </w:rPr>
      </w:pPr>
      <w:r w:rsidRPr="00B47F37">
        <w:rPr>
          <w:rFonts w:ascii="Arial" w:eastAsia="Times New Roman" w:hAnsi="Arial" w:cs="Arial"/>
          <w:bCs/>
          <w:lang w:val="en-ZA"/>
        </w:rPr>
        <w:t>Support universities to develop business plans for the establishment of teaching schools</w:t>
      </w:r>
      <w:r w:rsidR="00500B8A">
        <w:rPr>
          <w:rFonts w:ascii="Arial" w:eastAsia="Times New Roman" w:hAnsi="Arial" w:cs="Arial"/>
          <w:bCs/>
          <w:lang w:val="en-ZA"/>
        </w:rPr>
        <w:t>;</w:t>
      </w:r>
    </w:p>
    <w:p w:rsidR="00B47F37" w:rsidRPr="00B47F37" w:rsidRDefault="00B47F37" w:rsidP="009B7B9C">
      <w:pPr>
        <w:numPr>
          <w:ilvl w:val="0"/>
          <w:numId w:val="48"/>
        </w:numPr>
        <w:spacing w:after="0" w:line="360" w:lineRule="auto"/>
        <w:ind w:left="567" w:hanging="283"/>
        <w:contextualSpacing/>
        <w:jc w:val="both"/>
        <w:rPr>
          <w:rFonts w:ascii="Arial" w:eastAsia="Times New Roman" w:hAnsi="Arial" w:cs="Arial"/>
          <w:bCs/>
          <w:lang w:val="en-ZA"/>
        </w:rPr>
      </w:pPr>
      <w:r w:rsidRPr="00B47F37">
        <w:rPr>
          <w:rFonts w:ascii="Arial" w:eastAsia="Times New Roman" w:hAnsi="Arial" w:cs="Arial"/>
          <w:bCs/>
          <w:lang w:val="en-ZA"/>
        </w:rPr>
        <w:t>Develop a national programme to support the professional development of school teachers that act as tutors and mentors to initial teacher education students, which can be delivered in a blended mode, with</w:t>
      </w:r>
      <w:r w:rsidR="00500B8A">
        <w:rPr>
          <w:rFonts w:ascii="Arial" w:eastAsia="Times New Roman" w:hAnsi="Arial" w:cs="Arial"/>
          <w:bCs/>
          <w:lang w:val="en-ZA"/>
        </w:rPr>
        <w:t xml:space="preserve"> a significant online component; and</w:t>
      </w:r>
    </w:p>
    <w:p w:rsidR="00B47F37" w:rsidRPr="00B47F37" w:rsidRDefault="00B47F37" w:rsidP="009B7B9C">
      <w:pPr>
        <w:numPr>
          <w:ilvl w:val="0"/>
          <w:numId w:val="48"/>
        </w:numPr>
        <w:spacing w:after="0" w:line="360" w:lineRule="auto"/>
        <w:ind w:left="567" w:hanging="283"/>
        <w:contextualSpacing/>
        <w:jc w:val="both"/>
        <w:rPr>
          <w:rFonts w:ascii="Arial" w:eastAsia="Times New Roman" w:hAnsi="Arial" w:cs="Arial"/>
          <w:bCs/>
          <w:lang w:val="en-ZA"/>
        </w:rPr>
      </w:pPr>
      <w:r w:rsidRPr="00B47F37">
        <w:rPr>
          <w:rFonts w:ascii="Arial" w:eastAsia="Times New Roman" w:hAnsi="Arial" w:cs="Arial"/>
          <w:bCs/>
          <w:lang w:val="en-ZA"/>
        </w:rPr>
        <w:t>Develop an online platform/course for the teaching practice/work-integrated learning component of teacher education programmes.</w:t>
      </w:r>
    </w:p>
    <w:p w:rsidR="00B47F37" w:rsidRPr="00B47F37" w:rsidRDefault="00B47F37" w:rsidP="00B47F37">
      <w:pPr>
        <w:spacing w:line="360" w:lineRule="auto"/>
        <w:jc w:val="both"/>
        <w:rPr>
          <w:rFonts w:ascii="Arial" w:hAnsi="Arial" w:cs="Arial"/>
        </w:rPr>
      </w:pPr>
      <w:r w:rsidRPr="00B47F37">
        <w:rPr>
          <w:rFonts w:ascii="Arial" w:eastAsia="Times New Roman" w:hAnsi="Arial" w:cs="Arial"/>
          <w:sz w:val="24"/>
          <w:szCs w:val="24"/>
          <w:lang w:val="en-US"/>
        </w:rPr>
        <w:br w:type="page"/>
      </w:r>
      <w:r w:rsidRPr="00B47F37">
        <w:rPr>
          <w:rFonts w:ascii="Arial" w:hAnsi="Arial" w:cs="Arial"/>
        </w:rPr>
        <w:lastRenderedPageBreak/>
        <w:t xml:space="preserve">Compiler/Contact persons: </w:t>
      </w:r>
    </w:p>
    <w:p w:rsidR="00B47F37" w:rsidRPr="00B47F37" w:rsidRDefault="00B47F37" w:rsidP="00B47F37">
      <w:pPr>
        <w:spacing w:line="360" w:lineRule="auto"/>
        <w:jc w:val="both"/>
        <w:rPr>
          <w:rFonts w:ascii="Arial" w:hAnsi="Arial" w:cs="Arial"/>
        </w:rPr>
      </w:pPr>
      <w:r w:rsidRPr="00B47F37">
        <w:rPr>
          <w:rFonts w:ascii="Arial" w:hAnsi="Arial" w:cs="Arial"/>
        </w:rPr>
        <w:t xml:space="preserve">Ext: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DIRECTOR – GENERAL</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D947B4" w:rsidRPr="00745AF6" w:rsidRDefault="00D947B4" w:rsidP="00D947B4">
      <w:pPr>
        <w:spacing w:line="360" w:lineRule="auto"/>
        <w:jc w:val="both"/>
        <w:rPr>
          <w:rFonts w:ascii="Arial" w:hAnsi="Arial" w:cs="Arial"/>
        </w:rPr>
      </w:pPr>
      <w:r w:rsidRPr="00745AF6">
        <w:rPr>
          <w:rFonts w:ascii="Arial" w:hAnsi="Arial" w:cs="Arial"/>
        </w:rPr>
        <w:t>DATE:</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D03807">
        <w:rPr>
          <w:rFonts w:ascii="Arial" w:hAnsi="Arial" w:cs="Arial"/>
        </w:rPr>
        <w:t>3</w:t>
      </w:r>
      <w:r w:rsidR="00821BB4">
        <w:rPr>
          <w:rFonts w:ascii="Arial" w:hAnsi="Arial" w:cs="Arial"/>
        </w:rPr>
        <w:t>245</w:t>
      </w:r>
      <w:r w:rsidRPr="00745AF6">
        <w:rPr>
          <w:rFonts w:ascii="Arial" w:hAnsi="Arial" w:cs="Arial"/>
        </w:rPr>
        <w:t xml:space="preserve"> APPROVED/NOT APPROVED/AMENDED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Dr B</w:t>
      </w:r>
      <w:r w:rsidR="00500B8A">
        <w:rPr>
          <w:rFonts w:ascii="Arial" w:hAnsi="Arial" w:cs="Arial"/>
        </w:rPr>
        <w:t>E</w:t>
      </w:r>
      <w:r w:rsidRPr="00745AF6">
        <w:rPr>
          <w:rFonts w:ascii="Arial" w:hAnsi="Arial" w:cs="Arial"/>
        </w:rPr>
        <w:t xml:space="preserve"> NZIMANDE, MP</w:t>
      </w:r>
    </w:p>
    <w:p w:rsidR="00D947B4" w:rsidRPr="00745AF6" w:rsidRDefault="00D947B4" w:rsidP="00D947B4">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C3677B" w:rsidRPr="00D947B4" w:rsidRDefault="00D947B4" w:rsidP="00D947B4">
      <w:pPr>
        <w:spacing w:line="360" w:lineRule="auto"/>
        <w:jc w:val="both"/>
        <w:rPr>
          <w:rFonts w:ascii="Arial" w:hAnsi="Arial" w:cs="Arial"/>
        </w:rPr>
      </w:pPr>
      <w:r w:rsidRPr="00745AF6">
        <w:rPr>
          <w:rFonts w:ascii="Arial" w:hAnsi="Arial" w:cs="Arial"/>
        </w:rPr>
        <w:t>DATE:</w:t>
      </w:r>
    </w:p>
    <w:sectPr w:rsidR="00C3677B" w:rsidRPr="00D947B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8D33EE6"/>
    <w:multiLevelType w:val="hybridMultilevel"/>
    <w:tmpl w:val="A7308458"/>
    <w:lvl w:ilvl="0" w:tplc="4F5A81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97B4D"/>
    <w:multiLevelType w:val="hybridMultilevel"/>
    <w:tmpl w:val="E062D09C"/>
    <w:lvl w:ilvl="0" w:tplc="6F3CB71A">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CC670A9"/>
    <w:multiLevelType w:val="hybridMultilevel"/>
    <w:tmpl w:val="64F48096"/>
    <w:lvl w:ilvl="0" w:tplc="22D25F1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8FB39D5"/>
    <w:multiLevelType w:val="hybridMultilevel"/>
    <w:tmpl w:val="CE10D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D07CDF"/>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7">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8">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D1B55AE"/>
    <w:multiLevelType w:val="hybridMultilevel"/>
    <w:tmpl w:val="6EDC52A8"/>
    <w:lvl w:ilvl="0" w:tplc="E20C7816">
      <w:start w:val="1"/>
      <w:numFmt w:val="lowerLetter"/>
      <w:lvlText w:val="(%1)"/>
      <w:lvlJc w:val="left"/>
      <w:pPr>
        <w:ind w:left="1174" w:hanging="46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33"/>
  </w:num>
  <w:num w:numId="2">
    <w:abstractNumId w:val="24"/>
  </w:num>
  <w:num w:numId="3">
    <w:abstractNumId w:val="38"/>
  </w:num>
  <w:num w:numId="4">
    <w:abstractNumId w:val="8"/>
  </w:num>
  <w:num w:numId="5">
    <w:abstractNumId w:val="41"/>
  </w:num>
  <w:num w:numId="6">
    <w:abstractNumId w:val="30"/>
  </w:num>
  <w:num w:numId="7">
    <w:abstractNumId w:val="40"/>
  </w:num>
  <w:num w:numId="8">
    <w:abstractNumId w:val="5"/>
  </w:num>
  <w:num w:numId="9">
    <w:abstractNumId w:val="36"/>
  </w:num>
  <w:num w:numId="10">
    <w:abstractNumId w:val="26"/>
  </w:num>
  <w:num w:numId="11">
    <w:abstractNumId w:val="39"/>
  </w:num>
  <w:num w:numId="12">
    <w:abstractNumId w:val="13"/>
  </w:num>
  <w:num w:numId="13">
    <w:abstractNumId w:val="45"/>
  </w:num>
  <w:num w:numId="14">
    <w:abstractNumId w:val="18"/>
  </w:num>
  <w:num w:numId="15">
    <w:abstractNumId w:val="6"/>
  </w:num>
  <w:num w:numId="16">
    <w:abstractNumId w:val="31"/>
  </w:num>
  <w:num w:numId="17">
    <w:abstractNumId w:val="14"/>
  </w:num>
  <w:num w:numId="18">
    <w:abstractNumId w:val="34"/>
  </w:num>
  <w:num w:numId="19">
    <w:abstractNumId w:val="32"/>
  </w:num>
  <w:num w:numId="20">
    <w:abstractNumId w:val="7"/>
  </w:num>
  <w:num w:numId="21">
    <w:abstractNumId w:val="20"/>
  </w:num>
  <w:num w:numId="22">
    <w:abstractNumId w:val="46"/>
  </w:num>
  <w:num w:numId="23">
    <w:abstractNumId w:val="35"/>
  </w:num>
  <w:num w:numId="24">
    <w:abstractNumId w:val="44"/>
  </w:num>
  <w:num w:numId="25">
    <w:abstractNumId w:val="42"/>
  </w:num>
  <w:num w:numId="26">
    <w:abstractNumId w:val="1"/>
  </w:num>
  <w:num w:numId="27">
    <w:abstractNumId w:val="15"/>
  </w:num>
  <w:num w:numId="28">
    <w:abstractNumId w:val="2"/>
  </w:num>
  <w:num w:numId="29">
    <w:abstractNumId w:val="37"/>
  </w:num>
  <w:num w:numId="30">
    <w:abstractNumId w:val="17"/>
  </w:num>
  <w:num w:numId="31">
    <w:abstractNumId w:val="0"/>
  </w:num>
  <w:num w:numId="32">
    <w:abstractNumId w:val="43"/>
  </w:num>
  <w:num w:numId="33">
    <w:abstractNumId w:val="16"/>
  </w:num>
  <w:num w:numId="34">
    <w:abstractNumId w:val="9"/>
  </w:num>
  <w:num w:numId="35">
    <w:abstractNumId w:val="11"/>
  </w:num>
  <w:num w:numId="36">
    <w:abstractNumId w:val="12"/>
  </w:num>
  <w:num w:numId="37">
    <w:abstractNumId w:val="29"/>
  </w:num>
  <w:num w:numId="38">
    <w:abstractNumId w:val="23"/>
  </w:num>
  <w:num w:numId="39">
    <w:abstractNumId w:val="28"/>
  </w:num>
  <w:num w:numId="40">
    <w:abstractNumId w:val="27"/>
  </w:num>
  <w:num w:numId="41">
    <w:abstractNumId w:val="25"/>
  </w:num>
  <w:num w:numId="42">
    <w:abstractNumId w:val="3"/>
  </w:num>
  <w:num w:numId="43">
    <w:abstractNumId w:val="4"/>
  </w:num>
  <w:num w:numId="44">
    <w:abstractNumId w:val="10"/>
  </w:num>
  <w:num w:numId="45">
    <w:abstractNumId w:val="47"/>
  </w:num>
  <w:num w:numId="46">
    <w:abstractNumId w:val="22"/>
  </w:num>
  <w:num w:numId="47">
    <w:abstractNumId w:val="19"/>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430B"/>
    <w:rsid w:val="000260DC"/>
    <w:rsid w:val="000262F1"/>
    <w:rsid w:val="00032AB5"/>
    <w:rsid w:val="00041F99"/>
    <w:rsid w:val="00044DB1"/>
    <w:rsid w:val="0004638A"/>
    <w:rsid w:val="0004639E"/>
    <w:rsid w:val="00052871"/>
    <w:rsid w:val="0005620C"/>
    <w:rsid w:val="00056C56"/>
    <w:rsid w:val="000579B9"/>
    <w:rsid w:val="00060888"/>
    <w:rsid w:val="0006118B"/>
    <w:rsid w:val="00063A3A"/>
    <w:rsid w:val="00067831"/>
    <w:rsid w:val="00075314"/>
    <w:rsid w:val="00076E40"/>
    <w:rsid w:val="00087811"/>
    <w:rsid w:val="00096A3C"/>
    <w:rsid w:val="000A02C9"/>
    <w:rsid w:val="000A0D33"/>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436C"/>
    <w:rsid w:val="00170B70"/>
    <w:rsid w:val="00176498"/>
    <w:rsid w:val="00185818"/>
    <w:rsid w:val="00191755"/>
    <w:rsid w:val="00194585"/>
    <w:rsid w:val="001A01DC"/>
    <w:rsid w:val="001A0291"/>
    <w:rsid w:val="001A1252"/>
    <w:rsid w:val="001A277A"/>
    <w:rsid w:val="001C218E"/>
    <w:rsid w:val="001C33B5"/>
    <w:rsid w:val="001C6A3B"/>
    <w:rsid w:val="001D6705"/>
    <w:rsid w:val="001D7C6A"/>
    <w:rsid w:val="001E05F3"/>
    <w:rsid w:val="001E0D43"/>
    <w:rsid w:val="001E299D"/>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93E0F"/>
    <w:rsid w:val="0029445D"/>
    <w:rsid w:val="002A17B0"/>
    <w:rsid w:val="002A2F73"/>
    <w:rsid w:val="002A7DF4"/>
    <w:rsid w:val="002B76D2"/>
    <w:rsid w:val="002C16FF"/>
    <w:rsid w:val="002C60A6"/>
    <w:rsid w:val="002C6CA2"/>
    <w:rsid w:val="002D16BA"/>
    <w:rsid w:val="002D188A"/>
    <w:rsid w:val="002E3161"/>
    <w:rsid w:val="002F4DC9"/>
    <w:rsid w:val="002F6B49"/>
    <w:rsid w:val="00300C93"/>
    <w:rsid w:val="00302397"/>
    <w:rsid w:val="00305BF7"/>
    <w:rsid w:val="00313A4B"/>
    <w:rsid w:val="00315B13"/>
    <w:rsid w:val="00341B37"/>
    <w:rsid w:val="00344509"/>
    <w:rsid w:val="00350615"/>
    <w:rsid w:val="003517A1"/>
    <w:rsid w:val="00351E0F"/>
    <w:rsid w:val="00356741"/>
    <w:rsid w:val="0035694A"/>
    <w:rsid w:val="00361776"/>
    <w:rsid w:val="0036376B"/>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10478"/>
    <w:rsid w:val="00410B43"/>
    <w:rsid w:val="004170C3"/>
    <w:rsid w:val="0041718E"/>
    <w:rsid w:val="00417FD5"/>
    <w:rsid w:val="00422B30"/>
    <w:rsid w:val="004312FC"/>
    <w:rsid w:val="0043279D"/>
    <w:rsid w:val="00437C1E"/>
    <w:rsid w:val="004457FC"/>
    <w:rsid w:val="00457688"/>
    <w:rsid w:val="00463025"/>
    <w:rsid w:val="004672ED"/>
    <w:rsid w:val="00467DFA"/>
    <w:rsid w:val="00472F32"/>
    <w:rsid w:val="004778C4"/>
    <w:rsid w:val="004800DC"/>
    <w:rsid w:val="00492A36"/>
    <w:rsid w:val="004944AF"/>
    <w:rsid w:val="004965B4"/>
    <w:rsid w:val="004A7272"/>
    <w:rsid w:val="004B7E13"/>
    <w:rsid w:val="004C4F38"/>
    <w:rsid w:val="004D1EB9"/>
    <w:rsid w:val="004D2BE1"/>
    <w:rsid w:val="004D74FD"/>
    <w:rsid w:val="004E0458"/>
    <w:rsid w:val="004E425D"/>
    <w:rsid w:val="004F47FF"/>
    <w:rsid w:val="004F63FE"/>
    <w:rsid w:val="00500B8A"/>
    <w:rsid w:val="00504B93"/>
    <w:rsid w:val="00505475"/>
    <w:rsid w:val="00506E45"/>
    <w:rsid w:val="005127E5"/>
    <w:rsid w:val="00512DD2"/>
    <w:rsid w:val="00514BF3"/>
    <w:rsid w:val="005223B8"/>
    <w:rsid w:val="005237E8"/>
    <w:rsid w:val="00537D64"/>
    <w:rsid w:val="00543274"/>
    <w:rsid w:val="00544F68"/>
    <w:rsid w:val="00552E00"/>
    <w:rsid w:val="005577D9"/>
    <w:rsid w:val="00561493"/>
    <w:rsid w:val="005705D4"/>
    <w:rsid w:val="00571740"/>
    <w:rsid w:val="00574DBC"/>
    <w:rsid w:val="00585D0E"/>
    <w:rsid w:val="00591E50"/>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24A2"/>
    <w:rsid w:val="0068734A"/>
    <w:rsid w:val="006913D9"/>
    <w:rsid w:val="00693055"/>
    <w:rsid w:val="006944DE"/>
    <w:rsid w:val="006953C8"/>
    <w:rsid w:val="006965DC"/>
    <w:rsid w:val="006A47E0"/>
    <w:rsid w:val="006A5774"/>
    <w:rsid w:val="006A5D9D"/>
    <w:rsid w:val="006B438D"/>
    <w:rsid w:val="006B5024"/>
    <w:rsid w:val="006B6BC7"/>
    <w:rsid w:val="006C56E1"/>
    <w:rsid w:val="006C5827"/>
    <w:rsid w:val="006E3002"/>
    <w:rsid w:val="006E3244"/>
    <w:rsid w:val="006E7CF5"/>
    <w:rsid w:val="006F63E0"/>
    <w:rsid w:val="006F6BF5"/>
    <w:rsid w:val="0070084E"/>
    <w:rsid w:val="00702601"/>
    <w:rsid w:val="00702868"/>
    <w:rsid w:val="00702F9A"/>
    <w:rsid w:val="00707E92"/>
    <w:rsid w:val="007141FA"/>
    <w:rsid w:val="00714E5D"/>
    <w:rsid w:val="00714E82"/>
    <w:rsid w:val="0071591A"/>
    <w:rsid w:val="00716487"/>
    <w:rsid w:val="007274D6"/>
    <w:rsid w:val="0073483F"/>
    <w:rsid w:val="00736643"/>
    <w:rsid w:val="00740B88"/>
    <w:rsid w:val="007451D5"/>
    <w:rsid w:val="007468B1"/>
    <w:rsid w:val="00753C44"/>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7109"/>
    <w:rsid w:val="007D7318"/>
    <w:rsid w:val="007E26C5"/>
    <w:rsid w:val="007E5CF9"/>
    <w:rsid w:val="007E667A"/>
    <w:rsid w:val="007F2ADC"/>
    <w:rsid w:val="007F2D57"/>
    <w:rsid w:val="007F6462"/>
    <w:rsid w:val="007F7092"/>
    <w:rsid w:val="007F7F6F"/>
    <w:rsid w:val="0080663F"/>
    <w:rsid w:val="00807715"/>
    <w:rsid w:val="00810FD4"/>
    <w:rsid w:val="00812391"/>
    <w:rsid w:val="008139BE"/>
    <w:rsid w:val="00814FBE"/>
    <w:rsid w:val="00821BB4"/>
    <w:rsid w:val="0083618E"/>
    <w:rsid w:val="00844BF0"/>
    <w:rsid w:val="008455F2"/>
    <w:rsid w:val="00857AAF"/>
    <w:rsid w:val="00874346"/>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48B8"/>
    <w:rsid w:val="00962A23"/>
    <w:rsid w:val="00963DA4"/>
    <w:rsid w:val="009642B8"/>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B7B9C"/>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4ACB"/>
    <w:rsid w:val="00A45E21"/>
    <w:rsid w:val="00A51526"/>
    <w:rsid w:val="00A54620"/>
    <w:rsid w:val="00A8120A"/>
    <w:rsid w:val="00A9281E"/>
    <w:rsid w:val="00A928D2"/>
    <w:rsid w:val="00A9633F"/>
    <w:rsid w:val="00AA246C"/>
    <w:rsid w:val="00AA3944"/>
    <w:rsid w:val="00AB0621"/>
    <w:rsid w:val="00AB143C"/>
    <w:rsid w:val="00AB6A8A"/>
    <w:rsid w:val="00AB78CF"/>
    <w:rsid w:val="00AE0682"/>
    <w:rsid w:val="00AE3241"/>
    <w:rsid w:val="00AE42CB"/>
    <w:rsid w:val="00AE767D"/>
    <w:rsid w:val="00B06FCC"/>
    <w:rsid w:val="00B122E9"/>
    <w:rsid w:val="00B12389"/>
    <w:rsid w:val="00B13598"/>
    <w:rsid w:val="00B15F71"/>
    <w:rsid w:val="00B16C29"/>
    <w:rsid w:val="00B223C9"/>
    <w:rsid w:val="00B32FD8"/>
    <w:rsid w:val="00B4178D"/>
    <w:rsid w:val="00B42D63"/>
    <w:rsid w:val="00B43DD3"/>
    <w:rsid w:val="00B47F37"/>
    <w:rsid w:val="00B56803"/>
    <w:rsid w:val="00B757E2"/>
    <w:rsid w:val="00B8067B"/>
    <w:rsid w:val="00B8505E"/>
    <w:rsid w:val="00B95DF0"/>
    <w:rsid w:val="00B9731E"/>
    <w:rsid w:val="00BB1AFD"/>
    <w:rsid w:val="00BB5579"/>
    <w:rsid w:val="00BC6170"/>
    <w:rsid w:val="00BD032F"/>
    <w:rsid w:val="00BE0511"/>
    <w:rsid w:val="00BE1AAF"/>
    <w:rsid w:val="00BE2524"/>
    <w:rsid w:val="00C04BE1"/>
    <w:rsid w:val="00C07223"/>
    <w:rsid w:val="00C14189"/>
    <w:rsid w:val="00C1516F"/>
    <w:rsid w:val="00C2121C"/>
    <w:rsid w:val="00C312F3"/>
    <w:rsid w:val="00C31C40"/>
    <w:rsid w:val="00C33F85"/>
    <w:rsid w:val="00C357BA"/>
    <w:rsid w:val="00C3677B"/>
    <w:rsid w:val="00C42323"/>
    <w:rsid w:val="00C441E6"/>
    <w:rsid w:val="00C50064"/>
    <w:rsid w:val="00C5638F"/>
    <w:rsid w:val="00C56F3A"/>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07"/>
    <w:rsid w:val="00D038BF"/>
    <w:rsid w:val="00D066CD"/>
    <w:rsid w:val="00D104BB"/>
    <w:rsid w:val="00D114C4"/>
    <w:rsid w:val="00D167B0"/>
    <w:rsid w:val="00D23BBE"/>
    <w:rsid w:val="00D27EF0"/>
    <w:rsid w:val="00D322D6"/>
    <w:rsid w:val="00D376A7"/>
    <w:rsid w:val="00D42740"/>
    <w:rsid w:val="00D51F05"/>
    <w:rsid w:val="00D60616"/>
    <w:rsid w:val="00D61172"/>
    <w:rsid w:val="00D61F16"/>
    <w:rsid w:val="00D62110"/>
    <w:rsid w:val="00D63390"/>
    <w:rsid w:val="00D6369F"/>
    <w:rsid w:val="00D65A88"/>
    <w:rsid w:val="00D65D79"/>
    <w:rsid w:val="00D847C6"/>
    <w:rsid w:val="00D8677C"/>
    <w:rsid w:val="00D87030"/>
    <w:rsid w:val="00D947B4"/>
    <w:rsid w:val="00D95878"/>
    <w:rsid w:val="00DA24DA"/>
    <w:rsid w:val="00DA58E0"/>
    <w:rsid w:val="00DA5917"/>
    <w:rsid w:val="00DB0A5E"/>
    <w:rsid w:val="00DB45A7"/>
    <w:rsid w:val="00DB497C"/>
    <w:rsid w:val="00DB7628"/>
    <w:rsid w:val="00DC256F"/>
    <w:rsid w:val="00DC2A7E"/>
    <w:rsid w:val="00DC573F"/>
    <w:rsid w:val="00DD6D16"/>
    <w:rsid w:val="00DE6294"/>
    <w:rsid w:val="00DE6F6F"/>
    <w:rsid w:val="00DF79B9"/>
    <w:rsid w:val="00E02103"/>
    <w:rsid w:val="00E034D3"/>
    <w:rsid w:val="00E103E5"/>
    <w:rsid w:val="00E360EA"/>
    <w:rsid w:val="00E41378"/>
    <w:rsid w:val="00E4274D"/>
    <w:rsid w:val="00E4584B"/>
    <w:rsid w:val="00E46EC8"/>
    <w:rsid w:val="00E50360"/>
    <w:rsid w:val="00E515C8"/>
    <w:rsid w:val="00E55471"/>
    <w:rsid w:val="00E601E4"/>
    <w:rsid w:val="00E67736"/>
    <w:rsid w:val="00E70323"/>
    <w:rsid w:val="00E730D5"/>
    <w:rsid w:val="00E73AA7"/>
    <w:rsid w:val="00E84848"/>
    <w:rsid w:val="00E84B37"/>
    <w:rsid w:val="00E91847"/>
    <w:rsid w:val="00EA2661"/>
    <w:rsid w:val="00EA2B3A"/>
    <w:rsid w:val="00EB1F29"/>
    <w:rsid w:val="00EC0BF2"/>
    <w:rsid w:val="00EC6E65"/>
    <w:rsid w:val="00EC7BFA"/>
    <w:rsid w:val="00ED51A1"/>
    <w:rsid w:val="00ED5B34"/>
    <w:rsid w:val="00ED5C53"/>
    <w:rsid w:val="00EE020F"/>
    <w:rsid w:val="00EE0B7C"/>
    <w:rsid w:val="00EE5055"/>
    <w:rsid w:val="00EE60BC"/>
    <w:rsid w:val="00EE711F"/>
    <w:rsid w:val="00EF63E0"/>
    <w:rsid w:val="00EF642C"/>
    <w:rsid w:val="00F04C73"/>
    <w:rsid w:val="00F077DE"/>
    <w:rsid w:val="00F125DD"/>
    <w:rsid w:val="00F274C0"/>
    <w:rsid w:val="00F34494"/>
    <w:rsid w:val="00F3584A"/>
    <w:rsid w:val="00F40812"/>
    <w:rsid w:val="00F454CC"/>
    <w:rsid w:val="00F476E9"/>
    <w:rsid w:val="00F51618"/>
    <w:rsid w:val="00F61F23"/>
    <w:rsid w:val="00F62865"/>
    <w:rsid w:val="00F72CB3"/>
    <w:rsid w:val="00F7368A"/>
    <w:rsid w:val="00F74316"/>
    <w:rsid w:val="00F815FA"/>
    <w:rsid w:val="00F81CC3"/>
    <w:rsid w:val="00F850E2"/>
    <w:rsid w:val="00F85DFA"/>
    <w:rsid w:val="00F86E49"/>
    <w:rsid w:val="00F95BB9"/>
    <w:rsid w:val="00F96A29"/>
    <w:rsid w:val="00FA0457"/>
    <w:rsid w:val="00FA1432"/>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2012-06-08T08:24:00Z</cp:lastPrinted>
  <dcterms:created xsi:type="dcterms:W3CDTF">2015-09-17T10:18:00Z</dcterms:created>
  <dcterms:modified xsi:type="dcterms:W3CDTF">2015-09-17T10:18:00Z</dcterms:modified>
</cp:coreProperties>
</file>