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3CAC" w14:textId="77777777" w:rsidR="007316DB" w:rsidRDefault="007316DB">
      <w:pPr>
        <w:rPr>
          <w:sz w:val="20"/>
          <w:szCs w:val="20"/>
        </w:rPr>
      </w:pPr>
      <w:bookmarkStart w:id="0" w:name="_GoBack"/>
      <w:bookmarkEnd w:id="0"/>
    </w:p>
    <w:p w14:paraId="7FB751CC" w14:textId="77777777" w:rsidR="008960B2" w:rsidRDefault="008960B2" w:rsidP="008960B2">
      <w:pPr>
        <w:rPr>
          <w:lang w:val="en-ZA"/>
        </w:rPr>
      </w:pPr>
      <w:r>
        <w:rPr>
          <w:noProof/>
          <w:lang w:val="en-ZA" w:eastAsia="en-ZA"/>
        </w:rPr>
        <w:drawing>
          <wp:anchor distT="0" distB="0" distL="0" distR="0" simplePos="0" relativeHeight="251659776" behindDoc="0" locked="0" layoutInCell="1" allowOverlap="0" wp14:anchorId="5DBD5982" wp14:editId="441FABA4">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36C9EB9B" w14:textId="77777777" w:rsidR="008960B2" w:rsidRDefault="008960B2" w:rsidP="008960B2">
      <w:pPr>
        <w:rPr>
          <w:lang w:val="en-ZA"/>
        </w:rPr>
      </w:pPr>
    </w:p>
    <w:p w14:paraId="7B6073BE" w14:textId="77777777" w:rsidR="008960B2" w:rsidRDefault="008960B2" w:rsidP="008960B2">
      <w:pPr>
        <w:rPr>
          <w:lang w:val="en-ZA"/>
        </w:rPr>
      </w:pPr>
    </w:p>
    <w:p w14:paraId="3E454971" w14:textId="77777777" w:rsidR="008960B2" w:rsidRDefault="008960B2" w:rsidP="008960B2">
      <w:pPr>
        <w:rPr>
          <w:lang w:val="en-ZA"/>
        </w:rPr>
      </w:pPr>
    </w:p>
    <w:p w14:paraId="031F52FD" w14:textId="77777777" w:rsidR="008960B2" w:rsidRDefault="008960B2" w:rsidP="008960B2">
      <w:pPr>
        <w:rPr>
          <w:lang w:val="en-ZA"/>
        </w:rPr>
      </w:pPr>
    </w:p>
    <w:p w14:paraId="63BF6CB4" w14:textId="77777777" w:rsidR="008960B2" w:rsidRDefault="008960B2" w:rsidP="008960B2">
      <w:pPr>
        <w:rPr>
          <w:lang w:val="en-ZA"/>
        </w:rPr>
      </w:pPr>
    </w:p>
    <w:p w14:paraId="41BA2975" w14:textId="77777777" w:rsidR="008960B2" w:rsidRDefault="008960B2" w:rsidP="008960B2">
      <w:pPr>
        <w:pStyle w:val="BodyText"/>
        <w:spacing w:after="0"/>
        <w:jc w:val="center"/>
        <w:outlineLvl w:val="0"/>
        <w:rPr>
          <w:rFonts w:ascii="Arial" w:hAnsi="Arial" w:cs="Arial"/>
          <w:b/>
          <w:bCs/>
        </w:rPr>
      </w:pPr>
    </w:p>
    <w:p w14:paraId="1DD545D9" w14:textId="77777777" w:rsidR="008960B2" w:rsidRDefault="008960B2" w:rsidP="008960B2">
      <w:pPr>
        <w:jc w:val="center"/>
      </w:pPr>
    </w:p>
    <w:p w14:paraId="19E54F3B" w14:textId="77777777" w:rsidR="008960B2" w:rsidRDefault="008960B2" w:rsidP="008960B2">
      <w:pPr>
        <w:pStyle w:val="NoSpacing"/>
        <w:rPr>
          <w:b/>
          <w:color w:val="4F6228"/>
          <w:sz w:val="16"/>
          <w:szCs w:val="16"/>
        </w:rPr>
      </w:pPr>
    </w:p>
    <w:p w14:paraId="0D1D4328"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14:paraId="36A61C44"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14:paraId="1D97222A" w14:textId="77777777" w:rsidR="008960B2" w:rsidRPr="00987C9F" w:rsidRDefault="008960B2" w:rsidP="002D67AB">
      <w:pPr>
        <w:rPr>
          <w:rFonts w:ascii="Tahoma" w:hAnsi="Tahoma" w:cs="Tahoma"/>
          <w:b/>
          <w:bCs/>
          <w:sz w:val="22"/>
          <w:szCs w:val="22"/>
        </w:rPr>
      </w:pPr>
      <w:r w:rsidRPr="00987C9F">
        <w:rPr>
          <w:rFonts w:ascii="Tahoma" w:hAnsi="Tahoma" w:cs="Tahoma"/>
          <w:b/>
          <w:bCs/>
          <w:sz w:val="22"/>
          <w:szCs w:val="22"/>
        </w:rPr>
        <w:t>NATIONAL ASSEMBLY</w:t>
      </w:r>
    </w:p>
    <w:p w14:paraId="4A066758" w14:textId="77777777" w:rsidR="008960B2" w:rsidRPr="00694D5B" w:rsidRDefault="008960B2" w:rsidP="008960B2">
      <w:pPr>
        <w:jc w:val="center"/>
        <w:rPr>
          <w:rFonts w:ascii="Tahoma" w:hAnsi="Tahoma" w:cs="Tahoma"/>
          <w:b/>
          <w:bCs/>
          <w:sz w:val="16"/>
          <w:szCs w:val="16"/>
        </w:rPr>
      </w:pPr>
    </w:p>
    <w:p w14:paraId="72B77CBF" w14:textId="77777777" w:rsidR="008B7B99" w:rsidRPr="008B7B99" w:rsidRDefault="002D67AB" w:rsidP="008B7B99">
      <w:pPr>
        <w:spacing w:before="100" w:beforeAutospacing="1" w:after="100" w:afterAutospacing="1" w:line="360" w:lineRule="auto"/>
        <w:ind w:left="720" w:hanging="720"/>
        <w:jc w:val="both"/>
        <w:outlineLvl w:val="0"/>
        <w:rPr>
          <w:rFonts w:ascii="Arial" w:hAnsi="Arial" w:cs="Arial"/>
          <w:b/>
        </w:rPr>
      </w:pPr>
      <w:r>
        <w:rPr>
          <w:rFonts w:ascii="Arial" w:hAnsi="Arial" w:cs="Arial"/>
          <w:b/>
        </w:rPr>
        <w:t xml:space="preserve">3242: </w:t>
      </w:r>
      <w:r w:rsidR="008B7B99" w:rsidRPr="008B7B99">
        <w:rPr>
          <w:rFonts w:ascii="Arial" w:hAnsi="Arial" w:cs="Arial"/>
          <w:b/>
        </w:rPr>
        <w:t>Mr S C Motau (DA) to ask the Minister of Public Enterprises:</w:t>
      </w:r>
    </w:p>
    <w:p w14:paraId="0439AD2B" w14:textId="77777777" w:rsidR="008B7B99" w:rsidRPr="008B7B99" w:rsidRDefault="008B7B99" w:rsidP="008B7B99">
      <w:pPr>
        <w:spacing w:before="100" w:beforeAutospacing="1" w:after="100" w:afterAutospacing="1" w:line="360" w:lineRule="auto"/>
        <w:jc w:val="both"/>
        <w:outlineLvl w:val="0"/>
        <w:rPr>
          <w:rFonts w:ascii="Arial" w:hAnsi="Arial" w:cs="Arial"/>
        </w:rPr>
      </w:pPr>
      <w:r w:rsidRPr="008B7B99">
        <w:rPr>
          <w:rFonts w:ascii="Arial" w:hAnsi="Arial" w:cs="Arial"/>
        </w:rPr>
        <w:t xml:space="preserve">What (a) amount did (i) his department and (ii) each entity reporting to him borrow from any entity in the People’s Republic of China (aa) in each of the past three financial years and (bb) </w:t>
      </w:r>
      <w:r w:rsidRPr="008B7B99">
        <w:rPr>
          <w:rFonts w:ascii="Arial" w:hAnsi="Arial" w:cs="Arial"/>
          <w:lang w:val="en"/>
        </w:rPr>
        <w:t>since</w:t>
      </w:r>
      <w:r w:rsidRPr="008B7B99">
        <w:rPr>
          <w:rFonts w:ascii="Arial" w:hAnsi="Arial" w:cs="Arial"/>
        </w:rPr>
        <w:t xml:space="preserve"> 1 April 2018, (b) is the name of the lender of each loan, (c) conditions are attached to each loan and (d) are the repayment periods for each loan in each case? </w:t>
      </w:r>
      <w:r w:rsidRPr="008B7B99">
        <w:rPr>
          <w:rFonts w:ascii="Arial" w:hAnsi="Arial" w:cs="Arial"/>
        </w:rPr>
        <w:tab/>
      </w:r>
      <w:r w:rsidRPr="008B7B9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B7B99">
        <w:rPr>
          <w:rFonts w:ascii="Arial" w:hAnsi="Arial" w:cs="Arial"/>
          <w:lang w:val="en"/>
        </w:rPr>
        <w:t>NW3672E</w:t>
      </w:r>
    </w:p>
    <w:p w14:paraId="33B4EED0" w14:textId="77777777" w:rsidR="003478BD" w:rsidRDefault="003478BD" w:rsidP="003478BD">
      <w:pPr>
        <w:spacing w:line="360" w:lineRule="auto"/>
        <w:jc w:val="both"/>
        <w:outlineLvl w:val="0"/>
        <w:rPr>
          <w:rFonts w:ascii="Arial" w:hAnsi="Arial" w:cs="Arial"/>
          <w:b/>
          <w:u w:val="single"/>
        </w:rPr>
      </w:pPr>
      <w:r w:rsidRPr="00641791">
        <w:rPr>
          <w:rFonts w:ascii="Arial" w:hAnsi="Arial" w:cs="Arial"/>
          <w:b/>
          <w:u w:val="single"/>
        </w:rPr>
        <w:t>REPLY:</w:t>
      </w:r>
    </w:p>
    <w:p w14:paraId="3F3A7123" w14:textId="77777777" w:rsidR="00FE432D" w:rsidRDefault="00FE432D" w:rsidP="003478BD">
      <w:pPr>
        <w:spacing w:line="360" w:lineRule="auto"/>
        <w:jc w:val="both"/>
        <w:outlineLvl w:val="0"/>
        <w:rPr>
          <w:rFonts w:ascii="Arial" w:hAnsi="Arial" w:cs="Arial"/>
          <w:b/>
          <w:u w:val="single"/>
        </w:rPr>
      </w:pPr>
    </w:p>
    <w:p w14:paraId="401321CF" w14:textId="77777777" w:rsidR="00FE432D" w:rsidRDefault="00FE432D" w:rsidP="003478BD">
      <w:pPr>
        <w:spacing w:line="360" w:lineRule="auto"/>
        <w:jc w:val="both"/>
        <w:outlineLvl w:val="0"/>
        <w:rPr>
          <w:rFonts w:ascii="Arial" w:hAnsi="Arial" w:cs="Arial"/>
          <w:b/>
          <w:u w:val="single"/>
        </w:rPr>
      </w:pPr>
      <w:r>
        <w:rPr>
          <w:rFonts w:ascii="Arial" w:hAnsi="Arial" w:cs="Arial"/>
          <w:b/>
          <w:u w:val="single"/>
        </w:rPr>
        <w:t>DPE RESPONSE</w:t>
      </w:r>
    </w:p>
    <w:p w14:paraId="3904D0BA" w14:textId="77777777" w:rsidR="00FE432D" w:rsidRPr="00FE432D" w:rsidRDefault="00FE432D" w:rsidP="00FE432D">
      <w:pPr>
        <w:tabs>
          <w:tab w:val="left" w:pos="630"/>
        </w:tabs>
        <w:spacing w:before="100" w:beforeAutospacing="1" w:after="100" w:afterAutospacing="1"/>
        <w:jc w:val="both"/>
        <w:outlineLvl w:val="0"/>
        <w:rPr>
          <w:rFonts w:ascii="Arial" w:hAnsi="Arial" w:cs="Arial"/>
        </w:rPr>
      </w:pPr>
      <w:r w:rsidRPr="00FE432D">
        <w:rPr>
          <w:rFonts w:ascii="Arial" w:hAnsi="Arial" w:cs="Arial"/>
        </w:rPr>
        <w:t>The Department of Public Enterprises did not borrow any money from any entity in the People’s Republic of China in the past three financial years to date.</w:t>
      </w:r>
    </w:p>
    <w:p w14:paraId="08C830D6" w14:textId="77777777" w:rsidR="003478BD" w:rsidRPr="00641791" w:rsidRDefault="003478BD" w:rsidP="00055965">
      <w:pPr>
        <w:spacing w:before="100" w:beforeAutospacing="1" w:after="100" w:afterAutospacing="1" w:line="360" w:lineRule="auto"/>
        <w:jc w:val="both"/>
        <w:outlineLvl w:val="0"/>
        <w:rPr>
          <w:rFonts w:ascii="Arial" w:hAnsi="Arial" w:cs="Arial"/>
          <w:b/>
        </w:rPr>
      </w:pPr>
      <w:r w:rsidRPr="00641791">
        <w:rPr>
          <w:rFonts w:ascii="Arial" w:hAnsi="Arial" w:cs="Arial"/>
          <w:b/>
        </w:rPr>
        <w:t>According to the information received from Eskom</w:t>
      </w:r>
    </w:p>
    <w:p w14:paraId="03063D3D" w14:textId="77777777" w:rsidR="00B4712D" w:rsidRPr="00B4712D" w:rsidRDefault="00B4712D" w:rsidP="00B4712D">
      <w:pPr>
        <w:widowControl w:val="0"/>
        <w:suppressAutoHyphens/>
        <w:spacing w:line="360" w:lineRule="auto"/>
        <w:jc w:val="both"/>
        <w:rPr>
          <w:rFonts w:ascii="Arial" w:eastAsia="Arial Unicode MS" w:hAnsi="Arial" w:cs="Arial"/>
          <w:lang w:eastAsia="en-PH"/>
        </w:rPr>
      </w:pPr>
      <w:r w:rsidRPr="00B4712D">
        <w:rPr>
          <w:rFonts w:ascii="Arial" w:eastAsia="Arial Unicode MS" w:hAnsi="Arial" w:cs="Arial"/>
          <w:lang w:eastAsia="en-PH"/>
        </w:rPr>
        <w:t xml:space="preserve">(a)(i) </w:t>
      </w:r>
    </w:p>
    <w:p w14:paraId="2168092E" w14:textId="77777777" w:rsidR="00B4712D" w:rsidRPr="00DD1D24" w:rsidRDefault="00DD1D24" w:rsidP="00B4712D">
      <w:pPr>
        <w:spacing w:after="100" w:afterAutospacing="1" w:line="360" w:lineRule="auto"/>
        <w:jc w:val="both"/>
        <w:rPr>
          <w:rFonts w:ascii="Arial" w:eastAsia="Arial Unicode MS" w:hAnsi="Arial" w:cs="Arial"/>
          <w:lang w:eastAsia="en-PH"/>
        </w:rPr>
      </w:pPr>
      <w:r w:rsidRPr="00DD1D24">
        <w:rPr>
          <w:rFonts w:ascii="Arial" w:hAnsi="Arial" w:cs="Arial"/>
        </w:rPr>
        <w:t>The Department of Public Enterprises did not borrow any money from any entity in the People’s Republic of China in the past three financial years to date</w:t>
      </w:r>
      <w:r w:rsidR="00B4712D" w:rsidRPr="00DD1D24">
        <w:rPr>
          <w:rFonts w:ascii="Arial" w:eastAsia="Arial Unicode MS" w:hAnsi="Arial" w:cs="Arial"/>
          <w:lang w:eastAsia="en-PH"/>
        </w:rPr>
        <w:t>.</w:t>
      </w:r>
    </w:p>
    <w:p w14:paraId="2F34F026" w14:textId="77777777" w:rsidR="00B4712D" w:rsidRPr="00B4712D" w:rsidRDefault="00B4712D" w:rsidP="00B4712D">
      <w:pPr>
        <w:widowControl w:val="0"/>
        <w:suppressAutoHyphens/>
        <w:spacing w:line="360" w:lineRule="auto"/>
        <w:jc w:val="both"/>
        <w:rPr>
          <w:rFonts w:ascii="Arial" w:eastAsia="Arial Unicode MS" w:hAnsi="Arial" w:cs="Arial"/>
          <w:lang w:eastAsia="en-PH"/>
        </w:rPr>
      </w:pPr>
      <w:r w:rsidRPr="00B4712D">
        <w:rPr>
          <w:rFonts w:ascii="Arial" w:eastAsia="Arial Unicode MS" w:hAnsi="Arial" w:cs="Arial"/>
          <w:lang w:eastAsia="en-PH"/>
        </w:rPr>
        <w:t xml:space="preserve">(a)(ii) </w:t>
      </w:r>
    </w:p>
    <w:p w14:paraId="1CEDA265" w14:textId="77777777" w:rsidR="00B4712D" w:rsidRPr="00B4712D" w:rsidRDefault="00B4712D" w:rsidP="00B4712D">
      <w:pPr>
        <w:widowControl w:val="0"/>
        <w:suppressAutoHyphens/>
        <w:spacing w:line="360" w:lineRule="auto"/>
        <w:jc w:val="both"/>
        <w:rPr>
          <w:rFonts w:ascii="Arial" w:hAnsi="Arial" w:cs="Arial"/>
        </w:rPr>
      </w:pPr>
      <w:r w:rsidRPr="00B4712D">
        <w:rPr>
          <w:rFonts w:ascii="Arial" w:eastAsia="Arial Unicode MS" w:hAnsi="Arial" w:cs="Arial"/>
          <w:lang w:eastAsia="en-PH"/>
        </w:rPr>
        <w:t>Annexure A provides amount borrowed from China Development Loan (CDB) in each of the past three</w:t>
      </w:r>
      <w:r w:rsidRPr="00B4712D">
        <w:rPr>
          <w:rFonts w:ascii="Arial" w:hAnsi="Arial" w:cs="Arial"/>
        </w:rPr>
        <w:t xml:space="preserve"> financial years and </w:t>
      </w:r>
      <w:r w:rsidRPr="00B4712D">
        <w:rPr>
          <w:rFonts w:ascii="Arial" w:hAnsi="Arial" w:cs="Arial"/>
          <w:lang w:val="en"/>
        </w:rPr>
        <w:t>since</w:t>
      </w:r>
      <w:r w:rsidRPr="00B4712D">
        <w:rPr>
          <w:rFonts w:ascii="Arial" w:hAnsi="Arial" w:cs="Arial"/>
        </w:rPr>
        <w:t xml:space="preserve"> 1 April 2018; the name of the lender of each loan,</w:t>
      </w:r>
      <w:r>
        <w:rPr>
          <w:rFonts w:ascii="Arial" w:hAnsi="Arial" w:cs="Arial"/>
        </w:rPr>
        <w:t xml:space="preserve"> </w:t>
      </w:r>
      <w:r w:rsidRPr="00B4712D">
        <w:rPr>
          <w:rFonts w:ascii="Arial" w:hAnsi="Arial" w:cs="Arial"/>
        </w:rPr>
        <w:t>conditions attached to each loan and the repayment periods for each loan.</w:t>
      </w:r>
    </w:p>
    <w:p w14:paraId="637BC632" w14:textId="77777777" w:rsidR="00B4712D" w:rsidRDefault="00B4712D" w:rsidP="00B4712D">
      <w:pPr>
        <w:spacing w:line="360" w:lineRule="auto"/>
        <w:jc w:val="both"/>
        <w:rPr>
          <w:rFonts w:ascii="Arial" w:hAnsi="Arial" w:cs="Arial"/>
          <w:bCs/>
        </w:rPr>
      </w:pPr>
      <w:r w:rsidRPr="00B4712D">
        <w:rPr>
          <w:rFonts w:ascii="Arial" w:hAnsi="Arial" w:cs="Arial"/>
          <w:bCs/>
        </w:rPr>
        <w:t>Eskom wishes not to disclose full terms and conditions of the loans as this information is commercially sensitive and would constitute breach of confidence.</w:t>
      </w:r>
    </w:p>
    <w:p w14:paraId="1E6F4D46" w14:textId="77777777" w:rsidR="00572F74" w:rsidRPr="00B4712D" w:rsidRDefault="00572F74" w:rsidP="00B4712D">
      <w:pPr>
        <w:spacing w:line="360" w:lineRule="auto"/>
        <w:jc w:val="both"/>
        <w:rPr>
          <w:rFonts w:ascii="Arial" w:hAnsi="Arial" w:cs="Arial"/>
          <w:bCs/>
        </w:rPr>
      </w:pPr>
    </w:p>
    <w:p w14:paraId="2EF4397E" w14:textId="77777777" w:rsidR="00572F74" w:rsidRDefault="00572F74" w:rsidP="00572F74">
      <w:pPr>
        <w:spacing w:line="360" w:lineRule="auto"/>
        <w:jc w:val="both"/>
        <w:rPr>
          <w:rFonts w:ascii="Arial" w:hAnsi="Arial" w:cs="Arial"/>
          <w:b/>
          <w:bCs/>
          <w:sz w:val="22"/>
          <w:szCs w:val="22"/>
        </w:rPr>
      </w:pPr>
      <w:r>
        <w:rPr>
          <w:rFonts w:ascii="Arial" w:hAnsi="Arial" w:cs="Arial"/>
          <w:b/>
          <w:bCs/>
          <w:sz w:val="22"/>
          <w:szCs w:val="22"/>
        </w:rPr>
        <w:t>R</w:t>
      </w:r>
      <w:r w:rsidRPr="009F03EA">
        <w:rPr>
          <w:rFonts w:ascii="Arial" w:hAnsi="Arial" w:cs="Arial"/>
          <w:b/>
          <w:bCs/>
          <w:sz w:val="22"/>
          <w:szCs w:val="22"/>
        </w:rPr>
        <w:t xml:space="preserve">esponse is according to information received from </w:t>
      </w:r>
      <w:r>
        <w:rPr>
          <w:rFonts w:ascii="Arial" w:hAnsi="Arial" w:cs="Arial"/>
          <w:b/>
          <w:bCs/>
          <w:sz w:val="22"/>
          <w:szCs w:val="22"/>
        </w:rPr>
        <w:t>South African Airways:</w:t>
      </w:r>
    </w:p>
    <w:p w14:paraId="6A4E600D" w14:textId="77777777" w:rsidR="00572F74" w:rsidRDefault="00572F74" w:rsidP="00572F74">
      <w:pPr>
        <w:spacing w:line="276" w:lineRule="auto"/>
        <w:jc w:val="both"/>
        <w:rPr>
          <w:rFonts w:ascii="Arial" w:hAnsi="Arial" w:cs="Arial"/>
          <w:bCs/>
          <w:sz w:val="22"/>
          <w:szCs w:val="22"/>
          <w:lang w:val="en-ZA"/>
        </w:rPr>
      </w:pPr>
    </w:p>
    <w:p w14:paraId="5BC7C549" w14:textId="77777777" w:rsidR="00572F74" w:rsidRPr="00DC2503" w:rsidRDefault="00572F74" w:rsidP="00572F74">
      <w:pPr>
        <w:spacing w:line="276" w:lineRule="auto"/>
        <w:jc w:val="both"/>
        <w:rPr>
          <w:rFonts w:ascii="Arial" w:hAnsi="Arial" w:cs="Arial"/>
          <w:bCs/>
          <w:szCs w:val="22"/>
          <w:lang w:val="en-ZA"/>
        </w:rPr>
      </w:pPr>
      <w:r w:rsidRPr="00EE3296">
        <w:rPr>
          <w:rFonts w:ascii="Arial" w:hAnsi="Arial" w:cs="Arial"/>
          <w:bCs/>
          <w:sz w:val="22"/>
          <w:szCs w:val="22"/>
          <w:lang w:val="en-ZA"/>
        </w:rPr>
        <w:lastRenderedPageBreak/>
        <w:t xml:space="preserve">South African </w:t>
      </w:r>
      <w:r>
        <w:rPr>
          <w:rFonts w:ascii="Arial" w:hAnsi="Arial" w:cs="Arial"/>
          <w:bCs/>
          <w:sz w:val="22"/>
          <w:szCs w:val="22"/>
          <w:lang w:val="en-ZA"/>
        </w:rPr>
        <w:t>Airways has no loan agreements from any entity in the People’s Republic of China.</w:t>
      </w:r>
    </w:p>
    <w:p w14:paraId="19E8774F" w14:textId="77777777" w:rsidR="00572F74" w:rsidRDefault="00572F74" w:rsidP="00FE432D">
      <w:pPr>
        <w:spacing w:line="360" w:lineRule="auto"/>
        <w:jc w:val="both"/>
        <w:rPr>
          <w:rFonts w:ascii="Arial" w:hAnsi="Arial" w:cs="Arial"/>
          <w:b/>
          <w:bCs/>
          <w:sz w:val="22"/>
          <w:szCs w:val="22"/>
        </w:rPr>
      </w:pPr>
    </w:p>
    <w:p w14:paraId="0635D9DC" w14:textId="77777777" w:rsidR="00FE432D" w:rsidRDefault="00572F74" w:rsidP="00FE432D">
      <w:pPr>
        <w:spacing w:line="360" w:lineRule="auto"/>
        <w:jc w:val="both"/>
        <w:rPr>
          <w:rFonts w:ascii="Arial" w:hAnsi="Arial" w:cs="Arial"/>
          <w:b/>
          <w:bCs/>
          <w:sz w:val="22"/>
          <w:szCs w:val="22"/>
        </w:rPr>
      </w:pPr>
      <w:r>
        <w:rPr>
          <w:rFonts w:ascii="Arial" w:hAnsi="Arial" w:cs="Arial"/>
          <w:b/>
          <w:bCs/>
          <w:sz w:val="22"/>
          <w:szCs w:val="22"/>
        </w:rPr>
        <w:t>R</w:t>
      </w:r>
      <w:r w:rsidR="00FE432D" w:rsidRPr="009F03EA">
        <w:rPr>
          <w:rFonts w:ascii="Arial" w:hAnsi="Arial" w:cs="Arial"/>
          <w:b/>
          <w:bCs/>
          <w:sz w:val="22"/>
          <w:szCs w:val="22"/>
        </w:rPr>
        <w:t xml:space="preserve">esponse is according to information received from </w:t>
      </w:r>
      <w:r w:rsidR="00FE432D">
        <w:rPr>
          <w:rFonts w:ascii="Arial" w:hAnsi="Arial" w:cs="Arial"/>
          <w:b/>
          <w:bCs/>
          <w:sz w:val="22"/>
          <w:szCs w:val="22"/>
        </w:rPr>
        <w:t>South African Express:</w:t>
      </w:r>
    </w:p>
    <w:p w14:paraId="5AF37D53" w14:textId="77777777" w:rsidR="00572F74" w:rsidRDefault="00572F74" w:rsidP="00FE432D">
      <w:pPr>
        <w:spacing w:line="276" w:lineRule="auto"/>
        <w:jc w:val="both"/>
        <w:rPr>
          <w:rFonts w:ascii="Arial" w:hAnsi="Arial" w:cs="Arial"/>
          <w:bCs/>
          <w:sz w:val="22"/>
          <w:szCs w:val="22"/>
          <w:lang w:val="en-ZA"/>
        </w:rPr>
      </w:pPr>
    </w:p>
    <w:p w14:paraId="4A1BC007" w14:textId="77777777" w:rsidR="00FE432D" w:rsidRPr="00DC2503" w:rsidRDefault="00FE432D" w:rsidP="00FE432D">
      <w:pPr>
        <w:spacing w:line="276" w:lineRule="auto"/>
        <w:jc w:val="both"/>
        <w:rPr>
          <w:rFonts w:ascii="Arial" w:hAnsi="Arial" w:cs="Arial"/>
          <w:bCs/>
          <w:szCs w:val="22"/>
          <w:lang w:val="en-ZA"/>
        </w:rPr>
      </w:pPr>
      <w:r w:rsidRPr="00EE3296">
        <w:rPr>
          <w:rFonts w:ascii="Arial" w:hAnsi="Arial" w:cs="Arial"/>
          <w:bCs/>
          <w:sz w:val="22"/>
          <w:szCs w:val="22"/>
          <w:lang w:val="en-ZA"/>
        </w:rPr>
        <w:t xml:space="preserve">South African </w:t>
      </w:r>
      <w:r>
        <w:rPr>
          <w:rFonts w:ascii="Arial" w:hAnsi="Arial" w:cs="Arial"/>
          <w:bCs/>
          <w:sz w:val="22"/>
          <w:szCs w:val="22"/>
          <w:lang w:val="en-ZA"/>
        </w:rPr>
        <w:t>Express has not raised any loans with the People’s Republic of China in the past three years.</w:t>
      </w:r>
    </w:p>
    <w:p w14:paraId="25A2B572" w14:textId="77777777" w:rsidR="00FE432D" w:rsidRDefault="00FE432D" w:rsidP="00B4712D">
      <w:pPr>
        <w:autoSpaceDE w:val="0"/>
        <w:autoSpaceDN w:val="0"/>
        <w:adjustRightInd w:val="0"/>
        <w:jc w:val="both"/>
        <w:rPr>
          <w:rFonts w:ascii="Arial" w:hAnsi="Arial" w:cs="Arial"/>
          <w:sz w:val="22"/>
          <w:szCs w:val="22"/>
          <w:lang w:eastAsia="en-ZA"/>
        </w:rPr>
      </w:pPr>
    </w:p>
    <w:p w14:paraId="6E179547" w14:textId="77777777" w:rsidR="00FE432D" w:rsidRDefault="00FE432D" w:rsidP="00B4712D">
      <w:pPr>
        <w:autoSpaceDE w:val="0"/>
        <w:autoSpaceDN w:val="0"/>
        <w:adjustRightInd w:val="0"/>
        <w:jc w:val="both"/>
        <w:rPr>
          <w:rFonts w:ascii="Arial" w:hAnsi="Arial" w:cs="Arial"/>
          <w:sz w:val="22"/>
          <w:szCs w:val="22"/>
          <w:lang w:eastAsia="en-ZA"/>
        </w:rPr>
      </w:pPr>
    </w:p>
    <w:p w14:paraId="19C6ADD8" w14:textId="77777777" w:rsidR="00FE432D" w:rsidRDefault="00FE432D" w:rsidP="00B4712D">
      <w:pPr>
        <w:autoSpaceDE w:val="0"/>
        <w:autoSpaceDN w:val="0"/>
        <w:adjustRightInd w:val="0"/>
        <w:jc w:val="both"/>
        <w:rPr>
          <w:rFonts w:ascii="Arial" w:hAnsi="Arial" w:cs="Arial"/>
          <w:sz w:val="22"/>
          <w:szCs w:val="22"/>
          <w:lang w:eastAsia="en-ZA"/>
        </w:rPr>
      </w:pPr>
    </w:p>
    <w:p w14:paraId="7608046B" w14:textId="77777777" w:rsidR="00FE432D" w:rsidRDefault="00FE432D" w:rsidP="00B4712D">
      <w:pPr>
        <w:autoSpaceDE w:val="0"/>
        <w:autoSpaceDN w:val="0"/>
        <w:adjustRightInd w:val="0"/>
        <w:jc w:val="both"/>
        <w:rPr>
          <w:rFonts w:ascii="Arial" w:hAnsi="Arial" w:cs="Arial"/>
          <w:sz w:val="22"/>
          <w:szCs w:val="22"/>
          <w:lang w:eastAsia="en-ZA"/>
        </w:rPr>
      </w:pPr>
      <w:r>
        <w:rPr>
          <w:rFonts w:ascii="Arial" w:hAnsi="Arial" w:cs="Arial"/>
          <w:b/>
          <w:bCs/>
          <w:color w:val="FF0000"/>
        </w:rPr>
        <w:t>Al</w:t>
      </w:r>
      <w:r w:rsidRPr="0088024E">
        <w:rPr>
          <w:rFonts w:ascii="Arial" w:hAnsi="Arial" w:cs="Arial"/>
          <w:b/>
          <w:bCs/>
          <w:color w:val="FF0000"/>
        </w:rPr>
        <w:t>exkor, Denel, Safcol</w:t>
      </w:r>
      <w:r w:rsidR="00572F74">
        <w:rPr>
          <w:rFonts w:ascii="Arial" w:hAnsi="Arial" w:cs="Arial"/>
          <w:b/>
          <w:bCs/>
          <w:color w:val="FF0000"/>
        </w:rPr>
        <w:t xml:space="preserve"> and </w:t>
      </w:r>
      <w:r>
        <w:rPr>
          <w:rFonts w:ascii="Arial" w:hAnsi="Arial" w:cs="Arial"/>
          <w:b/>
          <w:bCs/>
          <w:color w:val="FF0000"/>
        </w:rPr>
        <w:t>Transnet</w:t>
      </w:r>
      <w:r w:rsidRPr="0088024E">
        <w:rPr>
          <w:rFonts w:ascii="Arial" w:hAnsi="Arial" w:cs="Arial"/>
          <w:b/>
          <w:bCs/>
          <w:color w:val="FF0000"/>
        </w:rPr>
        <w:t xml:space="preserve"> responses not received.</w:t>
      </w:r>
    </w:p>
    <w:p w14:paraId="2C9E6B9E" w14:textId="77777777" w:rsidR="00CA1C75" w:rsidRPr="00641791" w:rsidRDefault="00CA1C75" w:rsidP="00055965">
      <w:pPr>
        <w:autoSpaceDE w:val="0"/>
        <w:autoSpaceDN w:val="0"/>
        <w:adjustRightInd w:val="0"/>
        <w:spacing w:line="360" w:lineRule="auto"/>
        <w:jc w:val="both"/>
        <w:rPr>
          <w:rFonts w:ascii="Arial" w:hAnsi="Arial" w:cs="Arial"/>
          <w:lang w:eastAsia="en-ZA"/>
        </w:rPr>
      </w:pPr>
    </w:p>
    <w:p w14:paraId="549351DB" w14:textId="77777777" w:rsidR="00FE432D" w:rsidRDefault="00FE432D" w:rsidP="00055965">
      <w:pPr>
        <w:spacing w:line="360" w:lineRule="auto"/>
        <w:contextualSpacing/>
        <w:jc w:val="both"/>
        <w:rPr>
          <w:rFonts w:ascii="Arial" w:hAnsi="Arial" w:cs="Arial"/>
          <w:b/>
          <w:bCs/>
          <w:lang w:val="en-ZA"/>
        </w:rPr>
      </w:pPr>
    </w:p>
    <w:p w14:paraId="32B82703" w14:textId="77777777" w:rsidR="00FE432D" w:rsidRDefault="00FE432D" w:rsidP="00055965">
      <w:pPr>
        <w:spacing w:line="360" w:lineRule="auto"/>
        <w:contextualSpacing/>
        <w:jc w:val="both"/>
        <w:rPr>
          <w:rFonts w:ascii="Arial" w:hAnsi="Arial" w:cs="Arial"/>
          <w:b/>
          <w:bCs/>
          <w:lang w:val="en-ZA"/>
        </w:rPr>
      </w:pPr>
    </w:p>
    <w:sectPr w:rsidR="00FE432D" w:rsidSect="003478BD">
      <w:pgSz w:w="12240" w:h="15840"/>
      <w:pgMar w:top="360" w:right="1467"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53FA7" w14:textId="77777777" w:rsidR="00430A5A" w:rsidRDefault="00430A5A" w:rsidP="006A43DE">
      <w:r>
        <w:separator/>
      </w:r>
    </w:p>
  </w:endnote>
  <w:endnote w:type="continuationSeparator" w:id="0">
    <w:p w14:paraId="2319DF64" w14:textId="77777777" w:rsidR="00430A5A" w:rsidRDefault="00430A5A"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87D23" w14:textId="77777777" w:rsidR="00430A5A" w:rsidRDefault="00430A5A" w:rsidP="006A43DE">
      <w:r>
        <w:separator/>
      </w:r>
    </w:p>
  </w:footnote>
  <w:footnote w:type="continuationSeparator" w:id="0">
    <w:p w14:paraId="24EE6A31" w14:textId="77777777" w:rsidR="00430A5A" w:rsidRDefault="00430A5A" w:rsidP="006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1"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1"/>
  </w:num>
  <w:num w:numId="12">
    <w:abstractNumId w:val="9"/>
  </w:num>
  <w:num w:numId="13">
    <w:abstractNumId w:val="23"/>
  </w:num>
  <w:num w:numId="14">
    <w:abstractNumId w:val="5"/>
  </w:num>
  <w:num w:numId="15">
    <w:abstractNumId w:val="10"/>
  </w:num>
  <w:num w:numId="16">
    <w:abstractNumId w:val="22"/>
  </w:num>
  <w:num w:numId="17">
    <w:abstractNumId w:val="8"/>
  </w:num>
  <w:num w:numId="18">
    <w:abstractNumId w:val="2"/>
  </w:num>
  <w:num w:numId="19">
    <w:abstractNumId w:val="14"/>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5965"/>
    <w:rsid w:val="000568B9"/>
    <w:rsid w:val="000629C6"/>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D411A"/>
    <w:rsid w:val="002D67AB"/>
    <w:rsid w:val="002E2DC3"/>
    <w:rsid w:val="002F1297"/>
    <w:rsid w:val="002F5F24"/>
    <w:rsid w:val="003042F7"/>
    <w:rsid w:val="00307D62"/>
    <w:rsid w:val="0032758C"/>
    <w:rsid w:val="0033077B"/>
    <w:rsid w:val="00335000"/>
    <w:rsid w:val="003468A9"/>
    <w:rsid w:val="003478BD"/>
    <w:rsid w:val="00374B91"/>
    <w:rsid w:val="00374F17"/>
    <w:rsid w:val="00375913"/>
    <w:rsid w:val="003F2BC4"/>
    <w:rsid w:val="00403B84"/>
    <w:rsid w:val="004048A9"/>
    <w:rsid w:val="00420395"/>
    <w:rsid w:val="00430A5A"/>
    <w:rsid w:val="00435FE3"/>
    <w:rsid w:val="00450239"/>
    <w:rsid w:val="00454415"/>
    <w:rsid w:val="0046053A"/>
    <w:rsid w:val="004653BA"/>
    <w:rsid w:val="0047791E"/>
    <w:rsid w:val="004A4357"/>
    <w:rsid w:val="004A7763"/>
    <w:rsid w:val="004C6935"/>
    <w:rsid w:val="004E4E93"/>
    <w:rsid w:val="004F5833"/>
    <w:rsid w:val="004F6D7D"/>
    <w:rsid w:val="00500074"/>
    <w:rsid w:val="00500581"/>
    <w:rsid w:val="00502990"/>
    <w:rsid w:val="00512022"/>
    <w:rsid w:val="005206AC"/>
    <w:rsid w:val="00521620"/>
    <w:rsid w:val="00534DDF"/>
    <w:rsid w:val="0054518F"/>
    <w:rsid w:val="005703CE"/>
    <w:rsid w:val="00572F74"/>
    <w:rsid w:val="005C2884"/>
    <w:rsid w:val="005C28EA"/>
    <w:rsid w:val="005D1885"/>
    <w:rsid w:val="005D4F0C"/>
    <w:rsid w:val="00612054"/>
    <w:rsid w:val="00614DA3"/>
    <w:rsid w:val="00641791"/>
    <w:rsid w:val="00645197"/>
    <w:rsid w:val="00647844"/>
    <w:rsid w:val="006512FA"/>
    <w:rsid w:val="0065694F"/>
    <w:rsid w:val="0066527A"/>
    <w:rsid w:val="00665425"/>
    <w:rsid w:val="00671423"/>
    <w:rsid w:val="006807DC"/>
    <w:rsid w:val="00694D5B"/>
    <w:rsid w:val="00697CC8"/>
    <w:rsid w:val="006A43DE"/>
    <w:rsid w:val="006C5A5E"/>
    <w:rsid w:val="006D650A"/>
    <w:rsid w:val="006E226F"/>
    <w:rsid w:val="006E28F9"/>
    <w:rsid w:val="0070614E"/>
    <w:rsid w:val="00716A5F"/>
    <w:rsid w:val="007316DB"/>
    <w:rsid w:val="007410D8"/>
    <w:rsid w:val="00741768"/>
    <w:rsid w:val="00753188"/>
    <w:rsid w:val="00763854"/>
    <w:rsid w:val="00766B05"/>
    <w:rsid w:val="00767C12"/>
    <w:rsid w:val="00780828"/>
    <w:rsid w:val="00780B32"/>
    <w:rsid w:val="007840BD"/>
    <w:rsid w:val="00791D59"/>
    <w:rsid w:val="007A77D7"/>
    <w:rsid w:val="007B1C58"/>
    <w:rsid w:val="007B2942"/>
    <w:rsid w:val="007C48D9"/>
    <w:rsid w:val="00824E8E"/>
    <w:rsid w:val="00887188"/>
    <w:rsid w:val="00892DFB"/>
    <w:rsid w:val="008960B2"/>
    <w:rsid w:val="008968F5"/>
    <w:rsid w:val="008B7B99"/>
    <w:rsid w:val="008C4B6D"/>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53BF"/>
    <w:rsid w:val="009B4F7B"/>
    <w:rsid w:val="009B6439"/>
    <w:rsid w:val="009C4542"/>
    <w:rsid w:val="009D531B"/>
    <w:rsid w:val="009E0F7A"/>
    <w:rsid w:val="009E6C64"/>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4712D"/>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24ACB"/>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A251F"/>
    <w:rsid w:val="00DB1776"/>
    <w:rsid w:val="00DB3606"/>
    <w:rsid w:val="00DB6521"/>
    <w:rsid w:val="00DD1D24"/>
    <w:rsid w:val="00DE52C7"/>
    <w:rsid w:val="00DF2645"/>
    <w:rsid w:val="00E06376"/>
    <w:rsid w:val="00E25C2E"/>
    <w:rsid w:val="00E36A15"/>
    <w:rsid w:val="00E4134B"/>
    <w:rsid w:val="00E45886"/>
    <w:rsid w:val="00E46280"/>
    <w:rsid w:val="00E46F4E"/>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D4439"/>
    <w:rsid w:val="00FE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B3D3CD"/>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1622127">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A42D-B87A-41CC-92B6-8313481C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1756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Michael  Plaatjies</cp:lastModifiedBy>
  <cp:revision>2</cp:revision>
  <cp:lastPrinted>2018-11-28T11:31:00Z</cp:lastPrinted>
  <dcterms:created xsi:type="dcterms:W3CDTF">2018-12-14T11:56:00Z</dcterms:created>
  <dcterms:modified xsi:type="dcterms:W3CDTF">2018-12-14T11:56:00Z</dcterms:modified>
</cp:coreProperties>
</file>