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29353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335B99">
        <w:rPr>
          <w:b/>
          <w:sz w:val="24"/>
          <w:szCs w:val="24"/>
          <w:lang w:val="af-ZA"/>
        </w:rPr>
        <w:t>2</w:t>
      </w:r>
      <w:r w:rsidR="00742C4C">
        <w:rPr>
          <w:b/>
          <w:sz w:val="24"/>
          <w:szCs w:val="24"/>
          <w:lang w:val="af-ZA"/>
        </w:rPr>
        <w:t>32</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w:t>
      </w:r>
      <w:r w:rsidR="00335B99">
        <w:rPr>
          <w:b/>
          <w:sz w:val="24"/>
          <w:szCs w:val="24"/>
        </w:rPr>
        <w:t>8</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742C4C" w:rsidRDefault="00742C4C" w:rsidP="00742C4C">
      <w:pPr>
        <w:rPr>
          <w:b/>
          <w:sz w:val="24"/>
          <w:szCs w:val="24"/>
          <w:lang w:val="af-ZA"/>
        </w:rPr>
      </w:pPr>
      <w:r w:rsidRPr="00742C4C">
        <w:rPr>
          <w:b/>
          <w:sz w:val="24"/>
          <w:szCs w:val="24"/>
        </w:rPr>
        <w:t xml:space="preserve">Ms V </w:t>
      </w:r>
      <w:r w:rsidRPr="00742C4C">
        <w:rPr>
          <w:b/>
          <w:sz w:val="24"/>
          <w:szCs w:val="24"/>
          <w:lang w:val="en-ZA"/>
        </w:rPr>
        <w:t>van</w:t>
      </w:r>
      <w:r w:rsidRPr="00742C4C">
        <w:rPr>
          <w:b/>
          <w:sz w:val="24"/>
          <w:szCs w:val="24"/>
        </w:rPr>
        <w:t xml:space="preserve"> Dyk (DA) to ask the Minister of Human Settlements:</w:t>
      </w:r>
      <w:r w:rsidRPr="00742C4C">
        <w:rPr>
          <w:b/>
          <w:sz w:val="24"/>
          <w:szCs w:val="24"/>
          <w:lang w:val="af-ZA"/>
        </w:rPr>
        <w:t xml:space="preserve"> </w:t>
      </w:r>
    </w:p>
    <w:p w:rsidR="00742C4C" w:rsidRPr="00742C4C" w:rsidRDefault="00742C4C" w:rsidP="00742C4C">
      <w:pPr>
        <w:rPr>
          <w:b/>
          <w:sz w:val="24"/>
          <w:szCs w:val="24"/>
        </w:rPr>
      </w:pPr>
    </w:p>
    <w:p w:rsidR="00742C4C" w:rsidRPr="00CF23ED" w:rsidRDefault="00742C4C" w:rsidP="00742C4C">
      <w:pPr>
        <w:spacing w:line="360" w:lineRule="auto"/>
        <w:rPr>
          <w:sz w:val="22"/>
          <w:szCs w:val="22"/>
        </w:rPr>
      </w:pPr>
      <w:r w:rsidRPr="00742C4C">
        <w:rPr>
          <w:sz w:val="24"/>
          <w:szCs w:val="24"/>
        </w:rPr>
        <w:t>How many subsidised Reconstruction and Development Programme (RDP) houses were (a) completed and (b) handed over to beneficiaries in each province in the 2013-14 financial year?</w:t>
      </w:r>
      <w:r>
        <w:rPr>
          <w:sz w:val="24"/>
          <w:szCs w:val="24"/>
        </w:rPr>
        <w:t xml:space="preserve"> </w:t>
      </w:r>
      <w:r>
        <w:tab/>
      </w:r>
      <w:r w:rsidRPr="00742C4C">
        <w:rPr>
          <w:b/>
        </w:rPr>
        <w:t>NW3833E</w:t>
      </w:r>
    </w:p>
    <w:p w:rsidR="001336BF" w:rsidRDefault="00F779A4" w:rsidP="00F779A4">
      <w:pPr>
        <w:tabs>
          <w:tab w:val="left" w:pos="6885"/>
        </w:tabs>
        <w:spacing w:before="100" w:beforeAutospacing="1" w:line="360" w:lineRule="auto"/>
        <w:rPr>
          <w:rFonts w:ascii="Arial" w:hAnsi="Arial" w:cs="Arial"/>
          <w:b/>
          <w:sz w:val="22"/>
          <w:szCs w:val="22"/>
        </w:rPr>
      </w:pPr>
      <w:r>
        <w:rPr>
          <w:rFonts w:ascii="Arial" w:hAnsi="Arial" w:cs="Arial"/>
          <w:b/>
          <w:sz w:val="22"/>
          <w:szCs w:val="22"/>
        </w:rPr>
        <w:tab/>
      </w: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9D4F40" w:rsidRDefault="009D4F40" w:rsidP="009D4F40">
      <w:pPr>
        <w:spacing w:line="360" w:lineRule="auto"/>
        <w:jc w:val="both"/>
        <w:outlineLvl w:val="0"/>
        <w:rPr>
          <w:sz w:val="24"/>
          <w:szCs w:val="24"/>
          <w:lang w:val="en-ZA"/>
        </w:rPr>
      </w:pPr>
      <w:r>
        <w:rPr>
          <w:sz w:val="24"/>
          <w:szCs w:val="24"/>
          <w:lang w:val="en-US"/>
        </w:rPr>
        <w:t xml:space="preserve">Honourable member, </w:t>
      </w:r>
      <w:r w:rsidRPr="00DA7F13">
        <w:rPr>
          <w:sz w:val="24"/>
          <w:szCs w:val="24"/>
          <w:lang w:val="en-ZA"/>
        </w:rPr>
        <w:t xml:space="preserve">government is no longer building Reconstruction and Development Programme (RDP) houses. </w:t>
      </w:r>
      <w:r w:rsidRPr="00DA7F13">
        <w:rPr>
          <w:sz w:val="24"/>
          <w:szCs w:val="24"/>
        </w:rPr>
        <w:t xml:space="preserve">RDP houses were discontinued as soon as </w:t>
      </w:r>
      <w:r w:rsidRPr="00DA7F13">
        <w:rPr>
          <w:sz w:val="24"/>
          <w:szCs w:val="24"/>
          <w:lang w:val="en-ZA"/>
        </w:rPr>
        <w:t xml:space="preserve">Cabinet adopted the </w:t>
      </w:r>
      <w:r w:rsidRPr="00DA7F13">
        <w:rPr>
          <w:i/>
          <w:sz w:val="24"/>
          <w:szCs w:val="24"/>
          <w:lang w:val="en-ZA"/>
        </w:rPr>
        <w:t>Comprehensive Plan for the Development of Sustainable Human Settlements</w:t>
      </w:r>
      <w:r w:rsidRPr="00DA7F13">
        <w:rPr>
          <w:sz w:val="24"/>
          <w:szCs w:val="24"/>
          <w:lang w:val="en-ZA"/>
        </w:rPr>
        <w:t xml:space="preserve"> in 2004 setting new standards for housing typologies for government houses referred to as BNG houses.</w:t>
      </w:r>
    </w:p>
    <w:p w:rsidR="009D4F40" w:rsidRPr="00DA7F13" w:rsidRDefault="009D4F40" w:rsidP="009D4F40">
      <w:pPr>
        <w:spacing w:line="360" w:lineRule="auto"/>
        <w:jc w:val="both"/>
        <w:outlineLvl w:val="0"/>
        <w:rPr>
          <w:sz w:val="24"/>
          <w:szCs w:val="24"/>
          <w:lang w:val="en-ZA"/>
        </w:rPr>
      </w:pPr>
    </w:p>
    <w:p w:rsidR="009D4F40" w:rsidRPr="009D4F40" w:rsidRDefault="009D4F40" w:rsidP="009D4F40">
      <w:pPr>
        <w:spacing w:before="100" w:beforeAutospacing="1" w:after="100" w:afterAutospacing="1" w:line="360" w:lineRule="auto"/>
        <w:ind w:left="720" w:hanging="720"/>
        <w:jc w:val="both"/>
        <w:outlineLvl w:val="0"/>
        <w:rPr>
          <w:b/>
        </w:rPr>
      </w:pPr>
      <w:r w:rsidRPr="009D4F40">
        <w:rPr>
          <w:rFonts w:eastAsia="Arial Unicode MS"/>
          <w:b/>
          <w:sz w:val="22"/>
          <w:szCs w:val="22"/>
          <w:lang w:eastAsia="en-GB"/>
        </w:rPr>
        <w:t>(</w:t>
      </w:r>
      <w:r w:rsidRPr="009D4F40">
        <w:rPr>
          <w:rFonts w:eastAsia="Arial Unicode MS"/>
          <w:sz w:val="22"/>
          <w:szCs w:val="22"/>
          <w:lang w:eastAsia="en-GB"/>
        </w:rPr>
        <w:t>a)</w:t>
      </w:r>
      <w:r w:rsidRPr="009D4F40">
        <w:rPr>
          <w:rFonts w:eastAsia="Arial Unicode MS"/>
          <w:sz w:val="22"/>
          <w:szCs w:val="22"/>
          <w:lang w:eastAsia="en-GB"/>
        </w:rPr>
        <w:tab/>
        <w:t>Subsidised houses that were completed in the 2013-14 financial year:</w:t>
      </w:r>
    </w:p>
    <w:p w:rsidR="009D4F40" w:rsidRPr="009D4F40" w:rsidRDefault="009D4F40" w:rsidP="009D4F40">
      <w:pPr>
        <w:tabs>
          <w:tab w:val="left" w:pos="432"/>
          <w:tab w:val="left" w:pos="720"/>
        </w:tabs>
        <w:spacing w:before="100" w:beforeAutospacing="1" w:after="100" w:afterAutospacing="1" w:line="360" w:lineRule="auto"/>
        <w:ind w:left="720"/>
        <w:rPr>
          <w:sz w:val="22"/>
          <w:szCs w:val="22"/>
          <w:lang w:val="en-US"/>
        </w:rPr>
      </w:pPr>
      <w:r w:rsidRPr="009D4F40">
        <w:rPr>
          <w:b/>
          <w:sz w:val="22"/>
          <w:szCs w:val="22"/>
          <w:lang w:val="en-US"/>
        </w:rPr>
        <w:t>105 936</w:t>
      </w:r>
      <w:r w:rsidRPr="009D4F40">
        <w:rPr>
          <w:sz w:val="22"/>
          <w:szCs w:val="22"/>
          <w:lang w:val="en-US"/>
        </w:rPr>
        <w:t xml:space="preserve"> subsidised houses/units were completed (see Table1, below).  This</w:t>
      </w:r>
      <w:r>
        <w:rPr>
          <w:sz w:val="22"/>
          <w:szCs w:val="22"/>
          <w:lang w:val="en-US"/>
        </w:rPr>
        <w:t xml:space="preserve"> </w:t>
      </w:r>
      <w:r w:rsidRPr="009D4F40">
        <w:rPr>
          <w:sz w:val="22"/>
          <w:szCs w:val="22"/>
          <w:lang w:val="en-US"/>
        </w:rPr>
        <w:t xml:space="preserve">figure excludes </w:t>
      </w:r>
      <w:r w:rsidRPr="009D4F40">
        <w:rPr>
          <w:b/>
          <w:sz w:val="22"/>
          <w:szCs w:val="22"/>
          <w:lang w:val="en-US"/>
        </w:rPr>
        <w:t>48</w:t>
      </w:r>
      <w:r>
        <w:rPr>
          <w:b/>
          <w:sz w:val="22"/>
          <w:szCs w:val="22"/>
          <w:lang w:val="en-US"/>
        </w:rPr>
        <w:t> </w:t>
      </w:r>
      <w:r w:rsidRPr="009D4F40">
        <w:rPr>
          <w:b/>
          <w:sz w:val="22"/>
          <w:szCs w:val="22"/>
          <w:lang w:val="en-US"/>
        </w:rPr>
        <w:t>893</w:t>
      </w:r>
      <w:r w:rsidRPr="009D4F40">
        <w:rPr>
          <w:sz w:val="22"/>
          <w:szCs w:val="22"/>
          <w:lang w:val="en-US"/>
        </w:rPr>
        <w:t xml:space="preserve"> serviced sites that were completed during the same period.</w:t>
      </w:r>
    </w:p>
    <w:p w:rsidR="009D4F40" w:rsidRPr="009D4F40" w:rsidRDefault="009D4F40" w:rsidP="009D4F40">
      <w:pPr>
        <w:tabs>
          <w:tab w:val="left" w:pos="432"/>
          <w:tab w:val="left" w:pos="720"/>
        </w:tabs>
        <w:spacing w:before="100" w:beforeAutospacing="1" w:after="100" w:afterAutospacing="1" w:line="360" w:lineRule="auto"/>
        <w:ind w:left="720" w:hanging="720"/>
        <w:jc w:val="both"/>
        <w:rPr>
          <w:sz w:val="22"/>
          <w:szCs w:val="22"/>
        </w:rPr>
      </w:pPr>
      <w:r w:rsidRPr="009D4F40">
        <w:rPr>
          <w:sz w:val="22"/>
          <w:szCs w:val="22"/>
          <w:lang w:val="en-US"/>
        </w:rPr>
        <w:t>(b)</w:t>
      </w:r>
      <w:r w:rsidRPr="009D4F40">
        <w:rPr>
          <w:sz w:val="22"/>
          <w:szCs w:val="22"/>
          <w:lang w:val="en-US"/>
        </w:rPr>
        <w:tab/>
      </w:r>
      <w:r w:rsidRPr="009D4F40">
        <w:rPr>
          <w:sz w:val="22"/>
          <w:szCs w:val="22"/>
          <w:lang w:val="en-US"/>
        </w:rPr>
        <w:tab/>
      </w:r>
      <w:r w:rsidRPr="009D4F40">
        <w:rPr>
          <w:b/>
          <w:sz w:val="22"/>
          <w:szCs w:val="22"/>
          <w:lang w:val="en-US"/>
        </w:rPr>
        <w:t>84 459</w:t>
      </w:r>
      <w:r w:rsidRPr="009D4F40">
        <w:rPr>
          <w:sz w:val="22"/>
          <w:szCs w:val="22"/>
          <w:lang w:val="en-US"/>
        </w:rPr>
        <w:t xml:space="preserve"> houses/units were handed over to the beneficiaries or qualifying occupants</w:t>
      </w:r>
      <w:r>
        <w:rPr>
          <w:sz w:val="22"/>
          <w:szCs w:val="22"/>
          <w:lang w:val="en-US"/>
        </w:rPr>
        <w:t xml:space="preserve"> </w:t>
      </w:r>
      <w:r w:rsidRPr="009D4F40">
        <w:rPr>
          <w:sz w:val="22"/>
          <w:szCs w:val="22"/>
          <w:lang w:val="en-US"/>
        </w:rPr>
        <w:t>by Provincial Departments of Human Settlements or their respective municipalities.</w:t>
      </w:r>
    </w:p>
    <w:p w:rsidR="009D4F40" w:rsidRPr="009D4F40" w:rsidRDefault="009D4F40" w:rsidP="009D4F40">
      <w:pPr>
        <w:tabs>
          <w:tab w:val="left" w:pos="432"/>
          <w:tab w:val="left" w:pos="720"/>
        </w:tabs>
        <w:spacing w:before="100" w:beforeAutospacing="1" w:after="100" w:afterAutospacing="1" w:line="360" w:lineRule="auto"/>
        <w:jc w:val="both"/>
        <w:rPr>
          <w:b/>
          <w:sz w:val="22"/>
          <w:szCs w:val="22"/>
        </w:rPr>
      </w:pPr>
      <w:r w:rsidRPr="009D4F40">
        <w:rPr>
          <w:b/>
          <w:sz w:val="22"/>
          <w:szCs w:val="22"/>
        </w:rPr>
        <w:t>Table 1: Table depicting Houses Completed and Hand-over: 2013/14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
        <w:gridCol w:w="1174"/>
        <w:gridCol w:w="709"/>
        <w:gridCol w:w="851"/>
        <w:gridCol w:w="850"/>
        <w:gridCol w:w="851"/>
        <w:gridCol w:w="708"/>
        <w:gridCol w:w="993"/>
        <w:gridCol w:w="850"/>
        <w:gridCol w:w="851"/>
        <w:gridCol w:w="1134"/>
      </w:tblGrid>
      <w:tr w:rsidR="009D4F40" w:rsidRPr="009D4F40" w:rsidTr="00486281">
        <w:trPr>
          <w:tblHeader/>
        </w:trPr>
        <w:tc>
          <w:tcPr>
            <w:tcW w:w="1094" w:type="dxa"/>
            <w:shd w:val="clear" w:color="auto" w:fill="E7E6E6"/>
          </w:tcPr>
          <w:p w:rsidR="009D4F40" w:rsidRPr="00486281" w:rsidRDefault="009D4F40" w:rsidP="00486281">
            <w:pPr>
              <w:jc w:val="center"/>
              <w:rPr>
                <w:b/>
                <w:sz w:val="24"/>
                <w:szCs w:val="24"/>
              </w:rPr>
            </w:pPr>
          </w:p>
          <w:p w:rsidR="009D4F40" w:rsidRPr="00486281" w:rsidRDefault="009D4F40" w:rsidP="00486281">
            <w:pPr>
              <w:jc w:val="center"/>
              <w:rPr>
                <w:rFonts w:eastAsia="Arial Unicode MS"/>
                <w:b/>
                <w:sz w:val="24"/>
                <w:szCs w:val="24"/>
                <w:lang w:eastAsia="en-GB"/>
              </w:rPr>
            </w:pPr>
            <w:r w:rsidRPr="00486281">
              <w:rPr>
                <w:b/>
                <w:sz w:val="24"/>
                <w:szCs w:val="24"/>
              </w:rPr>
              <w:t>2013/14</w:t>
            </w:r>
          </w:p>
        </w:tc>
        <w:tc>
          <w:tcPr>
            <w:tcW w:w="1174"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EC</w:t>
            </w:r>
          </w:p>
        </w:tc>
        <w:tc>
          <w:tcPr>
            <w:tcW w:w="709"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FS</w:t>
            </w:r>
          </w:p>
        </w:tc>
        <w:tc>
          <w:tcPr>
            <w:tcW w:w="851"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GP</w:t>
            </w:r>
          </w:p>
        </w:tc>
        <w:tc>
          <w:tcPr>
            <w:tcW w:w="850"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KZN</w:t>
            </w:r>
          </w:p>
        </w:tc>
        <w:tc>
          <w:tcPr>
            <w:tcW w:w="851"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LP</w:t>
            </w:r>
          </w:p>
        </w:tc>
        <w:tc>
          <w:tcPr>
            <w:tcW w:w="708"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MP</w:t>
            </w:r>
          </w:p>
        </w:tc>
        <w:tc>
          <w:tcPr>
            <w:tcW w:w="993"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NC</w:t>
            </w:r>
          </w:p>
        </w:tc>
        <w:tc>
          <w:tcPr>
            <w:tcW w:w="850"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NW</w:t>
            </w:r>
          </w:p>
        </w:tc>
        <w:tc>
          <w:tcPr>
            <w:tcW w:w="851" w:type="dxa"/>
            <w:shd w:val="clear" w:color="auto" w:fill="E7E6E6"/>
            <w:vAlign w:val="center"/>
          </w:tcPr>
          <w:p w:rsidR="009D4F40" w:rsidRPr="00486281" w:rsidRDefault="009D4F40" w:rsidP="00486281">
            <w:pPr>
              <w:jc w:val="center"/>
              <w:rPr>
                <w:b/>
                <w:sz w:val="24"/>
                <w:szCs w:val="24"/>
              </w:rPr>
            </w:pPr>
          </w:p>
          <w:p w:rsidR="009D4F40" w:rsidRPr="00486281" w:rsidRDefault="009D4F40" w:rsidP="00486281">
            <w:pPr>
              <w:jc w:val="center"/>
              <w:rPr>
                <w:b/>
                <w:sz w:val="24"/>
                <w:szCs w:val="24"/>
              </w:rPr>
            </w:pPr>
            <w:r w:rsidRPr="00486281">
              <w:rPr>
                <w:b/>
                <w:sz w:val="24"/>
                <w:szCs w:val="24"/>
              </w:rPr>
              <w:t>WC</w:t>
            </w:r>
          </w:p>
        </w:tc>
        <w:tc>
          <w:tcPr>
            <w:tcW w:w="1134" w:type="dxa"/>
            <w:shd w:val="clear" w:color="auto" w:fill="E7E6E6"/>
            <w:vAlign w:val="center"/>
          </w:tcPr>
          <w:p w:rsidR="009D4F40" w:rsidRPr="00486281" w:rsidRDefault="009D4F40" w:rsidP="00486281">
            <w:pPr>
              <w:jc w:val="center"/>
              <w:rPr>
                <w:b/>
                <w:sz w:val="24"/>
                <w:szCs w:val="24"/>
              </w:rPr>
            </w:pPr>
            <w:r w:rsidRPr="00486281">
              <w:rPr>
                <w:b/>
                <w:sz w:val="24"/>
                <w:szCs w:val="24"/>
              </w:rPr>
              <w:t>SA TOTAL</w:t>
            </w:r>
          </w:p>
        </w:tc>
      </w:tr>
      <w:tr w:rsidR="009D4F40" w:rsidRPr="009D4F40" w:rsidTr="00486281">
        <w:tc>
          <w:tcPr>
            <w:tcW w:w="1094" w:type="dxa"/>
            <w:shd w:val="clear" w:color="auto" w:fill="auto"/>
          </w:tcPr>
          <w:p w:rsidR="009D4F40" w:rsidRPr="00486281" w:rsidRDefault="009D4F40" w:rsidP="00486281">
            <w:pPr>
              <w:pStyle w:val="ListParagraph"/>
              <w:spacing w:before="100" w:beforeAutospacing="1" w:after="100" w:afterAutospacing="1"/>
              <w:ind w:left="0"/>
              <w:jc w:val="both"/>
              <w:rPr>
                <w:rFonts w:eastAsia="Arial Unicode MS"/>
                <w:b/>
                <w:lang w:eastAsia="en-GB"/>
              </w:rPr>
            </w:pPr>
            <w:r w:rsidRPr="00486281">
              <w:rPr>
                <w:b/>
              </w:rPr>
              <w:t>Houses completed</w:t>
            </w:r>
          </w:p>
        </w:tc>
        <w:tc>
          <w:tcPr>
            <w:tcW w:w="1174" w:type="dxa"/>
            <w:shd w:val="clear" w:color="auto" w:fill="auto"/>
            <w:vAlign w:val="center"/>
          </w:tcPr>
          <w:p w:rsidR="009D4F40" w:rsidRPr="009D4F40" w:rsidRDefault="009D4F40" w:rsidP="00486281">
            <w:pPr>
              <w:jc w:val="right"/>
            </w:pPr>
            <w:r w:rsidRPr="009D4F40">
              <w:t>12,646</w:t>
            </w:r>
          </w:p>
        </w:tc>
        <w:tc>
          <w:tcPr>
            <w:tcW w:w="709" w:type="dxa"/>
            <w:shd w:val="clear" w:color="auto" w:fill="auto"/>
            <w:vAlign w:val="center"/>
          </w:tcPr>
          <w:p w:rsidR="009D4F40" w:rsidRPr="009D4F40" w:rsidRDefault="009D4F40" w:rsidP="00486281">
            <w:pPr>
              <w:jc w:val="right"/>
            </w:pPr>
            <w:r w:rsidRPr="009D4F40">
              <w:t>6,920</w:t>
            </w:r>
          </w:p>
        </w:tc>
        <w:tc>
          <w:tcPr>
            <w:tcW w:w="851" w:type="dxa"/>
            <w:shd w:val="clear" w:color="auto" w:fill="auto"/>
            <w:vAlign w:val="center"/>
          </w:tcPr>
          <w:p w:rsidR="009D4F40" w:rsidRPr="009D4F40" w:rsidRDefault="009D4F40" w:rsidP="00486281">
            <w:pPr>
              <w:jc w:val="right"/>
            </w:pPr>
            <w:r w:rsidRPr="009D4F40">
              <w:t>22,352</w:t>
            </w:r>
          </w:p>
        </w:tc>
        <w:tc>
          <w:tcPr>
            <w:tcW w:w="850" w:type="dxa"/>
            <w:shd w:val="clear" w:color="auto" w:fill="auto"/>
            <w:vAlign w:val="center"/>
          </w:tcPr>
          <w:p w:rsidR="009D4F40" w:rsidRPr="009D4F40" w:rsidRDefault="009D4F40" w:rsidP="00486281">
            <w:pPr>
              <w:jc w:val="right"/>
            </w:pPr>
            <w:r w:rsidRPr="009D4F40">
              <w:t>29,151</w:t>
            </w:r>
          </w:p>
        </w:tc>
        <w:tc>
          <w:tcPr>
            <w:tcW w:w="851" w:type="dxa"/>
            <w:shd w:val="clear" w:color="auto" w:fill="auto"/>
            <w:vAlign w:val="center"/>
          </w:tcPr>
          <w:p w:rsidR="009D4F40" w:rsidRPr="009D4F40" w:rsidRDefault="009D4F40" w:rsidP="00486281">
            <w:pPr>
              <w:jc w:val="right"/>
            </w:pPr>
            <w:r w:rsidRPr="009D4F40">
              <w:t>3,080</w:t>
            </w:r>
          </w:p>
        </w:tc>
        <w:tc>
          <w:tcPr>
            <w:tcW w:w="708" w:type="dxa"/>
            <w:shd w:val="clear" w:color="auto" w:fill="auto"/>
            <w:vAlign w:val="center"/>
          </w:tcPr>
          <w:p w:rsidR="009D4F40" w:rsidRPr="009D4F40" w:rsidRDefault="009D4F40" w:rsidP="00486281">
            <w:pPr>
              <w:jc w:val="right"/>
            </w:pPr>
            <w:r w:rsidRPr="009D4F40">
              <w:t>8,126</w:t>
            </w:r>
          </w:p>
        </w:tc>
        <w:tc>
          <w:tcPr>
            <w:tcW w:w="993" w:type="dxa"/>
            <w:shd w:val="clear" w:color="auto" w:fill="auto"/>
            <w:vAlign w:val="center"/>
          </w:tcPr>
          <w:p w:rsidR="009D4F40" w:rsidRPr="009D4F40" w:rsidRDefault="009D4F40" w:rsidP="00486281">
            <w:pPr>
              <w:jc w:val="right"/>
            </w:pPr>
            <w:r w:rsidRPr="009D4F40">
              <w:t>2,464</w:t>
            </w:r>
          </w:p>
        </w:tc>
        <w:tc>
          <w:tcPr>
            <w:tcW w:w="850" w:type="dxa"/>
            <w:shd w:val="clear" w:color="auto" w:fill="auto"/>
            <w:vAlign w:val="center"/>
          </w:tcPr>
          <w:p w:rsidR="009D4F40" w:rsidRPr="009D4F40" w:rsidRDefault="009D4F40" w:rsidP="00486281">
            <w:pPr>
              <w:jc w:val="right"/>
            </w:pPr>
            <w:r w:rsidRPr="009D4F40">
              <w:t>9,362</w:t>
            </w:r>
          </w:p>
        </w:tc>
        <w:tc>
          <w:tcPr>
            <w:tcW w:w="851" w:type="dxa"/>
            <w:shd w:val="clear" w:color="auto" w:fill="auto"/>
            <w:vAlign w:val="center"/>
          </w:tcPr>
          <w:p w:rsidR="009D4F40" w:rsidRPr="009D4F40" w:rsidRDefault="009D4F40" w:rsidP="00486281">
            <w:pPr>
              <w:jc w:val="right"/>
            </w:pPr>
            <w:r w:rsidRPr="009D4F40">
              <w:t>11,835</w:t>
            </w:r>
          </w:p>
        </w:tc>
        <w:tc>
          <w:tcPr>
            <w:tcW w:w="1134" w:type="dxa"/>
            <w:shd w:val="clear" w:color="auto" w:fill="auto"/>
            <w:vAlign w:val="center"/>
          </w:tcPr>
          <w:p w:rsidR="009D4F40" w:rsidRPr="009D4F40" w:rsidRDefault="009D4F40" w:rsidP="00486281">
            <w:pPr>
              <w:jc w:val="right"/>
            </w:pPr>
            <w:r w:rsidRPr="009D4F40">
              <w:rPr>
                <w:rStyle w:val="Strong"/>
              </w:rPr>
              <w:t>105,936</w:t>
            </w:r>
          </w:p>
        </w:tc>
      </w:tr>
      <w:tr w:rsidR="009D4F40" w:rsidRPr="009D4F40" w:rsidTr="00486281">
        <w:tc>
          <w:tcPr>
            <w:tcW w:w="1094" w:type="dxa"/>
            <w:shd w:val="clear" w:color="auto" w:fill="auto"/>
          </w:tcPr>
          <w:p w:rsidR="009D4F40" w:rsidRPr="00486281" w:rsidRDefault="009D4F40" w:rsidP="00486281">
            <w:pPr>
              <w:pStyle w:val="ListParagraph"/>
              <w:spacing w:before="100" w:beforeAutospacing="1" w:after="100" w:afterAutospacing="1"/>
              <w:ind w:left="0"/>
              <w:jc w:val="both"/>
              <w:rPr>
                <w:rFonts w:eastAsia="Arial Unicode MS"/>
                <w:b/>
                <w:lang w:eastAsia="en-GB"/>
              </w:rPr>
            </w:pPr>
            <w:r w:rsidRPr="00486281">
              <w:rPr>
                <w:rFonts w:eastAsia="Arial Unicode MS"/>
                <w:b/>
                <w:lang w:eastAsia="en-GB"/>
              </w:rPr>
              <w:lastRenderedPageBreak/>
              <w:t>Houses handed over</w:t>
            </w:r>
          </w:p>
        </w:tc>
        <w:tc>
          <w:tcPr>
            <w:tcW w:w="1174" w:type="dxa"/>
            <w:shd w:val="clear" w:color="auto" w:fill="auto"/>
            <w:vAlign w:val="center"/>
          </w:tcPr>
          <w:p w:rsidR="009D4F40" w:rsidRPr="009D4F40" w:rsidRDefault="009D4F40" w:rsidP="00486281">
            <w:pPr>
              <w:jc w:val="right"/>
            </w:pPr>
            <w:r w:rsidRPr="009D4F40">
              <w:t>8,346</w:t>
            </w:r>
          </w:p>
        </w:tc>
        <w:tc>
          <w:tcPr>
            <w:tcW w:w="709" w:type="dxa"/>
            <w:shd w:val="clear" w:color="auto" w:fill="auto"/>
            <w:vAlign w:val="center"/>
          </w:tcPr>
          <w:p w:rsidR="009D4F40" w:rsidRPr="009D4F40" w:rsidRDefault="009D4F40" w:rsidP="00486281">
            <w:pPr>
              <w:jc w:val="right"/>
            </w:pPr>
            <w:r w:rsidRPr="009D4F40">
              <w:t>4,986</w:t>
            </w:r>
          </w:p>
        </w:tc>
        <w:tc>
          <w:tcPr>
            <w:tcW w:w="851" w:type="dxa"/>
            <w:shd w:val="clear" w:color="auto" w:fill="auto"/>
            <w:vAlign w:val="center"/>
          </w:tcPr>
          <w:p w:rsidR="009D4F40" w:rsidRPr="009D4F40" w:rsidRDefault="009D4F40" w:rsidP="00486281">
            <w:pPr>
              <w:jc w:val="right"/>
            </w:pPr>
            <w:r w:rsidRPr="009D4F40">
              <w:t>8,924</w:t>
            </w:r>
          </w:p>
        </w:tc>
        <w:tc>
          <w:tcPr>
            <w:tcW w:w="850" w:type="dxa"/>
            <w:shd w:val="clear" w:color="auto" w:fill="auto"/>
            <w:vAlign w:val="center"/>
          </w:tcPr>
          <w:p w:rsidR="009D4F40" w:rsidRPr="009D4F40" w:rsidRDefault="009D4F40" w:rsidP="00486281">
            <w:pPr>
              <w:jc w:val="right"/>
            </w:pPr>
            <w:r w:rsidRPr="009D4F40">
              <w:t>29,151</w:t>
            </w:r>
          </w:p>
        </w:tc>
        <w:tc>
          <w:tcPr>
            <w:tcW w:w="851" w:type="dxa"/>
            <w:shd w:val="clear" w:color="auto" w:fill="auto"/>
            <w:vAlign w:val="center"/>
          </w:tcPr>
          <w:p w:rsidR="009D4F40" w:rsidRPr="009D4F40" w:rsidRDefault="009D4F40" w:rsidP="00486281">
            <w:pPr>
              <w:jc w:val="right"/>
            </w:pPr>
            <w:r w:rsidRPr="009D4F40">
              <w:t>2,972</w:t>
            </w:r>
          </w:p>
        </w:tc>
        <w:tc>
          <w:tcPr>
            <w:tcW w:w="708" w:type="dxa"/>
            <w:shd w:val="clear" w:color="auto" w:fill="auto"/>
            <w:vAlign w:val="center"/>
          </w:tcPr>
          <w:p w:rsidR="009D4F40" w:rsidRPr="009D4F40" w:rsidRDefault="009D4F40" w:rsidP="00486281">
            <w:pPr>
              <w:jc w:val="right"/>
            </w:pPr>
            <w:r w:rsidRPr="009D4F40">
              <w:t>6,419</w:t>
            </w:r>
          </w:p>
        </w:tc>
        <w:tc>
          <w:tcPr>
            <w:tcW w:w="993" w:type="dxa"/>
            <w:shd w:val="clear" w:color="auto" w:fill="auto"/>
            <w:vAlign w:val="center"/>
          </w:tcPr>
          <w:p w:rsidR="009D4F40" w:rsidRPr="009D4F40" w:rsidRDefault="009D4F40" w:rsidP="00486281">
            <w:pPr>
              <w:jc w:val="right"/>
            </w:pPr>
            <w:r w:rsidRPr="009D4F40">
              <w:t>2,464</w:t>
            </w:r>
          </w:p>
        </w:tc>
        <w:tc>
          <w:tcPr>
            <w:tcW w:w="850" w:type="dxa"/>
            <w:shd w:val="clear" w:color="auto" w:fill="auto"/>
            <w:vAlign w:val="center"/>
          </w:tcPr>
          <w:p w:rsidR="009D4F40" w:rsidRPr="009D4F40" w:rsidRDefault="009D4F40" w:rsidP="00486281">
            <w:pPr>
              <w:jc w:val="right"/>
            </w:pPr>
            <w:r w:rsidRPr="009D4F40">
              <w:t>9,362</w:t>
            </w:r>
          </w:p>
        </w:tc>
        <w:tc>
          <w:tcPr>
            <w:tcW w:w="851" w:type="dxa"/>
            <w:shd w:val="clear" w:color="auto" w:fill="auto"/>
            <w:vAlign w:val="center"/>
          </w:tcPr>
          <w:p w:rsidR="009D4F40" w:rsidRPr="009D4F40" w:rsidRDefault="009D4F40" w:rsidP="00486281">
            <w:pPr>
              <w:jc w:val="right"/>
            </w:pPr>
            <w:r w:rsidRPr="009D4F40">
              <w:t>11,835</w:t>
            </w:r>
          </w:p>
        </w:tc>
        <w:tc>
          <w:tcPr>
            <w:tcW w:w="1134" w:type="dxa"/>
            <w:shd w:val="clear" w:color="auto" w:fill="auto"/>
            <w:vAlign w:val="center"/>
          </w:tcPr>
          <w:p w:rsidR="009D4F40" w:rsidRPr="009D4F40" w:rsidRDefault="009D4F40" w:rsidP="00486281">
            <w:pPr>
              <w:jc w:val="right"/>
            </w:pPr>
            <w:r w:rsidRPr="009D4F40">
              <w:rPr>
                <w:rStyle w:val="Strong"/>
              </w:rPr>
              <w:t>84,459</w:t>
            </w:r>
          </w:p>
        </w:tc>
      </w:tr>
    </w:tbl>
    <w:p w:rsidR="009D4F40" w:rsidRPr="009D4F40" w:rsidRDefault="009D4F40" w:rsidP="009D4F40">
      <w:pPr>
        <w:pStyle w:val="ListParagraph"/>
        <w:spacing w:before="100" w:beforeAutospacing="1" w:after="100" w:afterAutospacing="1"/>
        <w:ind w:left="0"/>
        <w:jc w:val="both"/>
        <w:rPr>
          <w:rFonts w:eastAsia="Arial Unicode MS"/>
          <w:sz w:val="22"/>
          <w:szCs w:val="22"/>
          <w:lang w:eastAsia="en-GB"/>
        </w:rPr>
      </w:pPr>
      <w:r w:rsidRPr="009D4F40">
        <w:rPr>
          <w:rFonts w:eastAsia="Arial Unicode MS"/>
          <w:b/>
          <w:sz w:val="22"/>
          <w:szCs w:val="22"/>
          <w:lang w:eastAsia="en-GB"/>
        </w:rPr>
        <w:t>Data Source</w:t>
      </w:r>
      <w:r w:rsidRPr="009D4F40">
        <w:rPr>
          <w:rFonts w:eastAsia="Arial Unicode MS"/>
          <w:sz w:val="22"/>
          <w:szCs w:val="22"/>
          <w:lang w:eastAsia="en-GB"/>
        </w:rPr>
        <w:t xml:space="preserve">: </w:t>
      </w:r>
      <w:r w:rsidRPr="009D4F40">
        <w:t>Provincial Departments: Human Settlements</w:t>
      </w:r>
    </w:p>
    <w:p w:rsidR="009D4F40" w:rsidRDefault="009D4F40" w:rsidP="006212FF">
      <w:pPr>
        <w:tabs>
          <w:tab w:val="left" w:pos="432"/>
          <w:tab w:val="left" w:pos="864"/>
        </w:tabs>
        <w:spacing w:before="100" w:beforeAutospacing="1" w:line="360" w:lineRule="auto"/>
        <w:rPr>
          <w:rFonts w:ascii="Arial" w:hAnsi="Arial" w:cs="Arial"/>
          <w:b/>
          <w:sz w:val="22"/>
          <w:szCs w:val="22"/>
        </w:rPr>
      </w:pPr>
    </w:p>
    <w:p w:rsidR="00CD54A0" w:rsidRPr="000D6AB4" w:rsidRDefault="000D6AB4" w:rsidP="000D6AB4">
      <w:pPr>
        <w:spacing w:line="360" w:lineRule="auto"/>
        <w:jc w:val="both"/>
        <w:rPr>
          <w:sz w:val="24"/>
          <w:szCs w:val="24"/>
        </w:rPr>
      </w:pPr>
      <w:r w:rsidRPr="000D6AB4">
        <w:rPr>
          <w:sz w:val="24"/>
          <w:szCs w:val="24"/>
        </w:rPr>
        <w:t xml:space="preserve">We have been informed that some of the completed houses have not been allocated for various reasons. These vary from disputes arising out of the existence of more than one "Waiting List", de-registering of beneficiaries that had moved by the time of completion of the houses, refusal by beneficiaries to take occupation prior the connector services such as electricity have been installed. In some instance while these are sorted out, some houses would be illegally invaded.  </w:t>
      </w:r>
    </w:p>
    <w:p w:rsidR="00CD54A0" w:rsidRDefault="00CD54A0" w:rsidP="006212FF">
      <w:pPr>
        <w:tabs>
          <w:tab w:val="left" w:pos="432"/>
          <w:tab w:val="left" w:pos="864"/>
        </w:tabs>
        <w:spacing w:before="100" w:beforeAutospacing="1" w:line="360" w:lineRule="auto"/>
        <w:rPr>
          <w:rFonts w:ascii="Arial" w:hAnsi="Arial" w:cs="Arial"/>
          <w:b/>
          <w:sz w:val="22"/>
          <w:szCs w:val="22"/>
        </w:rPr>
      </w:pPr>
    </w:p>
    <w:sectPr w:rsidR="00CD54A0"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66" w:rsidRDefault="00795A66" w:rsidP="00054FEC">
      <w:r>
        <w:separator/>
      </w:r>
    </w:p>
  </w:endnote>
  <w:endnote w:type="continuationSeparator" w:id="0">
    <w:p w:rsidR="00795A66" w:rsidRDefault="00795A66"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66" w:rsidRDefault="00795A66" w:rsidP="00054FEC">
      <w:r>
        <w:separator/>
      </w:r>
    </w:p>
  </w:footnote>
  <w:footnote w:type="continuationSeparator" w:id="0">
    <w:p w:rsidR="00795A66" w:rsidRDefault="00795A66"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335B99">
      <w:t>2</w:t>
    </w:r>
    <w:r w:rsidR="00742C4C">
      <w:t>32</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6AB4"/>
    <w:rsid w:val="000D79C5"/>
    <w:rsid w:val="000E238C"/>
    <w:rsid w:val="000E3FFE"/>
    <w:rsid w:val="000F7647"/>
    <w:rsid w:val="001005E9"/>
    <w:rsid w:val="00106503"/>
    <w:rsid w:val="001111F2"/>
    <w:rsid w:val="001221DD"/>
    <w:rsid w:val="0012375B"/>
    <w:rsid w:val="00131BFD"/>
    <w:rsid w:val="001336BF"/>
    <w:rsid w:val="001355B6"/>
    <w:rsid w:val="001431F8"/>
    <w:rsid w:val="00143801"/>
    <w:rsid w:val="00171ED2"/>
    <w:rsid w:val="001726E8"/>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326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B7785"/>
    <w:rsid w:val="002C7B5F"/>
    <w:rsid w:val="002E01A0"/>
    <w:rsid w:val="002F729C"/>
    <w:rsid w:val="00321C55"/>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B7EF6"/>
    <w:rsid w:val="003C7D57"/>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6281"/>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049D"/>
    <w:rsid w:val="0059567A"/>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4C0"/>
    <w:rsid w:val="006C7F54"/>
    <w:rsid w:val="006D4535"/>
    <w:rsid w:val="006D564E"/>
    <w:rsid w:val="006D638D"/>
    <w:rsid w:val="006F111A"/>
    <w:rsid w:val="006F35CD"/>
    <w:rsid w:val="006F4B1B"/>
    <w:rsid w:val="006F64F8"/>
    <w:rsid w:val="00704183"/>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D27"/>
    <w:rsid w:val="007959BA"/>
    <w:rsid w:val="00795A66"/>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4F40"/>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F266B"/>
    <w:rsid w:val="00AF30B1"/>
    <w:rsid w:val="00B11A62"/>
    <w:rsid w:val="00B16263"/>
    <w:rsid w:val="00B165F7"/>
    <w:rsid w:val="00B17FB7"/>
    <w:rsid w:val="00B3353C"/>
    <w:rsid w:val="00B346B6"/>
    <w:rsid w:val="00B35035"/>
    <w:rsid w:val="00B41BED"/>
    <w:rsid w:val="00B43005"/>
    <w:rsid w:val="00B4385B"/>
    <w:rsid w:val="00B57E3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0613C"/>
    <w:rsid w:val="00C103F1"/>
    <w:rsid w:val="00C12A35"/>
    <w:rsid w:val="00C204B8"/>
    <w:rsid w:val="00C21B68"/>
    <w:rsid w:val="00C24092"/>
    <w:rsid w:val="00C339A4"/>
    <w:rsid w:val="00C34FD1"/>
    <w:rsid w:val="00C373B4"/>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D54A0"/>
    <w:rsid w:val="00CE087F"/>
    <w:rsid w:val="00CE2A5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6E29"/>
    <w:rsid w:val="00D849FF"/>
    <w:rsid w:val="00D94ED8"/>
    <w:rsid w:val="00DA0BDC"/>
    <w:rsid w:val="00DA4E75"/>
    <w:rsid w:val="00DB3DA2"/>
    <w:rsid w:val="00DB59D7"/>
    <w:rsid w:val="00DB75E0"/>
    <w:rsid w:val="00DD7501"/>
    <w:rsid w:val="00DE6494"/>
    <w:rsid w:val="00DF24A7"/>
    <w:rsid w:val="00DF264B"/>
    <w:rsid w:val="00DF79D0"/>
    <w:rsid w:val="00E06306"/>
    <w:rsid w:val="00E102C5"/>
    <w:rsid w:val="00E154EB"/>
    <w:rsid w:val="00E2469A"/>
    <w:rsid w:val="00E32382"/>
    <w:rsid w:val="00E373FB"/>
    <w:rsid w:val="00E40762"/>
    <w:rsid w:val="00E4156C"/>
    <w:rsid w:val="00E45078"/>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character" w:styleId="Strong">
    <w:name w:val="Strong"/>
    <w:uiPriority w:val="22"/>
    <w:qFormat/>
    <w:rsid w:val="009D4F40"/>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7633637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2015-09-16T11:51:00Z</cp:lastPrinted>
  <dcterms:created xsi:type="dcterms:W3CDTF">2015-10-02T10:19:00Z</dcterms:created>
  <dcterms:modified xsi:type="dcterms:W3CDTF">2015-10-02T10:19:00Z</dcterms:modified>
</cp:coreProperties>
</file>