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0B0647"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9A6FA9" w:rsidRDefault="009A6FA9" w:rsidP="0076681A">
      <w:pPr>
        <w:spacing w:line="320" w:lineRule="exact"/>
        <w:jc w:val="both"/>
        <w:rPr>
          <w:rFonts w:ascii="Arial" w:hAnsi="Arial" w:cs="Arial"/>
          <w:b/>
          <w:bCs/>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3935B0">
        <w:rPr>
          <w:u w:val="none"/>
        </w:rPr>
        <w:t>3</w:t>
      </w:r>
      <w:r w:rsidR="009A723C">
        <w:rPr>
          <w:u w:val="none"/>
        </w:rPr>
        <w:t>2</w:t>
      </w:r>
      <w:r w:rsidR="00DE6F31">
        <w:rPr>
          <w:u w:val="none"/>
        </w:rPr>
        <w:t>27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AF0C0C">
        <w:rPr>
          <w:rFonts w:ascii="Arial" w:hAnsi="Arial" w:cs="Arial"/>
          <w:b/>
          <w:bCs/>
        </w:rPr>
        <w:t xml:space="preserve">28 </w:t>
      </w:r>
      <w:r w:rsidR="00B56048">
        <w:rPr>
          <w:rFonts w:ascii="Arial" w:hAnsi="Arial" w:cs="Arial"/>
          <w:b/>
          <w:bCs/>
        </w:rPr>
        <w:t xml:space="preserve">August </w:t>
      </w:r>
      <w:r w:rsidR="00AF23A3">
        <w:rPr>
          <w:rFonts w:ascii="Arial" w:hAnsi="Arial" w:cs="Arial"/>
          <w:b/>
          <w:bCs/>
        </w:rPr>
        <w:t>2</w:t>
      </w:r>
      <w:r w:rsidR="00993487">
        <w:rPr>
          <w:rFonts w:ascii="Arial" w:hAnsi="Arial" w:cs="Arial"/>
          <w:b/>
          <w:bCs/>
        </w:rPr>
        <w:t>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B56048">
        <w:rPr>
          <w:u w:val="none"/>
        </w:rPr>
        <w:t>3</w:t>
      </w:r>
      <w:r w:rsidR="00AF0C0C">
        <w:rPr>
          <w:u w:val="none"/>
        </w:rPr>
        <w:t>4</w:t>
      </w:r>
      <w:r w:rsidR="00AF23A3">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DE6F31" w:rsidP="009A6FA9">
      <w:pPr>
        <w:tabs>
          <w:tab w:val="left" w:pos="993"/>
        </w:tabs>
        <w:spacing w:line="320" w:lineRule="exact"/>
        <w:ind w:left="993" w:hanging="993"/>
        <w:jc w:val="both"/>
        <w:rPr>
          <w:rFonts w:ascii="Arial" w:hAnsi="Arial" w:cs="Arial"/>
          <w:b/>
          <w:lang w:val="en-US"/>
        </w:rPr>
      </w:pPr>
      <w:r w:rsidRPr="00DE6F31">
        <w:rPr>
          <w:rFonts w:ascii="Arial" w:hAnsi="Arial" w:cs="Arial"/>
          <w:b/>
          <w:lang w:val="en-US"/>
        </w:rPr>
        <w:t>3227.</w:t>
      </w:r>
      <w:r w:rsidRPr="00DE6F31">
        <w:rPr>
          <w:rFonts w:ascii="Arial" w:hAnsi="Arial" w:cs="Arial"/>
          <w:b/>
          <w:lang w:val="en-US"/>
        </w:rPr>
        <w:tab/>
        <w:t>Mr M H Hoosen (DA) to ask the Minister of Home Affairs</w:t>
      </w:r>
      <w:r w:rsidR="00AF0C0C" w:rsidRPr="00AF0C0C">
        <w:rPr>
          <w:rFonts w:ascii="Arial" w:hAnsi="Arial" w:cs="Arial"/>
          <w:b/>
          <w:lang w:val="en-US"/>
        </w:rPr>
        <w:t>:</w:t>
      </w:r>
    </w:p>
    <w:p w:rsidR="00934463" w:rsidRDefault="00934463" w:rsidP="009A6FA9">
      <w:pPr>
        <w:tabs>
          <w:tab w:val="left" w:pos="993"/>
        </w:tabs>
        <w:spacing w:line="320" w:lineRule="exact"/>
        <w:ind w:left="993" w:hanging="993"/>
        <w:jc w:val="both"/>
        <w:rPr>
          <w:rFonts w:ascii="Arial" w:hAnsi="Arial" w:cs="Arial"/>
          <w:lang w:val="en-US"/>
        </w:rPr>
      </w:pPr>
    </w:p>
    <w:p w:rsidR="00DE6F31" w:rsidRPr="00DE6F31" w:rsidRDefault="00DE6F31" w:rsidP="009A6FA9">
      <w:pPr>
        <w:tabs>
          <w:tab w:val="left" w:pos="993"/>
        </w:tabs>
        <w:spacing w:line="320" w:lineRule="exact"/>
        <w:ind w:left="993" w:hanging="993"/>
        <w:jc w:val="both"/>
        <w:rPr>
          <w:rFonts w:ascii="Arial" w:hAnsi="Arial" w:cs="Arial"/>
          <w:lang w:val="en-US"/>
        </w:rPr>
      </w:pPr>
      <w:r w:rsidRPr="00DE6F31">
        <w:rPr>
          <w:rFonts w:ascii="Arial" w:hAnsi="Arial" w:cs="Arial"/>
          <w:lang w:val="en-US"/>
        </w:rPr>
        <w:t>(1)</w:t>
      </w:r>
      <w:r w:rsidRPr="00DE6F31">
        <w:rPr>
          <w:rFonts w:ascii="Arial" w:hAnsi="Arial" w:cs="Arial"/>
          <w:lang w:val="en-US"/>
        </w:rPr>
        <w:tab/>
        <w:t>(a) How many South African citizens lost their citizenship in terms of section 6 of the South African Citizenship Act, Act 88 of 1995, in the (i) 2010-11, (ii) 2011-12, (iii) 2012-13 and (iv) 2014-15 financial years, (b) from which countries did the specified persons acquire citizenship and (c) what attempts are being made to inform citizens who are abroad about the specified provision of the Act;</w:t>
      </w:r>
    </w:p>
    <w:p w:rsidR="00934463" w:rsidRDefault="00DE6F31" w:rsidP="009A6FA9">
      <w:pPr>
        <w:tabs>
          <w:tab w:val="left" w:pos="993"/>
        </w:tabs>
        <w:spacing w:line="320" w:lineRule="exact"/>
        <w:ind w:left="993" w:hanging="993"/>
        <w:jc w:val="both"/>
        <w:rPr>
          <w:rFonts w:ascii="Arial" w:hAnsi="Arial" w:cs="Arial"/>
          <w:lang w:val="en-US"/>
        </w:rPr>
      </w:pPr>
      <w:r w:rsidRPr="00DE6F31">
        <w:rPr>
          <w:rFonts w:ascii="Arial" w:hAnsi="Arial" w:cs="Arial"/>
          <w:lang w:val="en-US"/>
        </w:rPr>
        <w:t>(2)</w:t>
      </w:r>
      <w:r w:rsidRPr="00DE6F31">
        <w:rPr>
          <w:rFonts w:ascii="Arial" w:hAnsi="Arial" w:cs="Arial"/>
          <w:lang w:val="en-US"/>
        </w:rPr>
        <w:tab/>
        <w:t>have immigration departments in other countries been briefed in order to inform South African citizens in those countries about the implications of acquiring citizenship of another country?</w:t>
      </w:r>
      <w:r w:rsidRPr="00DE6F31">
        <w:rPr>
          <w:rFonts w:ascii="Arial" w:hAnsi="Arial" w:cs="Arial"/>
          <w:lang w:val="en-US"/>
        </w:rPr>
        <w:tab/>
      </w:r>
      <w:r w:rsidRPr="00DE6F31">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DE6F31">
        <w:rPr>
          <w:rFonts w:ascii="Arial" w:hAnsi="Arial" w:cs="Arial"/>
          <w:lang w:val="en-US"/>
        </w:rPr>
        <w:tab/>
        <w:t>NW3828E</w:t>
      </w:r>
      <w:r w:rsidR="000C2DDA" w:rsidRPr="000C2DDA">
        <w:rPr>
          <w:rFonts w:ascii="Arial" w:hAnsi="Arial" w:cs="Arial"/>
          <w:lang w:val="en-US"/>
        </w:rPr>
        <w:tab/>
      </w:r>
      <w:r w:rsidR="00217670" w:rsidRPr="00217670">
        <w:rPr>
          <w:rFonts w:ascii="Arial" w:hAnsi="Arial" w:cs="Arial"/>
          <w:lang w:val="en-US"/>
        </w:rPr>
        <w:tab/>
      </w:r>
    </w:p>
    <w:p w:rsidR="00FF55EE" w:rsidRPr="009357F9" w:rsidRDefault="00FF55EE" w:rsidP="007F7FC3">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9A6FA9" w:rsidRDefault="009A6FA9" w:rsidP="009A6FA9">
      <w:pPr>
        <w:tabs>
          <w:tab w:val="left" w:pos="993"/>
        </w:tabs>
        <w:spacing w:line="320" w:lineRule="exact"/>
        <w:ind w:left="993" w:hanging="993"/>
        <w:jc w:val="both"/>
        <w:rPr>
          <w:rFonts w:ascii="Arial" w:hAnsi="Arial" w:cs="Arial"/>
        </w:rPr>
      </w:pPr>
      <w:r>
        <w:rPr>
          <w:rFonts w:ascii="Arial" w:hAnsi="Arial" w:cs="Arial"/>
        </w:rPr>
        <w:t>(1)(a)(i)</w:t>
      </w:r>
      <w:r>
        <w:rPr>
          <w:rFonts w:ascii="Arial" w:hAnsi="Arial" w:cs="Arial"/>
        </w:rPr>
        <w:tab/>
        <w:t xml:space="preserve">2010-2011 </w:t>
      </w:r>
      <w:r>
        <w:rPr>
          <w:rFonts w:ascii="Arial" w:hAnsi="Arial" w:cs="Arial"/>
        </w:rPr>
        <w:tab/>
        <w:t>- 619</w:t>
      </w:r>
    </w:p>
    <w:p w:rsidR="009A6FA9" w:rsidRDefault="009A6FA9" w:rsidP="009A6FA9">
      <w:pPr>
        <w:tabs>
          <w:tab w:val="left" w:pos="993"/>
        </w:tabs>
        <w:spacing w:line="320" w:lineRule="exact"/>
        <w:ind w:left="993" w:hanging="993"/>
        <w:jc w:val="both"/>
        <w:rPr>
          <w:rFonts w:ascii="Arial" w:hAnsi="Arial" w:cs="Arial"/>
        </w:rPr>
      </w:pPr>
      <w:r>
        <w:rPr>
          <w:rFonts w:ascii="Arial" w:hAnsi="Arial" w:cs="Arial"/>
        </w:rPr>
        <w:t>(1)(a)(ii)</w:t>
      </w:r>
      <w:r>
        <w:rPr>
          <w:rFonts w:ascii="Arial" w:hAnsi="Arial" w:cs="Arial"/>
        </w:rPr>
        <w:tab/>
        <w:t>2011-2012</w:t>
      </w:r>
      <w:r>
        <w:rPr>
          <w:rFonts w:ascii="Arial" w:hAnsi="Arial" w:cs="Arial"/>
        </w:rPr>
        <w:tab/>
      </w:r>
      <w:r>
        <w:rPr>
          <w:rFonts w:ascii="Arial" w:hAnsi="Arial" w:cs="Arial"/>
        </w:rPr>
        <w:tab/>
        <w:t>- 540</w:t>
      </w:r>
    </w:p>
    <w:p w:rsidR="009A6FA9" w:rsidRDefault="009A6FA9" w:rsidP="009A6FA9">
      <w:pPr>
        <w:tabs>
          <w:tab w:val="left" w:pos="993"/>
        </w:tabs>
        <w:spacing w:line="320" w:lineRule="exact"/>
        <w:ind w:left="993" w:hanging="993"/>
        <w:jc w:val="both"/>
        <w:rPr>
          <w:rFonts w:ascii="Arial" w:hAnsi="Arial" w:cs="Arial"/>
        </w:rPr>
      </w:pPr>
      <w:r>
        <w:rPr>
          <w:rFonts w:ascii="Arial" w:hAnsi="Arial" w:cs="Arial"/>
        </w:rPr>
        <w:t>(1)(a)(iii)</w:t>
      </w:r>
      <w:r>
        <w:rPr>
          <w:rFonts w:ascii="Arial" w:hAnsi="Arial" w:cs="Arial"/>
        </w:rPr>
        <w:tab/>
        <w:t>2012-2013</w:t>
      </w:r>
      <w:r>
        <w:rPr>
          <w:rFonts w:ascii="Arial" w:hAnsi="Arial" w:cs="Arial"/>
        </w:rPr>
        <w:tab/>
      </w:r>
      <w:r>
        <w:rPr>
          <w:rFonts w:ascii="Arial" w:hAnsi="Arial" w:cs="Arial"/>
        </w:rPr>
        <w:tab/>
        <w:t>- 364</w:t>
      </w:r>
    </w:p>
    <w:p w:rsidR="009A6FA9" w:rsidRDefault="009A6FA9" w:rsidP="009A6FA9">
      <w:pPr>
        <w:tabs>
          <w:tab w:val="left" w:pos="993"/>
        </w:tabs>
        <w:spacing w:line="320" w:lineRule="exact"/>
        <w:ind w:left="993" w:hanging="993"/>
        <w:jc w:val="both"/>
        <w:rPr>
          <w:rFonts w:ascii="Arial" w:hAnsi="Arial" w:cs="Arial"/>
        </w:rPr>
      </w:pPr>
      <w:r>
        <w:rPr>
          <w:rFonts w:ascii="Arial" w:hAnsi="Arial" w:cs="Arial"/>
        </w:rPr>
        <w:t>(1)(a)(iv)</w:t>
      </w:r>
      <w:r>
        <w:rPr>
          <w:rFonts w:ascii="Arial" w:hAnsi="Arial" w:cs="Arial"/>
        </w:rPr>
        <w:tab/>
        <w:t>2014-2014</w:t>
      </w:r>
      <w:r>
        <w:rPr>
          <w:rFonts w:ascii="Arial" w:hAnsi="Arial" w:cs="Arial"/>
        </w:rPr>
        <w:tab/>
      </w:r>
      <w:r>
        <w:rPr>
          <w:rFonts w:ascii="Arial" w:hAnsi="Arial" w:cs="Arial"/>
        </w:rPr>
        <w:tab/>
        <w:t>- 509</w:t>
      </w:r>
    </w:p>
    <w:p w:rsidR="009A6FA9" w:rsidRDefault="009A6FA9" w:rsidP="009A6FA9">
      <w:pPr>
        <w:tabs>
          <w:tab w:val="left" w:pos="993"/>
        </w:tabs>
        <w:spacing w:line="320" w:lineRule="exact"/>
        <w:ind w:left="993" w:hanging="993"/>
        <w:jc w:val="both"/>
        <w:rPr>
          <w:rFonts w:ascii="Arial" w:hAnsi="Arial" w:cs="Arial"/>
        </w:rPr>
      </w:pPr>
    </w:p>
    <w:p w:rsidR="009A6FA9" w:rsidRDefault="009A6FA9" w:rsidP="009A6FA9">
      <w:pPr>
        <w:tabs>
          <w:tab w:val="left" w:pos="993"/>
        </w:tabs>
        <w:spacing w:line="320" w:lineRule="exact"/>
        <w:ind w:left="993" w:hanging="993"/>
        <w:jc w:val="both"/>
        <w:rPr>
          <w:rFonts w:ascii="Arial" w:hAnsi="Arial" w:cs="Arial"/>
        </w:rPr>
      </w:pPr>
      <w:r>
        <w:rPr>
          <w:rFonts w:ascii="Arial" w:hAnsi="Arial" w:cs="Arial"/>
        </w:rPr>
        <w:t>(1)(b)</w:t>
      </w:r>
      <w:r>
        <w:rPr>
          <w:rFonts w:ascii="Arial" w:hAnsi="Arial" w:cs="Arial"/>
        </w:rPr>
        <w:tab/>
      </w:r>
      <w:r w:rsidR="00DB4F90">
        <w:rPr>
          <w:rFonts w:ascii="Arial" w:hAnsi="Arial" w:cs="Arial"/>
        </w:rPr>
        <w:t xml:space="preserve">A majority of cases relate to citizens taking up citizenship in </w:t>
      </w:r>
      <w:smartTag w:uri="urn:schemas-microsoft-com:office:smarttags" w:element="country-region">
        <w:r w:rsidR="00DB4F90">
          <w:rPr>
            <w:rFonts w:ascii="Arial" w:hAnsi="Arial" w:cs="Arial"/>
          </w:rPr>
          <w:t>Australia</w:t>
        </w:r>
      </w:smartTag>
      <w:r w:rsidR="00DB4F90">
        <w:rPr>
          <w:rFonts w:ascii="Arial" w:hAnsi="Arial" w:cs="Arial"/>
        </w:rPr>
        <w:t xml:space="preserve">, </w:t>
      </w:r>
      <w:smartTag w:uri="urn:schemas-microsoft-com:office:smarttags" w:element="City">
        <w:r w:rsidR="00DB4F90">
          <w:rPr>
            <w:rFonts w:ascii="Arial" w:hAnsi="Arial" w:cs="Arial"/>
          </w:rPr>
          <w:t>Western Europe</w:t>
        </w:r>
      </w:smartTag>
      <w:r w:rsidR="00DB4F90">
        <w:rPr>
          <w:rFonts w:ascii="Arial" w:hAnsi="Arial" w:cs="Arial"/>
        </w:rPr>
        <w:t xml:space="preserve">, </w:t>
      </w:r>
      <w:smartTag w:uri="urn:schemas-microsoft-com:office:smarttags" w:element="country-region">
        <w:r w:rsidR="00DB4F90">
          <w:rPr>
            <w:rFonts w:ascii="Arial" w:hAnsi="Arial" w:cs="Arial"/>
          </w:rPr>
          <w:t>Canada</w:t>
        </w:r>
      </w:smartTag>
      <w:r w:rsidR="00DB4F90">
        <w:rPr>
          <w:rFonts w:ascii="Arial" w:hAnsi="Arial" w:cs="Arial"/>
        </w:rPr>
        <w:t xml:space="preserve">, </w:t>
      </w:r>
      <w:smartTag w:uri="urn:schemas-microsoft-com:office:smarttags" w:element="country-region">
        <w:smartTag w:uri="urn:schemas-microsoft-com:office:smarttags" w:element="place">
          <w:r w:rsidR="00DB4F90">
            <w:rPr>
              <w:rFonts w:ascii="Arial" w:hAnsi="Arial" w:cs="Arial"/>
            </w:rPr>
            <w:t>United States of America</w:t>
          </w:r>
        </w:smartTag>
      </w:smartTag>
      <w:r w:rsidR="00DB4F90">
        <w:rPr>
          <w:rFonts w:ascii="Arial" w:hAnsi="Arial" w:cs="Arial"/>
        </w:rPr>
        <w:t xml:space="preserve"> and other countries.</w:t>
      </w:r>
    </w:p>
    <w:p w:rsidR="009A6FA9" w:rsidRDefault="009A6FA9" w:rsidP="009A6FA9">
      <w:pPr>
        <w:tabs>
          <w:tab w:val="left" w:pos="993"/>
        </w:tabs>
        <w:spacing w:line="320" w:lineRule="exact"/>
        <w:ind w:left="993" w:hanging="993"/>
        <w:jc w:val="both"/>
        <w:rPr>
          <w:rFonts w:ascii="Arial" w:hAnsi="Arial" w:cs="Arial"/>
        </w:rPr>
      </w:pPr>
    </w:p>
    <w:p w:rsidR="009A6FA9" w:rsidRDefault="009A6FA9" w:rsidP="009A6FA9">
      <w:pPr>
        <w:tabs>
          <w:tab w:val="left" w:pos="993"/>
        </w:tabs>
        <w:spacing w:line="320" w:lineRule="exact"/>
        <w:ind w:left="993" w:hanging="993"/>
        <w:jc w:val="both"/>
        <w:rPr>
          <w:rFonts w:ascii="Arial" w:hAnsi="Arial" w:cs="Arial"/>
        </w:rPr>
      </w:pPr>
      <w:r>
        <w:rPr>
          <w:rFonts w:ascii="Arial" w:hAnsi="Arial" w:cs="Arial"/>
        </w:rPr>
        <w:t>(1)(c)</w:t>
      </w:r>
      <w:r>
        <w:rPr>
          <w:rFonts w:ascii="Arial" w:hAnsi="Arial" w:cs="Arial"/>
        </w:rPr>
        <w:tab/>
        <w:t>The website of the department was updated in relation to the Citizenship Act, as it is the responsibility of each citizen to familiarise themselves with the Act</w:t>
      </w:r>
      <w:r w:rsidR="00DB4F90">
        <w:rPr>
          <w:rFonts w:ascii="Arial" w:hAnsi="Arial" w:cs="Arial"/>
        </w:rPr>
        <w:t>, prior to taking up other country’s citizenship.</w:t>
      </w:r>
    </w:p>
    <w:p w:rsidR="00DB4F90" w:rsidRDefault="009A6FA9" w:rsidP="009A6FA9">
      <w:pPr>
        <w:tabs>
          <w:tab w:val="left" w:pos="993"/>
        </w:tabs>
        <w:spacing w:line="320" w:lineRule="exact"/>
        <w:ind w:left="993" w:hanging="993"/>
        <w:jc w:val="both"/>
        <w:rPr>
          <w:rFonts w:ascii="Arial" w:hAnsi="Arial" w:cs="Arial"/>
        </w:rPr>
      </w:pPr>
      <w:r>
        <w:rPr>
          <w:rFonts w:ascii="Arial" w:hAnsi="Arial" w:cs="Arial"/>
        </w:rPr>
        <w:lastRenderedPageBreak/>
        <w:t>(2)</w:t>
      </w:r>
      <w:r>
        <w:rPr>
          <w:rFonts w:ascii="Arial" w:hAnsi="Arial" w:cs="Arial"/>
        </w:rPr>
        <w:tab/>
      </w:r>
      <w:r w:rsidR="00DB4F90">
        <w:rPr>
          <w:rFonts w:ascii="Arial" w:hAnsi="Arial" w:cs="Arial"/>
        </w:rPr>
        <w:t>No, the onus is on the individuals and those receiving countries.</w:t>
      </w:r>
    </w:p>
    <w:p w:rsidR="00DB4F90" w:rsidRDefault="00DB4F90" w:rsidP="009A6FA9">
      <w:pPr>
        <w:tabs>
          <w:tab w:val="left" w:pos="993"/>
        </w:tabs>
        <w:spacing w:line="320" w:lineRule="exact"/>
        <w:ind w:left="993" w:hanging="993"/>
        <w:jc w:val="both"/>
        <w:rPr>
          <w:rFonts w:ascii="Arial" w:hAnsi="Arial" w:cs="Arial"/>
        </w:rPr>
      </w:pPr>
    </w:p>
    <w:p w:rsidR="009A6FA9" w:rsidRPr="009357F9" w:rsidRDefault="009A6FA9" w:rsidP="00DB4F90">
      <w:pPr>
        <w:tabs>
          <w:tab w:val="left" w:pos="993"/>
        </w:tabs>
        <w:spacing w:line="320" w:lineRule="exact"/>
        <w:ind w:left="993" w:hanging="993"/>
        <w:jc w:val="both"/>
        <w:rPr>
          <w:rFonts w:ascii="Arial" w:hAnsi="Arial" w:cs="Arial"/>
        </w:rPr>
      </w:pPr>
    </w:p>
    <w:sectPr w:rsidR="009A6FA9" w:rsidRPr="009357F9" w:rsidSect="009A6FA9">
      <w:headerReference w:type="even" r:id="rId8"/>
      <w:headerReference w:type="default" r:id="rId9"/>
      <w:pgSz w:w="11907" w:h="16839" w:code="9"/>
      <w:pgMar w:top="568" w:right="1800" w:bottom="1701"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BA3" w:rsidRDefault="00211BA3">
      <w:r>
        <w:separator/>
      </w:r>
    </w:p>
  </w:endnote>
  <w:endnote w:type="continuationSeparator" w:id="0">
    <w:p w:rsidR="00211BA3" w:rsidRDefault="00211B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BA3" w:rsidRDefault="00211BA3">
      <w:r>
        <w:separator/>
      </w:r>
    </w:p>
  </w:footnote>
  <w:footnote w:type="continuationSeparator" w:id="0">
    <w:p w:rsidR="00211BA3" w:rsidRDefault="00211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B" w:rsidRDefault="00F327CB"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27CB" w:rsidRDefault="00F327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B" w:rsidRDefault="00F327CB"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0647">
      <w:rPr>
        <w:rStyle w:val="PageNumber"/>
        <w:noProof/>
      </w:rPr>
      <w:t>2</w:t>
    </w:r>
    <w:r>
      <w:rPr>
        <w:rStyle w:val="PageNumber"/>
      </w:rPr>
      <w:fldChar w:fldCharType="end"/>
    </w:r>
  </w:p>
  <w:p w:rsidR="00F327CB" w:rsidRDefault="00F327CB">
    <w:pPr>
      <w:pStyle w:val="Header"/>
    </w:pPr>
  </w:p>
  <w:p w:rsidR="00F327CB" w:rsidRDefault="00F327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810210"/>
    <w:multiLevelType w:val="hybridMultilevel"/>
    <w:tmpl w:val="EFD8D826"/>
    <w:lvl w:ilvl="0" w:tplc="C07A8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4"/>
  </w:num>
  <w:num w:numId="3">
    <w:abstractNumId w:val="15"/>
  </w:num>
  <w:num w:numId="4">
    <w:abstractNumId w:val="19"/>
  </w:num>
  <w:num w:numId="5">
    <w:abstractNumId w:val="3"/>
  </w:num>
  <w:num w:numId="6">
    <w:abstractNumId w:val="18"/>
  </w:num>
  <w:num w:numId="7">
    <w:abstractNumId w:val="28"/>
  </w:num>
  <w:num w:numId="8">
    <w:abstractNumId w:val="33"/>
  </w:num>
  <w:num w:numId="9">
    <w:abstractNumId w:val="11"/>
  </w:num>
  <w:num w:numId="10">
    <w:abstractNumId w:val="31"/>
  </w:num>
  <w:num w:numId="11">
    <w:abstractNumId w:val="14"/>
  </w:num>
  <w:num w:numId="12">
    <w:abstractNumId w:val="7"/>
  </w:num>
  <w:num w:numId="13">
    <w:abstractNumId w:val="22"/>
  </w:num>
  <w:num w:numId="14">
    <w:abstractNumId w:val="30"/>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10"/>
  </w:num>
  <w:num w:numId="21">
    <w:abstractNumId w:val="25"/>
  </w:num>
  <w:num w:numId="22">
    <w:abstractNumId w:val="0"/>
  </w:num>
  <w:num w:numId="23">
    <w:abstractNumId w:val="9"/>
  </w:num>
  <w:num w:numId="24">
    <w:abstractNumId w:val="29"/>
  </w:num>
  <w:num w:numId="25">
    <w:abstractNumId w:val="4"/>
  </w:num>
  <w:num w:numId="26">
    <w:abstractNumId w:val="16"/>
  </w:num>
  <w:num w:numId="27">
    <w:abstractNumId w:val="21"/>
  </w:num>
  <w:num w:numId="28">
    <w:abstractNumId w:val="13"/>
  </w:num>
  <w:num w:numId="29">
    <w:abstractNumId w:val="26"/>
  </w:num>
  <w:num w:numId="30">
    <w:abstractNumId w:val="17"/>
  </w:num>
  <w:num w:numId="31">
    <w:abstractNumId w:val="8"/>
  </w:num>
  <w:num w:numId="32">
    <w:abstractNumId w:val="12"/>
  </w:num>
  <w:num w:numId="33">
    <w:abstractNumId w:val="20"/>
  </w:num>
  <w:num w:numId="34">
    <w:abstractNumId w:val="32"/>
  </w:num>
  <w:num w:numId="35">
    <w:abstractNumId w:val="1"/>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6CAC"/>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1CB9"/>
    <w:rsid w:val="000A2FD2"/>
    <w:rsid w:val="000A37AE"/>
    <w:rsid w:val="000A42CB"/>
    <w:rsid w:val="000A449C"/>
    <w:rsid w:val="000A6719"/>
    <w:rsid w:val="000A67E3"/>
    <w:rsid w:val="000B008E"/>
    <w:rsid w:val="000B0499"/>
    <w:rsid w:val="000B0647"/>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1BA3"/>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BBE"/>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2DD3"/>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17292"/>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6FA9"/>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66"/>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482"/>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692"/>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4F90"/>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003"/>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27CB"/>
    <w:rsid w:val="00F34820"/>
    <w:rsid w:val="00F34EB1"/>
    <w:rsid w:val="00F359BD"/>
    <w:rsid w:val="00F4042C"/>
    <w:rsid w:val="00F40675"/>
    <w:rsid w:val="00F411EB"/>
    <w:rsid w:val="00F4168F"/>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9A6FA9"/>
    <w:pPr>
      <w:tabs>
        <w:tab w:val="center" w:pos="4513"/>
        <w:tab w:val="right" w:pos="9026"/>
      </w:tabs>
    </w:pPr>
  </w:style>
  <w:style w:type="character" w:customStyle="1" w:styleId="FooterChar">
    <w:name w:val="Footer Char"/>
    <w:link w:val="Footer"/>
    <w:rsid w:val="009A6FA9"/>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2015-09-14T07:51:00Z</cp:lastPrinted>
  <dcterms:created xsi:type="dcterms:W3CDTF">2015-10-01T11:46:00Z</dcterms:created>
  <dcterms:modified xsi:type="dcterms:W3CDTF">2015-10-01T11:46:00Z</dcterms:modified>
</cp:coreProperties>
</file>