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05562013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PlaceType">
          <w:r w:rsidRPr="00D26F9E">
            <w:rPr>
              <w:rFonts w:ascii="Arial" w:hAnsi="Arial" w:cs="Arial"/>
              <w:b/>
              <w:bCs/>
              <w:sz w:val="24"/>
            </w:rPr>
            <w:t>REPUBLIC</w:t>
          </w:r>
        </w:smartTag>
        <w:r w:rsidRPr="00D26F9E">
          <w:rPr>
            <w:rFonts w:ascii="Arial" w:hAnsi="Arial" w:cs="Arial"/>
            <w:b/>
            <w:bCs/>
            <w:sz w:val="24"/>
          </w:rPr>
          <w:t xml:space="preserve"> OF </w:t>
        </w:r>
        <w:smartTag w:uri="urn:schemas-microsoft-com:office:smarttags" w:element="PlaceName">
          <w:r w:rsidRPr="00D26F9E">
            <w:rPr>
              <w:rFonts w:ascii="Arial" w:hAnsi="Arial" w:cs="Arial"/>
              <w:b/>
              <w:bCs/>
              <w:sz w:val="24"/>
            </w:rPr>
            <w:t>SOUTH AFRICA</w:t>
          </w:r>
        </w:smartTag>
      </w:smartTag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0B2098" w:rsidRDefault="00D26F9E" w:rsidP="00FF5AD4">
      <w:pPr>
        <w:tabs>
          <w:tab w:val="left" w:pos="2910"/>
        </w:tabs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9F5B5D" w:rsidRPr="0055709D">
        <w:rPr>
          <w:b/>
          <w:sz w:val="24"/>
          <w:szCs w:val="24"/>
          <w:lang w:val="af-ZA"/>
        </w:rPr>
        <w:t xml:space="preserve"> </w:t>
      </w:r>
      <w:r w:rsidR="00667FF7">
        <w:rPr>
          <w:b/>
          <w:sz w:val="24"/>
          <w:szCs w:val="24"/>
          <w:lang w:val="af-ZA"/>
        </w:rPr>
        <w:t>3</w:t>
      </w:r>
      <w:r w:rsidR="00335B99">
        <w:rPr>
          <w:b/>
          <w:sz w:val="24"/>
          <w:szCs w:val="24"/>
          <w:lang w:val="af-ZA"/>
        </w:rPr>
        <w:t>21</w:t>
      </w:r>
      <w:r w:rsidR="000535C3">
        <w:rPr>
          <w:b/>
          <w:sz w:val="24"/>
          <w:szCs w:val="24"/>
          <w:lang w:val="af-ZA"/>
        </w:rPr>
        <w:t>9</w:t>
      </w:r>
    </w:p>
    <w:p w:rsidR="00093481" w:rsidRPr="0055709D" w:rsidRDefault="00093481" w:rsidP="00D26F9E">
      <w:pPr>
        <w:rPr>
          <w:b/>
          <w:sz w:val="24"/>
          <w:szCs w:val="24"/>
        </w:rPr>
      </w:pPr>
    </w:p>
    <w:p w:rsidR="00D26F9E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DATE OF PUBLICATION:</w:t>
      </w:r>
      <w:r w:rsidR="00C12A35">
        <w:rPr>
          <w:b/>
          <w:sz w:val="24"/>
          <w:szCs w:val="24"/>
        </w:rPr>
        <w:t xml:space="preserve"> </w:t>
      </w:r>
      <w:r w:rsidR="00667FF7">
        <w:rPr>
          <w:b/>
          <w:sz w:val="24"/>
          <w:szCs w:val="24"/>
        </w:rPr>
        <w:t>2</w:t>
      </w:r>
      <w:r w:rsidR="00335B99">
        <w:rPr>
          <w:b/>
          <w:sz w:val="24"/>
          <w:szCs w:val="24"/>
        </w:rPr>
        <w:t>8</w:t>
      </w:r>
      <w:r w:rsidR="001336BF">
        <w:rPr>
          <w:b/>
          <w:sz w:val="24"/>
          <w:szCs w:val="24"/>
        </w:rPr>
        <w:t xml:space="preserve"> AUGUST </w:t>
      </w:r>
      <w:r w:rsidR="002B7785">
        <w:rPr>
          <w:b/>
          <w:sz w:val="24"/>
          <w:szCs w:val="24"/>
        </w:rPr>
        <w:t>2</w:t>
      </w:r>
      <w:r w:rsidR="00A830EA" w:rsidRPr="0055709D">
        <w:rPr>
          <w:b/>
          <w:sz w:val="24"/>
          <w:szCs w:val="24"/>
        </w:rPr>
        <w:t>01</w:t>
      </w:r>
      <w:r w:rsidR="00526E7D" w:rsidRPr="0055709D">
        <w:rPr>
          <w:b/>
          <w:sz w:val="24"/>
          <w:szCs w:val="24"/>
        </w:rPr>
        <w:t>5</w:t>
      </w:r>
    </w:p>
    <w:p w:rsidR="009D5865" w:rsidRDefault="00CE6D18" w:rsidP="009D5865">
      <w:pPr>
        <w:tabs>
          <w:tab w:val="left" w:pos="12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535C3" w:rsidRDefault="000535C3" w:rsidP="000535C3">
      <w:pPr>
        <w:rPr>
          <w:b/>
          <w:sz w:val="24"/>
          <w:szCs w:val="24"/>
        </w:rPr>
      </w:pPr>
      <w:r w:rsidRPr="000535C3">
        <w:rPr>
          <w:b/>
          <w:sz w:val="24"/>
          <w:szCs w:val="24"/>
        </w:rPr>
        <w:t xml:space="preserve">Mr K J </w:t>
      </w:r>
      <w:r w:rsidRPr="000535C3">
        <w:rPr>
          <w:b/>
          <w:sz w:val="24"/>
          <w:szCs w:val="24"/>
          <w:lang w:val="en-ZA"/>
        </w:rPr>
        <w:t>Mileham</w:t>
      </w:r>
      <w:r w:rsidRPr="000535C3">
        <w:rPr>
          <w:b/>
          <w:sz w:val="24"/>
          <w:szCs w:val="24"/>
        </w:rPr>
        <w:t xml:space="preserve"> (DA) to ask the Minister of Human Settlements:</w:t>
      </w:r>
    </w:p>
    <w:p w:rsidR="000535C3" w:rsidRPr="000535C3" w:rsidRDefault="000535C3" w:rsidP="000535C3">
      <w:pPr>
        <w:rPr>
          <w:b/>
          <w:sz w:val="24"/>
          <w:szCs w:val="24"/>
        </w:rPr>
      </w:pPr>
    </w:p>
    <w:p w:rsidR="000535C3" w:rsidRPr="000535C3" w:rsidRDefault="000535C3" w:rsidP="000535C3">
      <w:pPr>
        <w:spacing w:line="360" w:lineRule="auto"/>
        <w:ind w:left="720" w:hanging="720"/>
        <w:rPr>
          <w:rFonts w:eastAsia="Calibri"/>
          <w:sz w:val="24"/>
          <w:szCs w:val="24"/>
        </w:rPr>
      </w:pPr>
      <w:r w:rsidRPr="000535C3">
        <w:rPr>
          <w:sz w:val="24"/>
          <w:szCs w:val="24"/>
        </w:rPr>
        <w:t>(1)</w:t>
      </w:r>
      <w:r w:rsidRPr="000535C3">
        <w:rPr>
          <w:sz w:val="24"/>
          <w:szCs w:val="24"/>
        </w:rPr>
        <w:tab/>
      </w:r>
      <w:r w:rsidRPr="000535C3">
        <w:rPr>
          <w:rFonts w:eastAsia="Calibri"/>
          <w:sz w:val="24"/>
          <w:szCs w:val="24"/>
        </w:rPr>
        <w:t>Whether her department has withheld or caused to be withheld any grants to (a) local, (b) district or (c) metropolitan municipalities (i) in the 2014-15 financial year and (ii) since 1 April 2015; if so, in respect of each specified case, (aa) what amount was withheld, (bb) what were the reasons for withholding the grant and (cc) in terms of which legislation and/or regulations was the grant withheld;</w:t>
      </w:r>
    </w:p>
    <w:p w:rsidR="000535C3" w:rsidRPr="000535C3" w:rsidRDefault="000535C3" w:rsidP="000535C3">
      <w:pPr>
        <w:spacing w:line="360" w:lineRule="auto"/>
        <w:ind w:left="720" w:hanging="720"/>
        <w:rPr>
          <w:rFonts w:eastAsia="Calibri"/>
          <w:sz w:val="24"/>
          <w:szCs w:val="24"/>
        </w:rPr>
      </w:pPr>
      <w:r w:rsidRPr="000535C3">
        <w:rPr>
          <w:rFonts w:eastAsia="Calibri"/>
          <w:sz w:val="24"/>
          <w:szCs w:val="24"/>
        </w:rPr>
        <w:t>(2)</w:t>
      </w:r>
      <w:r w:rsidRPr="000535C3">
        <w:rPr>
          <w:rFonts w:eastAsia="Calibri"/>
          <w:sz w:val="24"/>
          <w:szCs w:val="24"/>
        </w:rPr>
        <w:tab/>
        <w:t xml:space="preserve">whether her department consulted with the National Treasury in respect of each specified case; if </w:t>
      </w:r>
      <w:r w:rsidRPr="000535C3">
        <w:rPr>
          <w:sz w:val="24"/>
          <w:szCs w:val="24"/>
          <w:lang w:val="en-ZA"/>
        </w:rPr>
        <w:t>not</w:t>
      </w:r>
      <w:r w:rsidRPr="000535C3">
        <w:rPr>
          <w:rFonts w:eastAsia="Calibri"/>
          <w:sz w:val="24"/>
          <w:szCs w:val="24"/>
        </w:rPr>
        <w:t>, why not; if so, what was the National Treasury’s advice in this regard;</w:t>
      </w:r>
    </w:p>
    <w:p w:rsidR="000535C3" w:rsidRPr="00CF23ED" w:rsidRDefault="000535C3" w:rsidP="000535C3">
      <w:pPr>
        <w:spacing w:line="360" w:lineRule="auto"/>
        <w:ind w:left="720" w:hanging="720"/>
      </w:pPr>
      <w:r w:rsidRPr="000535C3">
        <w:rPr>
          <w:rFonts w:eastAsia="Calibri"/>
          <w:sz w:val="24"/>
          <w:szCs w:val="24"/>
        </w:rPr>
        <w:t>(3)</w:t>
      </w:r>
      <w:r w:rsidRPr="000535C3">
        <w:rPr>
          <w:rFonts w:eastAsia="Calibri"/>
          <w:sz w:val="24"/>
          <w:szCs w:val="24"/>
        </w:rPr>
        <w:tab/>
        <w:t xml:space="preserve">whether her department notified </w:t>
      </w:r>
      <w:r w:rsidRPr="000535C3">
        <w:rPr>
          <w:sz w:val="24"/>
          <w:szCs w:val="24"/>
          <w:lang w:val="en-ZA"/>
        </w:rPr>
        <w:t>the</w:t>
      </w:r>
      <w:r w:rsidRPr="000535C3">
        <w:rPr>
          <w:rFonts w:eastAsia="Calibri"/>
          <w:sz w:val="24"/>
          <w:szCs w:val="24"/>
        </w:rPr>
        <w:t xml:space="preserve"> affected municipalities properly of her department’s intentions; if not, why not; if so, what are the relevant details</w:t>
      </w:r>
      <w:r w:rsidRPr="000535C3">
        <w:rPr>
          <w:sz w:val="24"/>
          <w:szCs w:val="24"/>
        </w:rPr>
        <w:t>?</w:t>
      </w:r>
      <w:r w:rsidRPr="000535C3">
        <w:rPr>
          <w:sz w:val="24"/>
          <w:szCs w:val="24"/>
        </w:rPr>
        <w:tab/>
      </w:r>
      <w:r>
        <w:tab/>
      </w:r>
      <w:r>
        <w:tab/>
      </w:r>
      <w:r w:rsidRPr="000535C3">
        <w:rPr>
          <w:b/>
        </w:rPr>
        <w:t>NW3820E</w:t>
      </w:r>
    </w:p>
    <w:p w:rsidR="001336BF" w:rsidRDefault="00F779A4" w:rsidP="00F779A4">
      <w:pPr>
        <w:tabs>
          <w:tab w:val="left" w:pos="6885"/>
        </w:tabs>
        <w:spacing w:before="100" w:beforeAutospacing="1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6212FF" w:rsidRPr="00627B33" w:rsidRDefault="006212FF" w:rsidP="006212FF">
      <w:pPr>
        <w:tabs>
          <w:tab w:val="left" w:pos="432"/>
          <w:tab w:val="left" w:pos="864"/>
        </w:tabs>
        <w:spacing w:before="100" w:beforeAutospacing="1" w:line="360" w:lineRule="auto"/>
        <w:rPr>
          <w:b/>
          <w:sz w:val="24"/>
          <w:szCs w:val="24"/>
        </w:rPr>
      </w:pPr>
      <w:r w:rsidRPr="00627B33">
        <w:rPr>
          <w:b/>
          <w:sz w:val="24"/>
          <w:szCs w:val="24"/>
        </w:rPr>
        <w:t>REPLY:</w:t>
      </w:r>
    </w:p>
    <w:p w:rsidR="00627B33" w:rsidRPr="00627B33" w:rsidRDefault="00627B33" w:rsidP="00627B33">
      <w:pPr>
        <w:pStyle w:val="ListParagraph"/>
        <w:spacing w:line="360" w:lineRule="auto"/>
        <w:ind w:left="1080"/>
        <w:jc w:val="center"/>
        <w:rPr>
          <w:b/>
          <w:sz w:val="24"/>
          <w:szCs w:val="24"/>
        </w:rPr>
      </w:pPr>
    </w:p>
    <w:p w:rsidR="00627B33" w:rsidRPr="00627B33" w:rsidRDefault="00627B33" w:rsidP="00E351D8">
      <w:pPr>
        <w:spacing w:line="360" w:lineRule="auto"/>
        <w:jc w:val="both"/>
        <w:rPr>
          <w:sz w:val="24"/>
          <w:szCs w:val="24"/>
        </w:rPr>
      </w:pPr>
      <w:r w:rsidRPr="00627B33">
        <w:rPr>
          <w:sz w:val="24"/>
          <w:szCs w:val="24"/>
        </w:rPr>
        <w:t xml:space="preserve">The </w:t>
      </w:r>
      <w:r w:rsidR="00670547">
        <w:rPr>
          <w:sz w:val="24"/>
          <w:szCs w:val="24"/>
        </w:rPr>
        <w:t>D</w:t>
      </w:r>
      <w:r w:rsidRPr="00627B33">
        <w:rPr>
          <w:sz w:val="24"/>
          <w:szCs w:val="24"/>
        </w:rPr>
        <w:t xml:space="preserve">epartment of Human Settlements transfers </w:t>
      </w:r>
      <w:r w:rsidR="000D4E89">
        <w:rPr>
          <w:sz w:val="24"/>
          <w:szCs w:val="24"/>
        </w:rPr>
        <w:t xml:space="preserve">the </w:t>
      </w:r>
      <w:r w:rsidR="00670547">
        <w:rPr>
          <w:sz w:val="24"/>
          <w:szCs w:val="24"/>
        </w:rPr>
        <w:t xml:space="preserve">allocations for </w:t>
      </w:r>
      <w:r w:rsidR="000D4E89">
        <w:rPr>
          <w:sz w:val="24"/>
          <w:szCs w:val="24"/>
        </w:rPr>
        <w:t>grants</w:t>
      </w:r>
      <w:r w:rsidR="00670547">
        <w:rPr>
          <w:sz w:val="24"/>
          <w:szCs w:val="24"/>
        </w:rPr>
        <w:t xml:space="preserve"> </w:t>
      </w:r>
      <w:r w:rsidRPr="00627B33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nine </w:t>
      </w:r>
      <w:r w:rsidRPr="00627B33">
        <w:rPr>
          <w:sz w:val="24"/>
          <w:szCs w:val="24"/>
        </w:rPr>
        <w:t xml:space="preserve">Provinces and </w:t>
      </w:r>
      <w:r>
        <w:rPr>
          <w:sz w:val="24"/>
          <w:szCs w:val="24"/>
        </w:rPr>
        <w:t xml:space="preserve">eight </w:t>
      </w:r>
      <w:smartTag w:uri="urn:schemas-microsoft-com:office:smarttags" w:element="place">
        <w:smartTag w:uri="urn:schemas-microsoft-com:office:smarttags" w:element="PlaceName">
          <w:r w:rsidRPr="00627B33">
            <w:rPr>
              <w:sz w:val="24"/>
              <w:szCs w:val="24"/>
            </w:rPr>
            <w:t>Metropolitan</w:t>
          </w:r>
        </w:smartTag>
        <w:r w:rsidRPr="00627B33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627B33">
            <w:rPr>
              <w:sz w:val="24"/>
              <w:szCs w:val="24"/>
            </w:rPr>
            <w:t>Municipalities</w:t>
          </w:r>
        </w:smartTag>
      </w:smartTag>
      <w:r w:rsidRPr="00627B33">
        <w:rPr>
          <w:sz w:val="24"/>
          <w:szCs w:val="24"/>
        </w:rPr>
        <w:t xml:space="preserve">. The </w:t>
      </w:r>
      <w:r w:rsidR="000D4E89">
        <w:rPr>
          <w:sz w:val="24"/>
          <w:szCs w:val="24"/>
        </w:rPr>
        <w:t xml:space="preserve">Department does not transfer allocations for any grant to </w:t>
      </w:r>
      <w:r w:rsidRPr="00627B33">
        <w:rPr>
          <w:sz w:val="24"/>
          <w:szCs w:val="24"/>
        </w:rPr>
        <w:t>district municipalities</w:t>
      </w:r>
      <w:r w:rsidR="000D4E89">
        <w:rPr>
          <w:sz w:val="24"/>
          <w:szCs w:val="24"/>
        </w:rPr>
        <w:t xml:space="preserve"> as implied in the </w:t>
      </w:r>
      <w:r w:rsidR="00FD0EEA">
        <w:rPr>
          <w:sz w:val="24"/>
          <w:szCs w:val="24"/>
        </w:rPr>
        <w:t>Honourable member’s question</w:t>
      </w:r>
      <w:r w:rsidRPr="00627B33">
        <w:rPr>
          <w:sz w:val="24"/>
          <w:szCs w:val="24"/>
        </w:rPr>
        <w:t xml:space="preserve">. </w:t>
      </w:r>
    </w:p>
    <w:p w:rsidR="00627B33" w:rsidRPr="00627B33" w:rsidRDefault="00E351D8" w:rsidP="00E351D8">
      <w:pPr>
        <w:tabs>
          <w:tab w:val="left" w:pos="1920"/>
        </w:tabs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F2926" w:rsidRPr="00120EEE" w:rsidRDefault="00627B33" w:rsidP="00E351D8">
      <w:pPr>
        <w:pStyle w:val="ListParagraph"/>
        <w:spacing w:line="360" w:lineRule="auto"/>
        <w:ind w:left="0"/>
        <w:contextualSpacing/>
        <w:jc w:val="both"/>
        <w:rPr>
          <w:rFonts w:eastAsia="Calibri"/>
          <w:sz w:val="24"/>
          <w:szCs w:val="24"/>
        </w:rPr>
      </w:pPr>
      <w:r w:rsidRPr="007B0362">
        <w:rPr>
          <w:sz w:val="24"/>
          <w:szCs w:val="24"/>
        </w:rPr>
        <w:t xml:space="preserve">During the 2014/15 financial year, the department withheld the Municipal Human Settlements Capacity Grant (MHSCG) to </w:t>
      </w:r>
      <w:r w:rsidR="004C1B11" w:rsidRPr="007B0362">
        <w:rPr>
          <w:sz w:val="24"/>
          <w:szCs w:val="24"/>
        </w:rPr>
        <w:t xml:space="preserve">six </w:t>
      </w:r>
      <w:r w:rsidRPr="007B0362">
        <w:rPr>
          <w:rFonts w:eastAsia="Calibri"/>
          <w:sz w:val="24"/>
          <w:szCs w:val="24"/>
        </w:rPr>
        <w:t>metropolitan municipalities</w:t>
      </w:r>
      <w:r w:rsidR="00FD0EEA" w:rsidRPr="007B0362">
        <w:rPr>
          <w:rFonts w:eastAsia="Calibri"/>
          <w:sz w:val="24"/>
          <w:szCs w:val="24"/>
        </w:rPr>
        <w:t xml:space="preserve"> until such time that </w:t>
      </w:r>
      <w:r w:rsidR="00FD0EEA" w:rsidRPr="007B0362">
        <w:rPr>
          <w:sz w:val="24"/>
          <w:szCs w:val="24"/>
        </w:rPr>
        <w:t>Metropolitan Municipalities ha</w:t>
      </w:r>
      <w:r w:rsidR="00120EEE">
        <w:rPr>
          <w:sz w:val="24"/>
          <w:szCs w:val="24"/>
        </w:rPr>
        <w:t>d</w:t>
      </w:r>
      <w:r w:rsidR="00FD0EEA" w:rsidRPr="007B0362">
        <w:rPr>
          <w:sz w:val="24"/>
          <w:szCs w:val="24"/>
        </w:rPr>
        <w:t xml:space="preserve"> </w:t>
      </w:r>
      <w:r w:rsidR="00CA05CD" w:rsidRPr="007B0362">
        <w:rPr>
          <w:sz w:val="24"/>
          <w:szCs w:val="24"/>
        </w:rPr>
        <w:t>demonstrated that they ha</w:t>
      </w:r>
      <w:r w:rsidR="00120EEE">
        <w:rPr>
          <w:sz w:val="24"/>
          <w:szCs w:val="24"/>
        </w:rPr>
        <w:t>d</w:t>
      </w:r>
      <w:r w:rsidR="00CA05CD" w:rsidRPr="007B0362">
        <w:rPr>
          <w:sz w:val="24"/>
          <w:szCs w:val="24"/>
        </w:rPr>
        <w:t xml:space="preserve"> spent this conditional grant for the purpose</w:t>
      </w:r>
      <w:r w:rsidR="00BF2926">
        <w:rPr>
          <w:sz w:val="24"/>
          <w:szCs w:val="24"/>
        </w:rPr>
        <w:t xml:space="preserve"> for which </w:t>
      </w:r>
      <w:r w:rsidR="00CA05CD" w:rsidRPr="007B0362">
        <w:rPr>
          <w:sz w:val="24"/>
          <w:szCs w:val="24"/>
        </w:rPr>
        <w:lastRenderedPageBreak/>
        <w:t>it was intended as envisaged in the relevant prescripts</w:t>
      </w:r>
      <w:r w:rsidR="007B0362" w:rsidRPr="007B0362">
        <w:rPr>
          <w:sz w:val="24"/>
          <w:szCs w:val="24"/>
        </w:rPr>
        <w:t>, in particular the Division of Revenue Act (DORA)</w:t>
      </w:r>
      <w:r w:rsidR="00CA05CD" w:rsidRPr="007B0362">
        <w:rPr>
          <w:sz w:val="24"/>
          <w:szCs w:val="24"/>
        </w:rPr>
        <w:t>.</w:t>
      </w:r>
      <w:r w:rsidR="007B0362" w:rsidRPr="007B0362">
        <w:rPr>
          <w:sz w:val="24"/>
          <w:szCs w:val="24"/>
        </w:rPr>
        <w:t xml:space="preserve"> </w:t>
      </w:r>
    </w:p>
    <w:p w:rsidR="00120EEE" w:rsidRDefault="00120EEE" w:rsidP="00120EEE">
      <w:pPr>
        <w:pStyle w:val="ListParagraph"/>
        <w:spacing w:line="360" w:lineRule="auto"/>
        <w:ind w:left="1080"/>
        <w:contextualSpacing/>
        <w:jc w:val="both"/>
        <w:rPr>
          <w:sz w:val="24"/>
          <w:szCs w:val="24"/>
        </w:rPr>
      </w:pPr>
    </w:p>
    <w:p w:rsidR="00CE3C99" w:rsidRDefault="00E815D8" w:rsidP="00E351D8">
      <w:pPr>
        <w:spacing w:line="360" w:lineRule="auto"/>
        <w:jc w:val="both"/>
        <w:rPr>
          <w:rStyle w:val="apple-style-span"/>
          <w:color w:val="000000"/>
          <w:sz w:val="24"/>
          <w:szCs w:val="24"/>
        </w:rPr>
      </w:pPr>
      <w:r w:rsidRPr="00CE3C99">
        <w:rPr>
          <w:sz w:val="24"/>
          <w:szCs w:val="24"/>
        </w:rPr>
        <w:t>In actual fact Honourable member, the grant referred to in the question is</w:t>
      </w:r>
      <w:r w:rsidR="00CE3C99" w:rsidRPr="00CE3C99">
        <w:rPr>
          <w:sz w:val="24"/>
          <w:szCs w:val="24"/>
        </w:rPr>
        <w:t xml:space="preserve"> not the only one giving </w:t>
      </w:r>
      <w:r w:rsidRPr="00CE3C99">
        <w:rPr>
          <w:sz w:val="24"/>
          <w:szCs w:val="24"/>
        </w:rPr>
        <w:t>my MECs and I sleepless nights</w:t>
      </w:r>
      <w:r w:rsidR="000633D4">
        <w:rPr>
          <w:sz w:val="24"/>
          <w:szCs w:val="24"/>
        </w:rPr>
        <w:t>. T</w:t>
      </w:r>
      <w:r w:rsidRPr="00CE3C99">
        <w:rPr>
          <w:sz w:val="24"/>
          <w:szCs w:val="24"/>
        </w:rPr>
        <w:t>he misuse of the Urban Settlement Development Grant</w:t>
      </w:r>
      <w:r w:rsidR="008659CE">
        <w:rPr>
          <w:sz w:val="24"/>
          <w:szCs w:val="24"/>
        </w:rPr>
        <w:t xml:space="preserve"> (USDG)</w:t>
      </w:r>
      <w:r w:rsidRPr="00CE3C99">
        <w:rPr>
          <w:sz w:val="24"/>
          <w:szCs w:val="24"/>
        </w:rPr>
        <w:t xml:space="preserve"> is </w:t>
      </w:r>
      <w:r w:rsidR="00CE3C99" w:rsidRPr="00CE3C99">
        <w:rPr>
          <w:sz w:val="24"/>
          <w:szCs w:val="24"/>
        </w:rPr>
        <w:t xml:space="preserve">also </w:t>
      </w:r>
      <w:r w:rsidRPr="00CE3C99">
        <w:rPr>
          <w:sz w:val="24"/>
          <w:szCs w:val="24"/>
        </w:rPr>
        <w:t xml:space="preserve">worrisome. We need to review the grants framework to address serious </w:t>
      </w:r>
      <w:r w:rsidR="00CE3C99" w:rsidRPr="00CE3C99">
        <w:rPr>
          <w:sz w:val="24"/>
          <w:szCs w:val="24"/>
        </w:rPr>
        <w:t>anomalies</w:t>
      </w:r>
      <w:r w:rsidRPr="00CE3C99">
        <w:rPr>
          <w:sz w:val="24"/>
          <w:szCs w:val="24"/>
        </w:rPr>
        <w:t xml:space="preserve">. </w:t>
      </w:r>
      <w:r w:rsidR="00CE3C99" w:rsidRPr="00CE3C99">
        <w:rPr>
          <w:sz w:val="24"/>
          <w:szCs w:val="24"/>
        </w:rPr>
        <w:t>To illustrate my point, the USDG was introduced</w:t>
      </w:r>
      <w:r w:rsidR="008659CE">
        <w:rPr>
          <w:sz w:val="24"/>
          <w:szCs w:val="24"/>
        </w:rPr>
        <w:t xml:space="preserve"> as a conditional grant</w:t>
      </w:r>
      <w:r w:rsidR="00CE3C99" w:rsidRPr="00CE3C99">
        <w:rPr>
          <w:sz w:val="24"/>
          <w:szCs w:val="24"/>
        </w:rPr>
        <w:t xml:space="preserve"> to ensure the p</w:t>
      </w:r>
      <w:r w:rsidR="00CE3C99" w:rsidRPr="00CE3C99">
        <w:rPr>
          <w:color w:val="000000"/>
          <w:kern w:val="24"/>
          <w:sz w:val="24"/>
          <w:szCs w:val="24"/>
        </w:rPr>
        <w:t xml:space="preserve">rovision of bulk connector, link and internal services; well-located land and public </w:t>
      </w:r>
      <w:r w:rsidR="000633D4">
        <w:rPr>
          <w:color w:val="000000"/>
          <w:kern w:val="24"/>
          <w:sz w:val="24"/>
          <w:szCs w:val="24"/>
        </w:rPr>
        <w:t>a</w:t>
      </w:r>
      <w:r w:rsidR="00CE3C99" w:rsidRPr="00CE3C99">
        <w:rPr>
          <w:color w:val="000000"/>
          <w:kern w:val="24"/>
          <w:sz w:val="24"/>
          <w:szCs w:val="24"/>
        </w:rPr>
        <w:t>menities because we realised that these plagued the optimum performance of the human settlements sector</w:t>
      </w:r>
      <w:r w:rsidR="000633D4">
        <w:rPr>
          <w:color w:val="000000"/>
          <w:kern w:val="24"/>
          <w:sz w:val="24"/>
          <w:szCs w:val="24"/>
        </w:rPr>
        <w:t xml:space="preserve">. </w:t>
      </w:r>
      <w:r w:rsidR="00CE3C99" w:rsidRPr="00CE3C99">
        <w:rPr>
          <w:color w:val="000000"/>
          <w:kern w:val="24"/>
          <w:sz w:val="24"/>
          <w:szCs w:val="24"/>
        </w:rPr>
        <w:t>Metro</w:t>
      </w:r>
      <w:r w:rsidR="000633D4">
        <w:rPr>
          <w:color w:val="000000"/>
          <w:kern w:val="24"/>
          <w:sz w:val="24"/>
          <w:szCs w:val="24"/>
        </w:rPr>
        <w:t xml:space="preserve">politan </w:t>
      </w:r>
      <w:r w:rsidR="00CE3C99" w:rsidRPr="00CE3C99">
        <w:rPr>
          <w:rStyle w:val="apple-style-span"/>
          <w:color w:val="000000"/>
          <w:sz w:val="24"/>
          <w:szCs w:val="24"/>
        </w:rPr>
        <w:t>municipalities spend the USDG on other things</w:t>
      </w:r>
      <w:r w:rsidR="00EE3F17">
        <w:rPr>
          <w:rStyle w:val="apple-style-span"/>
          <w:color w:val="000000"/>
          <w:sz w:val="24"/>
          <w:szCs w:val="24"/>
        </w:rPr>
        <w:t xml:space="preserve"> such as </w:t>
      </w:r>
      <w:r w:rsidR="00CE3C99" w:rsidRPr="00CE3C99">
        <w:rPr>
          <w:rStyle w:val="apple-style-span"/>
          <w:color w:val="000000"/>
          <w:sz w:val="24"/>
          <w:szCs w:val="24"/>
        </w:rPr>
        <w:t>roads, street lighting and social facilities when there are still bulk infrastructure constraints</w:t>
      </w:r>
      <w:r w:rsidR="00EE3F17">
        <w:rPr>
          <w:rStyle w:val="apple-style-span"/>
          <w:color w:val="000000"/>
          <w:sz w:val="24"/>
          <w:szCs w:val="24"/>
        </w:rPr>
        <w:t>. This is frustrating to say the least.</w:t>
      </w:r>
    </w:p>
    <w:p w:rsidR="00EE3F17" w:rsidRDefault="00EE3F17" w:rsidP="00EE3F17">
      <w:pPr>
        <w:spacing w:line="360" w:lineRule="auto"/>
        <w:ind w:left="720"/>
        <w:jc w:val="both"/>
        <w:rPr>
          <w:rStyle w:val="apple-style-span"/>
          <w:color w:val="000000"/>
          <w:sz w:val="24"/>
          <w:szCs w:val="24"/>
        </w:rPr>
      </w:pPr>
    </w:p>
    <w:p w:rsidR="00EE3F17" w:rsidRDefault="00EE3F17" w:rsidP="00E351D8">
      <w:pPr>
        <w:spacing w:line="360" w:lineRule="auto"/>
        <w:jc w:val="both"/>
        <w:rPr>
          <w:rStyle w:val="apple-style-span"/>
          <w:color w:val="000000"/>
          <w:sz w:val="24"/>
          <w:szCs w:val="24"/>
        </w:rPr>
      </w:pPr>
      <w:r w:rsidRPr="00E351D8">
        <w:rPr>
          <w:rStyle w:val="apple-style-span"/>
          <w:color w:val="000000"/>
          <w:sz w:val="24"/>
          <w:szCs w:val="24"/>
        </w:rPr>
        <w:t xml:space="preserve">The Honourable should be interested how this grant is used by the </w:t>
      </w:r>
      <w:r w:rsidRPr="00E351D8">
        <w:rPr>
          <w:rFonts w:eastAsia="Calibri"/>
          <w:sz w:val="24"/>
          <w:szCs w:val="24"/>
          <w:lang w:val="en-US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E351D8">
            <w:rPr>
              <w:rFonts w:eastAsia="Calibri"/>
              <w:sz w:val="24"/>
              <w:szCs w:val="24"/>
              <w:lang w:val="en-US"/>
            </w:rPr>
            <w:t>Cape Town</w:t>
          </w:r>
        </w:smartTag>
      </w:smartTag>
      <w:r w:rsidR="00E351D8" w:rsidRPr="00E351D8">
        <w:rPr>
          <w:rFonts w:eastAsia="Calibri"/>
          <w:sz w:val="24"/>
          <w:szCs w:val="24"/>
          <w:lang w:val="en-US"/>
        </w:rPr>
        <w:t xml:space="preserve"> allocated the USDG funds for 2014/15 financial year</w:t>
      </w:r>
      <w:r w:rsidR="000633D4">
        <w:rPr>
          <w:rFonts w:eastAsia="Calibri"/>
          <w:sz w:val="24"/>
          <w:szCs w:val="24"/>
          <w:lang w:val="en-US"/>
        </w:rPr>
        <w:t xml:space="preserve"> as indicated </w:t>
      </w:r>
      <w:r w:rsidRPr="00E351D8">
        <w:rPr>
          <w:rStyle w:val="apple-style-span"/>
          <w:color w:val="000000"/>
          <w:sz w:val="24"/>
          <w:szCs w:val="24"/>
        </w:rPr>
        <w:t>below</w:t>
      </w:r>
      <w:r w:rsidR="000633D4">
        <w:rPr>
          <w:rStyle w:val="apple-style-span"/>
          <w:color w:val="000000"/>
          <w:sz w:val="24"/>
          <w:szCs w:val="24"/>
        </w:rPr>
        <w:t>:</w:t>
      </w:r>
      <w:r w:rsidRPr="00E351D8">
        <w:rPr>
          <w:rStyle w:val="apple-style-span"/>
          <w:color w:val="000000"/>
          <w:sz w:val="24"/>
          <w:szCs w:val="24"/>
        </w:rPr>
        <w:t xml:space="preserve"> </w:t>
      </w:r>
    </w:p>
    <w:p w:rsidR="00727900" w:rsidRPr="00E351D8" w:rsidRDefault="00727900" w:rsidP="00E351D8">
      <w:pPr>
        <w:spacing w:line="360" w:lineRule="auto"/>
        <w:jc w:val="both"/>
        <w:rPr>
          <w:rStyle w:val="apple-style-span"/>
          <w:color w:val="000000"/>
          <w:sz w:val="24"/>
          <w:szCs w:val="24"/>
        </w:rPr>
      </w:pPr>
    </w:p>
    <w:p w:rsidR="00EE3F17" w:rsidRPr="00CE3C99" w:rsidRDefault="00EE3F17" w:rsidP="00EE3F17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t xml:space="preserve">  </w:t>
      </w:r>
      <w:r w:rsidR="004E2D04">
        <w:rPr>
          <w:noProof/>
          <w:lang w:val="en-ZA" w:eastAsia="en-ZA"/>
        </w:rPr>
        <w:drawing>
          <wp:inline distT="0" distB="0" distL="0" distR="0">
            <wp:extent cx="5734050" cy="3333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1D8" w:rsidRDefault="00E351D8" w:rsidP="00E351D8">
      <w:pPr>
        <w:pStyle w:val="ListParagraph"/>
        <w:tabs>
          <w:tab w:val="left" w:pos="4620"/>
        </w:tabs>
        <w:spacing w:line="360" w:lineRule="auto"/>
        <w:contextualSpacing/>
        <w:jc w:val="both"/>
        <w:rPr>
          <w:sz w:val="24"/>
          <w:szCs w:val="24"/>
        </w:rPr>
      </w:pPr>
    </w:p>
    <w:p w:rsidR="00E351D8" w:rsidRPr="00E351D8" w:rsidRDefault="00E351D8" w:rsidP="003406DD">
      <w:pPr>
        <w:spacing w:after="200" w:line="360" w:lineRule="auto"/>
        <w:jc w:val="both"/>
        <w:rPr>
          <w:rFonts w:eastAsia="Calibri"/>
          <w:sz w:val="24"/>
          <w:szCs w:val="24"/>
          <w:lang w:val="en-US"/>
        </w:rPr>
      </w:pPr>
      <w:r>
        <w:rPr>
          <w:sz w:val="24"/>
          <w:szCs w:val="24"/>
        </w:rPr>
        <w:t>In summary, the table indicates the following:</w:t>
      </w:r>
    </w:p>
    <w:p w:rsidR="00E351D8" w:rsidRPr="00E351D8" w:rsidRDefault="00E351D8" w:rsidP="00E351D8">
      <w:pPr>
        <w:numPr>
          <w:ilvl w:val="0"/>
          <w:numId w:val="10"/>
        </w:numPr>
        <w:spacing w:after="200" w:line="360" w:lineRule="auto"/>
        <w:jc w:val="both"/>
        <w:rPr>
          <w:rFonts w:eastAsia="Calibri"/>
          <w:sz w:val="24"/>
          <w:szCs w:val="24"/>
          <w:lang w:val="en-US"/>
        </w:rPr>
      </w:pPr>
      <w:r w:rsidRPr="00E351D8">
        <w:rPr>
          <w:rFonts w:eastAsia="Calibri"/>
          <w:sz w:val="24"/>
          <w:szCs w:val="24"/>
          <w:lang w:val="en-US"/>
        </w:rPr>
        <w:lastRenderedPageBreak/>
        <w:t>From the R1.6 billion total allocated budget, H</w:t>
      </w:r>
      <w:r w:rsidR="000633D4">
        <w:rPr>
          <w:rFonts w:eastAsia="Calibri"/>
          <w:sz w:val="24"/>
          <w:szCs w:val="24"/>
          <w:lang w:val="en-US"/>
        </w:rPr>
        <w:t xml:space="preserve">uman </w:t>
      </w:r>
      <w:r w:rsidR="009B5F0B" w:rsidRPr="00E351D8">
        <w:rPr>
          <w:rFonts w:eastAsia="Calibri"/>
          <w:sz w:val="24"/>
          <w:szCs w:val="24"/>
          <w:lang w:val="en-US"/>
        </w:rPr>
        <w:t>S</w:t>
      </w:r>
      <w:r w:rsidR="009B5F0B">
        <w:rPr>
          <w:rFonts w:eastAsia="Calibri"/>
          <w:sz w:val="24"/>
          <w:szCs w:val="24"/>
          <w:lang w:val="en-US"/>
        </w:rPr>
        <w:t>ettlements</w:t>
      </w:r>
      <w:r w:rsidRPr="00E351D8">
        <w:rPr>
          <w:rFonts w:eastAsia="Calibri"/>
          <w:sz w:val="24"/>
          <w:szCs w:val="24"/>
          <w:lang w:val="en-US"/>
        </w:rPr>
        <w:t xml:space="preserve"> Planning is allocated a larger portion of R419.9 million or 25.5% whereas 99.2% of those funds were spent. The expenditure is attributable to land purchase amounting to R416.7 million.</w:t>
      </w:r>
    </w:p>
    <w:p w:rsidR="00E351D8" w:rsidRPr="00E351D8" w:rsidRDefault="00E351D8" w:rsidP="00E351D8">
      <w:pPr>
        <w:numPr>
          <w:ilvl w:val="0"/>
          <w:numId w:val="10"/>
        </w:numPr>
        <w:spacing w:after="200" w:line="360" w:lineRule="auto"/>
        <w:jc w:val="both"/>
        <w:rPr>
          <w:rFonts w:eastAsia="Calibri"/>
          <w:sz w:val="24"/>
          <w:szCs w:val="24"/>
          <w:lang w:val="en-US"/>
        </w:rPr>
      </w:pPr>
      <w:r w:rsidRPr="00E351D8">
        <w:rPr>
          <w:rFonts w:eastAsia="Calibri"/>
          <w:sz w:val="24"/>
          <w:szCs w:val="24"/>
          <w:lang w:val="en-US"/>
        </w:rPr>
        <w:t>The second highest allocation is on Assets Management and Maintenance at R262.8 million or 16% of the total allocated budget of which only 74.3% of those funds were spent.</w:t>
      </w:r>
    </w:p>
    <w:p w:rsidR="00E351D8" w:rsidRDefault="00E351D8" w:rsidP="00E351D8">
      <w:pPr>
        <w:numPr>
          <w:ilvl w:val="0"/>
          <w:numId w:val="10"/>
        </w:numPr>
        <w:spacing w:after="200" w:line="360" w:lineRule="auto"/>
        <w:jc w:val="both"/>
        <w:rPr>
          <w:rFonts w:eastAsia="Calibri"/>
          <w:sz w:val="24"/>
          <w:szCs w:val="24"/>
          <w:lang w:val="en-US"/>
        </w:rPr>
      </w:pPr>
      <w:r w:rsidRPr="00E351D8">
        <w:rPr>
          <w:rFonts w:eastAsia="Calibri"/>
          <w:sz w:val="24"/>
          <w:szCs w:val="24"/>
          <w:lang w:val="en-US"/>
        </w:rPr>
        <w:t>At least four of the services spent 100% of their budget at year end i.e. Solid Waste Management, Library/Information Services, Spatial Planning/Urban Design and Provincial Allocations.</w:t>
      </w:r>
    </w:p>
    <w:p w:rsidR="00727900" w:rsidRPr="00E351D8" w:rsidRDefault="000633D4" w:rsidP="000633D4">
      <w:pPr>
        <w:spacing w:after="200" w:line="360" w:lineRule="auto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 xml:space="preserve">We are required </w:t>
      </w:r>
      <w:r w:rsidR="008659CE">
        <w:rPr>
          <w:rFonts w:eastAsia="Calibri"/>
          <w:sz w:val="24"/>
          <w:szCs w:val="24"/>
          <w:lang w:val="en-US"/>
        </w:rPr>
        <w:t>intervene</w:t>
      </w:r>
      <w:r w:rsidR="00727900">
        <w:rPr>
          <w:rFonts w:eastAsia="Calibri"/>
          <w:sz w:val="24"/>
          <w:szCs w:val="24"/>
          <w:lang w:val="en-US"/>
        </w:rPr>
        <w:t xml:space="preserve"> </w:t>
      </w:r>
      <w:r w:rsidR="008659CE">
        <w:rPr>
          <w:rFonts w:eastAsia="Calibri"/>
          <w:sz w:val="24"/>
          <w:szCs w:val="24"/>
          <w:lang w:val="en-US"/>
        </w:rPr>
        <w:t>to ensure that we provide the much needed houses for our people. I will certainly not abdicate my responsibilities by not acting when funds are not spent in line with the DORA. N</w:t>
      </w:r>
      <w:r w:rsidR="008659CE" w:rsidRPr="008659CE">
        <w:rPr>
          <w:iCs/>
          <w:sz w:val="24"/>
          <w:szCs w:val="24"/>
        </w:rPr>
        <w:t>ot a cent from the USDG should be used for amenities or stadium construction</w:t>
      </w:r>
      <w:r w:rsidR="008659CE">
        <w:rPr>
          <w:iCs/>
          <w:sz w:val="24"/>
          <w:szCs w:val="24"/>
        </w:rPr>
        <w:t xml:space="preserve"> while housing infrastructure is lacking or in some cases </w:t>
      </w:r>
      <w:r>
        <w:rPr>
          <w:iCs/>
          <w:sz w:val="24"/>
          <w:szCs w:val="24"/>
        </w:rPr>
        <w:t xml:space="preserve">is </w:t>
      </w:r>
      <w:r w:rsidR="008659CE">
        <w:rPr>
          <w:iCs/>
          <w:sz w:val="24"/>
          <w:szCs w:val="24"/>
        </w:rPr>
        <w:t xml:space="preserve">non-existent. </w:t>
      </w:r>
      <w:r w:rsidR="00732165">
        <w:rPr>
          <w:iCs/>
          <w:sz w:val="24"/>
          <w:szCs w:val="24"/>
        </w:rPr>
        <w:t xml:space="preserve"> </w:t>
      </w:r>
    </w:p>
    <w:sectPr w:rsidR="00727900" w:rsidRPr="00E351D8" w:rsidSect="000633D4">
      <w:headerReference w:type="default" r:id="rId10"/>
      <w:pgSz w:w="12240" w:h="15840"/>
      <w:pgMar w:top="992" w:right="1077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8F6" w:rsidRDefault="00B148F6" w:rsidP="00054FEC">
      <w:r>
        <w:separator/>
      </w:r>
    </w:p>
  </w:endnote>
  <w:endnote w:type="continuationSeparator" w:id="0">
    <w:p w:rsidR="00B148F6" w:rsidRDefault="00B148F6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8F6" w:rsidRDefault="00B148F6" w:rsidP="00054FEC">
      <w:r>
        <w:separator/>
      </w:r>
    </w:p>
  </w:footnote>
  <w:footnote w:type="continuationSeparator" w:id="0">
    <w:p w:rsidR="00B148F6" w:rsidRDefault="00B148F6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ED344E" w:rsidP="00E2469A">
    <w:pPr>
      <w:pStyle w:val="Header"/>
      <w:jc w:val="right"/>
    </w:pPr>
    <w:r w:rsidRPr="00526E7D">
      <w:t xml:space="preserve">Question </w:t>
    </w:r>
    <w:r w:rsidR="00667FF7">
      <w:t>3</w:t>
    </w:r>
    <w:r w:rsidR="00335B99">
      <w:t>21</w:t>
    </w:r>
    <w:r w:rsidR="000535C3">
      <w:t>9</w:t>
    </w:r>
    <w:r w:rsidR="00667FF7">
      <w:t xml:space="preserve"> </w:t>
    </w:r>
    <w:r w:rsidRPr="00526E7D">
      <w:t xml:space="preserve">for </w:t>
    </w:r>
    <w:r w:rsidR="005F1E85"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47D"/>
    <w:multiLevelType w:val="hybridMultilevel"/>
    <w:tmpl w:val="568230B6"/>
    <w:lvl w:ilvl="0" w:tplc="992E1BD0">
      <w:start w:val="3"/>
      <w:numFmt w:val="lowerLetter"/>
      <w:lvlText w:val="(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F6BF1"/>
    <w:multiLevelType w:val="hybridMultilevel"/>
    <w:tmpl w:val="7A48ADA6"/>
    <w:lvl w:ilvl="0" w:tplc="FF506C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F4342"/>
    <w:multiLevelType w:val="hybridMultilevel"/>
    <w:tmpl w:val="A9CA1BDC"/>
    <w:lvl w:ilvl="0" w:tplc="D5BAD90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F5B91"/>
    <w:multiLevelType w:val="hybridMultilevel"/>
    <w:tmpl w:val="7B8E8966"/>
    <w:lvl w:ilvl="0" w:tplc="581ED2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B36329"/>
    <w:multiLevelType w:val="hybridMultilevel"/>
    <w:tmpl w:val="73E24500"/>
    <w:lvl w:ilvl="0" w:tplc="B5B46642">
      <w:start w:val="1"/>
      <w:numFmt w:val="lowerRoman"/>
      <w:lvlText w:val="(%1)"/>
      <w:lvlJc w:val="left"/>
      <w:pPr>
        <w:ind w:left="1440" w:hanging="72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3053D0"/>
    <w:multiLevelType w:val="hybridMultilevel"/>
    <w:tmpl w:val="62E08978"/>
    <w:lvl w:ilvl="0" w:tplc="65E8F1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0E02E5"/>
    <w:multiLevelType w:val="hybridMultilevel"/>
    <w:tmpl w:val="6680986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4E6CAF"/>
    <w:multiLevelType w:val="hybridMultilevel"/>
    <w:tmpl w:val="CBDC4900"/>
    <w:lvl w:ilvl="0" w:tplc="67746A9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F7043D"/>
    <w:multiLevelType w:val="hybridMultilevel"/>
    <w:tmpl w:val="CB308164"/>
    <w:lvl w:ilvl="0" w:tplc="85044A9A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845E0E"/>
    <w:multiLevelType w:val="hybridMultilevel"/>
    <w:tmpl w:val="169C9E5C"/>
    <w:lvl w:ilvl="0" w:tplc="710C7C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43BB"/>
    <w:rsid w:val="00013C46"/>
    <w:rsid w:val="000151AE"/>
    <w:rsid w:val="000159DE"/>
    <w:rsid w:val="000163B0"/>
    <w:rsid w:val="00023A69"/>
    <w:rsid w:val="000268D1"/>
    <w:rsid w:val="0003288B"/>
    <w:rsid w:val="00042C5B"/>
    <w:rsid w:val="000535C3"/>
    <w:rsid w:val="000542DB"/>
    <w:rsid w:val="0005441D"/>
    <w:rsid w:val="00054FEC"/>
    <w:rsid w:val="0005651C"/>
    <w:rsid w:val="00061B5C"/>
    <w:rsid w:val="000633D4"/>
    <w:rsid w:val="0007347C"/>
    <w:rsid w:val="00084A46"/>
    <w:rsid w:val="00085A2A"/>
    <w:rsid w:val="000874C5"/>
    <w:rsid w:val="00093481"/>
    <w:rsid w:val="000B2098"/>
    <w:rsid w:val="000B4AC5"/>
    <w:rsid w:val="000B74C2"/>
    <w:rsid w:val="000C37CD"/>
    <w:rsid w:val="000D4E89"/>
    <w:rsid w:val="000D5E18"/>
    <w:rsid w:val="000D79C5"/>
    <w:rsid w:val="000E238C"/>
    <w:rsid w:val="000E3FFE"/>
    <w:rsid w:val="000F7647"/>
    <w:rsid w:val="001005E9"/>
    <w:rsid w:val="00106503"/>
    <w:rsid w:val="001111F2"/>
    <w:rsid w:val="00120EEE"/>
    <w:rsid w:val="001221DD"/>
    <w:rsid w:val="0012375B"/>
    <w:rsid w:val="00131BFD"/>
    <w:rsid w:val="00133239"/>
    <w:rsid w:val="001336BF"/>
    <w:rsid w:val="001355B6"/>
    <w:rsid w:val="00143801"/>
    <w:rsid w:val="001726E8"/>
    <w:rsid w:val="001829D1"/>
    <w:rsid w:val="00183267"/>
    <w:rsid w:val="001842EE"/>
    <w:rsid w:val="00185C4D"/>
    <w:rsid w:val="0019692B"/>
    <w:rsid w:val="001A1C58"/>
    <w:rsid w:val="001A2615"/>
    <w:rsid w:val="001A2B06"/>
    <w:rsid w:val="001A37B9"/>
    <w:rsid w:val="001B46D4"/>
    <w:rsid w:val="001B526A"/>
    <w:rsid w:val="001C51E0"/>
    <w:rsid w:val="001D1AE7"/>
    <w:rsid w:val="001E6B0B"/>
    <w:rsid w:val="001F17FC"/>
    <w:rsid w:val="001F2FF3"/>
    <w:rsid w:val="001F3F78"/>
    <w:rsid w:val="00203262"/>
    <w:rsid w:val="00221ABD"/>
    <w:rsid w:val="0023124F"/>
    <w:rsid w:val="0024129E"/>
    <w:rsid w:val="00244322"/>
    <w:rsid w:val="00245CEE"/>
    <w:rsid w:val="002565C1"/>
    <w:rsid w:val="00257C83"/>
    <w:rsid w:val="002648FA"/>
    <w:rsid w:val="00267704"/>
    <w:rsid w:val="00273F15"/>
    <w:rsid w:val="002802E1"/>
    <w:rsid w:val="00281D33"/>
    <w:rsid w:val="002922CE"/>
    <w:rsid w:val="002962EB"/>
    <w:rsid w:val="0029651C"/>
    <w:rsid w:val="00296EF9"/>
    <w:rsid w:val="002A01DF"/>
    <w:rsid w:val="002B7785"/>
    <w:rsid w:val="002C7B5F"/>
    <w:rsid w:val="002E01A0"/>
    <w:rsid w:val="002F729C"/>
    <w:rsid w:val="00323C61"/>
    <w:rsid w:val="00332EDA"/>
    <w:rsid w:val="003350A4"/>
    <w:rsid w:val="00335B99"/>
    <w:rsid w:val="003406DD"/>
    <w:rsid w:val="0035247E"/>
    <w:rsid w:val="003639EF"/>
    <w:rsid w:val="00383793"/>
    <w:rsid w:val="00386EBC"/>
    <w:rsid w:val="00391B22"/>
    <w:rsid w:val="003934E3"/>
    <w:rsid w:val="003A0C97"/>
    <w:rsid w:val="003A2C59"/>
    <w:rsid w:val="003A48E1"/>
    <w:rsid w:val="003A54ED"/>
    <w:rsid w:val="003B7EF6"/>
    <w:rsid w:val="003C7D57"/>
    <w:rsid w:val="003D5755"/>
    <w:rsid w:val="003F11CD"/>
    <w:rsid w:val="003F1A1A"/>
    <w:rsid w:val="003F3D4B"/>
    <w:rsid w:val="003F3EAB"/>
    <w:rsid w:val="003F40BD"/>
    <w:rsid w:val="003F4CED"/>
    <w:rsid w:val="00411FA8"/>
    <w:rsid w:val="00421215"/>
    <w:rsid w:val="00426D28"/>
    <w:rsid w:val="00430FBB"/>
    <w:rsid w:val="00435C33"/>
    <w:rsid w:val="00437973"/>
    <w:rsid w:val="00442C28"/>
    <w:rsid w:val="00442F09"/>
    <w:rsid w:val="0044715C"/>
    <w:rsid w:val="00453E58"/>
    <w:rsid w:val="00456247"/>
    <w:rsid w:val="00461532"/>
    <w:rsid w:val="004622F2"/>
    <w:rsid w:val="00466A67"/>
    <w:rsid w:val="00472722"/>
    <w:rsid w:val="00476EA7"/>
    <w:rsid w:val="00481F38"/>
    <w:rsid w:val="004A27DE"/>
    <w:rsid w:val="004A3F6D"/>
    <w:rsid w:val="004A7396"/>
    <w:rsid w:val="004B54E9"/>
    <w:rsid w:val="004B6EC4"/>
    <w:rsid w:val="004C1189"/>
    <w:rsid w:val="004C1B11"/>
    <w:rsid w:val="004E1009"/>
    <w:rsid w:val="004E2D04"/>
    <w:rsid w:val="004E7281"/>
    <w:rsid w:val="004F34D0"/>
    <w:rsid w:val="00511D74"/>
    <w:rsid w:val="00513641"/>
    <w:rsid w:val="00513FB0"/>
    <w:rsid w:val="005178B4"/>
    <w:rsid w:val="0052258E"/>
    <w:rsid w:val="005234F9"/>
    <w:rsid w:val="005258F1"/>
    <w:rsid w:val="00526E7D"/>
    <w:rsid w:val="00533718"/>
    <w:rsid w:val="00542450"/>
    <w:rsid w:val="00543861"/>
    <w:rsid w:val="005440D3"/>
    <w:rsid w:val="0055709D"/>
    <w:rsid w:val="00560363"/>
    <w:rsid w:val="00566589"/>
    <w:rsid w:val="00570338"/>
    <w:rsid w:val="005704CF"/>
    <w:rsid w:val="0057143F"/>
    <w:rsid w:val="00573810"/>
    <w:rsid w:val="00577200"/>
    <w:rsid w:val="0058155B"/>
    <w:rsid w:val="005841F6"/>
    <w:rsid w:val="00584FBF"/>
    <w:rsid w:val="00585030"/>
    <w:rsid w:val="0059567A"/>
    <w:rsid w:val="005A0373"/>
    <w:rsid w:val="005A09D3"/>
    <w:rsid w:val="005B2811"/>
    <w:rsid w:val="005B5D50"/>
    <w:rsid w:val="005B77A4"/>
    <w:rsid w:val="005B7856"/>
    <w:rsid w:val="005C6DE5"/>
    <w:rsid w:val="005C71CA"/>
    <w:rsid w:val="005C7DF6"/>
    <w:rsid w:val="005D5869"/>
    <w:rsid w:val="005D69D1"/>
    <w:rsid w:val="005E69AF"/>
    <w:rsid w:val="005E7FBD"/>
    <w:rsid w:val="005F1E85"/>
    <w:rsid w:val="005F4728"/>
    <w:rsid w:val="00600BD5"/>
    <w:rsid w:val="00601C3B"/>
    <w:rsid w:val="00603BC1"/>
    <w:rsid w:val="00604A82"/>
    <w:rsid w:val="00604F0D"/>
    <w:rsid w:val="00605714"/>
    <w:rsid w:val="00606EFB"/>
    <w:rsid w:val="00617482"/>
    <w:rsid w:val="00617EB3"/>
    <w:rsid w:val="006212FF"/>
    <w:rsid w:val="00621705"/>
    <w:rsid w:val="00622769"/>
    <w:rsid w:val="006246C1"/>
    <w:rsid w:val="00627B33"/>
    <w:rsid w:val="006315F4"/>
    <w:rsid w:val="00634815"/>
    <w:rsid w:val="0064604A"/>
    <w:rsid w:val="00650769"/>
    <w:rsid w:val="0065307F"/>
    <w:rsid w:val="006559CC"/>
    <w:rsid w:val="00657FAD"/>
    <w:rsid w:val="00661C1A"/>
    <w:rsid w:val="00664A0B"/>
    <w:rsid w:val="00667FF7"/>
    <w:rsid w:val="00670547"/>
    <w:rsid w:val="006862AD"/>
    <w:rsid w:val="006874EC"/>
    <w:rsid w:val="00687EDE"/>
    <w:rsid w:val="006932BB"/>
    <w:rsid w:val="006A38B0"/>
    <w:rsid w:val="006A3A9B"/>
    <w:rsid w:val="006A50C0"/>
    <w:rsid w:val="006B057C"/>
    <w:rsid w:val="006B1158"/>
    <w:rsid w:val="006B5D38"/>
    <w:rsid w:val="006B6FD9"/>
    <w:rsid w:val="006C3271"/>
    <w:rsid w:val="006C4112"/>
    <w:rsid w:val="006C7F54"/>
    <w:rsid w:val="006D4535"/>
    <w:rsid w:val="006D564E"/>
    <w:rsid w:val="006D638D"/>
    <w:rsid w:val="006F111A"/>
    <w:rsid w:val="006F35CD"/>
    <w:rsid w:val="006F4B1B"/>
    <w:rsid w:val="006F64F8"/>
    <w:rsid w:val="00704183"/>
    <w:rsid w:val="0071418E"/>
    <w:rsid w:val="00723EDE"/>
    <w:rsid w:val="007241DD"/>
    <w:rsid w:val="00727900"/>
    <w:rsid w:val="00731E1C"/>
    <w:rsid w:val="00732165"/>
    <w:rsid w:val="00740E7D"/>
    <w:rsid w:val="007468D2"/>
    <w:rsid w:val="007469D6"/>
    <w:rsid w:val="00751A45"/>
    <w:rsid w:val="0075250D"/>
    <w:rsid w:val="00752E6A"/>
    <w:rsid w:val="00755D11"/>
    <w:rsid w:val="00756E3A"/>
    <w:rsid w:val="00762CB4"/>
    <w:rsid w:val="00766475"/>
    <w:rsid w:val="00766CE9"/>
    <w:rsid w:val="00772FBA"/>
    <w:rsid w:val="00773002"/>
    <w:rsid w:val="00785D27"/>
    <w:rsid w:val="007959BA"/>
    <w:rsid w:val="007B0362"/>
    <w:rsid w:val="007B51B6"/>
    <w:rsid w:val="007B5B9E"/>
    <w:rsid w:val="007B7586"/>
    <w:rsid w:val="007B77B4"/>
    <w:rsid w:val="007C0881"/>
    <w:rsid w:val="007C1048"/>
    <w:rsid w:val="007C2726"/>
    <w:rsid w:val="007C3AE0"/>
    <w:rsid w:val="007C3FA2"/>
    <w:rsid w:val="007C6801"/>
    <w:rsid w:val="007D4726"/>
    <w:rsid w:val="007D7DF2"/>
    <w:rsid w:val="007E105C"/>
    <w:rsid w:val="007E2956"/>
    <w:rsid w:val="007E4DB3"/>
    <w:rsid w:val="007F34B0"/>
    <w:rsid w:val="007F585A"/>
    <w:rsid w:val="008159A6"/>
    <w:rsid w:val="00821539"/>
    <w:rsid w:val="00826D26"/>
    <w:rsid w:val="008279FC"/>
    <w:rsid w:val="008407A1"/>
    <w:rsid w:val="00845006"/>
    <w:rsid w:val="00852F18"/>
    <w:rsid w:val="0085341D"/>
    <w:rsid w:val="008575F4"/>
    <w:rsid w:val="0085768C"/>
    <w:rsid w:val="00857E10"/>
    <w:rsid w:val="008659CE"/>
    <w:rsid w:val="008709EB"/>
    <w:rsid w:val="0087209D"/>
    <w:rsid w:val="00873BDC"/>
    <w:rsid w:val="00895D3F"/>
    <w:rsid w:val="00896E75"/>
    <w:rsid w:val="008B176F"/>
    <w:rsid w:val="008B2848"/>
    <w:rsid w:val="008B31DB"/>
    <w:rsid w:val="008D4969"/>
    <w:rsid w:val="008E1D80"/>
    <w:rsid w:val="008E39AE"/>
    <w:rsid w:val="008F3F23"/>
    <w:rsid w:val="008F3FE5"/>
    <w:rsid w:val="00904841"/>
    <w:rsid w:val="00907BDD"/>
    <w:rsid w:val="00916792"/>
    <w:rsid w:val="009245B7"/>
    <w:rsid w:val="00924D5E"/>
    <w:rsid w:val="009263C1"/>
    <w:rsid w:val="00927BDA"/>
    <w:rsid w:val="009302E1"/>
    <w:rsid w:val="009357B0"/>
    <w:rsid w:val="009358D8"/>
    <w:rsid w:val="00937C98"/>
    <w:rsid w:val="0095022C"/>
    <w:rsid w:val="009511D5"/>
    <w:rsid w:val="00954574"/>
    <w:rsid w:val="00965EDE"/>
    <w:rsid w:val="00972777"/>
    <w:rsid w:val="00973863"/>
    <w:rsid w:val="00977F73"/>
    <w:rsid w:val="00984A0C"/>
    <w:rsid w:val="00991B77"/>
    <w:rsid w:val="009924B5"/>
    <w:rsid w:val="00993F95"/>
    <w:rsid w:val="009A0AF3"/>
    <w:rsid w:val="009A185F"/>
    <w:rsid w:val="009A5660"/>
    <w:rsid w:val="009B3549"/>
    <w:rsid w:val="009B5F0B"/>
    <w:rsid w:val="009C5DA0"/>
    <w:rsid w:val="009C6091"/>
    <w:rsid w:val="009D2617"/>
    <w:rsid w:val="009D5865"/>
    <w:rsid w:val="009D5DC1"/>
    <w:rsid w:val="009F0C9C"/>
    <w:rsid w:val="009F104A"/>
    <w:rsid w:val="009F5B5D"/>
    <w:rsid w:val="009F65BB"/>
    <w:rsid w:val="009F6F17"/>
    <w:rsid w:val="00A02703"/>
    <w:rsid w:val="00A041A5"/>
    <w:rsid w:val="00A04FB8"/>
    <w:rsid w:val="00A07683"/>
    <w:rsid w:val="00A10986"/>
    <w:rsid w:val="00A2057D"/>
    <w:rsid w:val="00A36D94"/>
    <w:rsid w:val="00A60EEE"/>
    <w:rsid w:val="00A62D32"/>
    <w:rsid w:val="00A645C2"/>
    <w:rsid w:val="00A65E2C"/>
    <w:rsid w:val="00A66EAF"/>
    <w:rsid w:val="00A738F3"/>
    <w:rsid w:val="00A73A8F"/>
    <w:rsid w:val="00A749B6"/>
    <w:rsid w:val="00A830EA"/>
    <w:rsid w:val="00A90AF6"/>
    <w:rsid w:val="00A9168E"/>
    <w:rsid w:val="00AA08FD"/>
    <w:rsid w:val="00AA2897"/>
    <w:rsid w:val="00AB0700"/>
    <w:rsid w:val="00AC0B56"/>
    <w:rsid w:val="00AC5723"/>
    <w:rsid w:val="00AE05EB"/>
    <w:rsid w:val="00AE0DBB"/>
    <w:rsid w:val="00AE1377"/>
    <w:rsid w:val="00AE3ED6"/>
    <w:rsid w:val="00AE5063"/>
    <w:rsid w:val="00AE6436"/>
    <w:rsid w:val="00AF266B"/>
    <w:rsid w:val="00AF30B1"/>
    <w:rsid w:val="00B11A62"/>
    <w:rsid w:val="00B148F6"/>
    <w:rsid w:val="00B16263"/>
    <w:rsid w:val="00B165F7"/>
    <w:rsid w:val="00B17FB7"/>
    <w:rsid w:val="00B3353C"/>
    <w:rsid w:val="00B346B6"/>
    <w:rsid w:val="00B35035"/>
    <w:rsid w:val="00B41BED"/>
    <w:rsid w:val="00B43005"/>
    <w:rsid w:val="00B4385B"/>
    <w:rsid w:val="00B46A62"/>
    <w:rsid w:val="00B512D7"/>
    <w:rsid w:val="00B57E32"/>
    <w:rsid w:val="00B653F5"/>
    <w:rsid w:val="00B66EF3"/>
    <w:rsid w:val="00B74732"/>
    <w:rsid w:val="00B86677"/>
    <w:rsid w:val="00B969FE"/>
    <w:rsid w:val="00BA1CD4"/>
    <w:rsid w:val="00BA1D02"/>
    <w:rsid w:val="00BC2B00"/>
    <w:rsid w:val="00BD39FB"/>
    <w:rsid w:val="00BE2758"/>
    <w:rsid w:val="00BE2A7B"/>
    <w:rsid w:val="00BE35AA"/>
    <w:rsid w:val="00BF2926"/>
    <w:rsid w:val="00BF3EE7"/>
    <w:rsid w:val="00C0359C"/>
    <w:rsid w:val="00C103F1"/>
    <w:rsid w:val="00C12A35"/>
    <w:rsid w:val="00C204B8"/>
    <w:rsid w:val="00C21B68"/>
    <w:rsid w:val="00C24092"/>
    <w:rsid w:val="00C339A4"/>
    <w:rsid w:val="00C34FD1"/>
    <w:rsid w:val="00C373B4"/>
    <w:rsid w:val="00C52AA3"/>
    <w:rsid w:val="00C576FE"/>
    <w:rsid w:val="00C57AC2"/>
    <w:rsid w:val="00C60CC7"/>
    <w:rsid w:val="00C927F2"/>
    <w:rsid w:val="00C92FDB"/>
    <w:rsid w:val="00C95A62"/>
    <w:rsid w:val="00C960DE"/>
    <w:rsid w:val="00CA05CD"/>
    <w:rsid w:val="00CA1F73"/>
    <w:rsid w:val="00CA3822"/>
    <w:rsid w:val="00CA6FA2"/>
    <w:rsid w:val="00CA788C"/>
    <w:rsid w:val="00CB0813"/>
    <w:rsid w:val="00CB24C2"/>
    <w:rsid w:val="00CB38D7"/>
    <w:rsid w:val="00CD26AC"/>
    <w:rsid w:val="00CE087F"/>
    <w:rsid w:val="00CE2A51"/>
    <w:rsid w:val="00CE3C99"/>
    <w:rsid w:val="00CE6D18"/>
    <w:rsid w:val="00CF71B4"/>
    <w:rsid w:val="00D0696F"/>
    <w:rsid w:val="00D10D98"/>
    <w:rsid w:val="00D128B0"/>
    <w:rsid w:val="00D17FE3"/>
    <w:rsid w:val="00D23AD0"/>
    <w:rsid w:val="00D24DE1"/>
    <w:rsid w:val="00D25293"/>
    <w:rsid w:val="00D26F9E"/>
    <w:rsid w:val="00D369F6"/>
    <w:rsid w:val="00D37F9B"/>
    <w:rsid w:val="00D426DA"/>
    <w:rsid w:val="00D61B85"/>
    <w:rsid w:val="00D6393F"/>
    <w:rsid w:val="00D6500F"/>
    <w:rsid w:val="00D676D9"/>
    <w:rsid w:val="00D70A77"/>
    <w:rsid w:val="00D71711"/>
    <w:rsid w:val="00D74382"/>
    <w:rsid w:val="00D76E29"/>
    <w:rsid w:val="00D849FF"/>
    <w:rsid w:val="00D915AB"/>
    <w:rsid w:val="00D94ED8"/>
    <w:rsid w:val="00DA0BDC"/>
    <w:rsid w:val="00DA4E75"/>
    <w:rsid w:val="00DB3DA2"/>
    <w:rsid w:val="00DB59D7"/>
    <w:rsid w:val="00DB75E0"/>
    <w:rsid w:val="00DD7501"/>
    <w:rsid w:val="00DE6494"/>
    <w:rsid w:val="00DF24A7"/>
    <w:rsid w:val="00DF264B"/>
    <w:rsid w:val="00DF79D0"/>
    <w:rsid w:val="00E06306"/>
    <w:rsid w:val="00E102C5"/>
    <w:rsid w:val="00E154EB"/>
    <w:rsid w:val="00E2469A"/>
    <w:rsid w:val="00E32382"/>
    <w:rsid w:val="00E351D8"/>
    <w:rsid w:val="00E373FB"/>
    <w:rsid w:val="00E40762"/>
    <w:rsid w:val="00E4156C"/>
    <w:rsid w:val="00E45078"/>
    <w:rsid w:val="00E57829"/>
    <w:rsid w:val="00E65C78"/>
    <w:rsid w:val="00E65E8A"/>
    <w:rsid w:val="00E67E28"/>
    <w:rsid w:val="00E70288"/>
    <w:rsid w:val="00E815D8"/>
    <w:rsid w:val="00E843C3"/>
    <w:rsid w:val="00E84932"/>
    <w:rsid w:val="00E8521A"/>
    <w:rsid w:val="00EA2930"/>
    <w:rsid w:val="00EA29AA"/>
    <w:rsid w:val="00EB6AA1"/>
    <w:rsid w:val="00EC171E"/>
    <w:rsid w:val="00EC5D81"/>
    <w:rsid w:val="00ED344E"/>
    <w:rsid w:val="00EE2CDE"/>
    <w:rsid w:val="00EE300B"/>
    <w:rsid w:val="00EE37B5"/>
    <w:rsid w:val="00EE3F17"/>
    <w:rsid w:val="00EE5AF4"/>
    <w:rsid w:val="00EF2020"/>
    <w:rsid w:val="00F05D20"/>
    <w:rsid w:val="00F15259"/>
    <w:rsid w:val="00F175D1"/>
    <w:rsid w:val="00F17697"/>
    <w:rsid w:val="00F3479A"/>
    <w:rsid w:val="00F363E4"/>
    <w:rsid w:val="00F41641"/>
    <w:rsid w:val="00F60C74"/>
    <w:rsid w:val="00F61564"/>
    <w:rsid w:val="00F61D4C"/>
    <w:rsid w:val="00F67C66"/>
    <w:rsid w:val="00F779A4"/>
    <w:rsid w:val="00F8791C"/>
    <w:rsid w:val="00F927B5"/>
    <w:rsid w:val="00FA0083"/>
    <w:rsid w:val="00FA12D4"/>
    <w:rsid w:val="00FA759C"/>
    <w:rsid w:val="00FB0AF3"/>
    <w:rsid w:val="00FC3417"/>
    <w:rsid w:val="00FC5855"/>
    <w:rsid w:val="00FC7327"/>
    <w:rsid w:val="00FD03F5"/>
    <w:rsid w:val="00FD0EEA"/>
    <w:rsid w:val="00FD4800"/>
    <w:rsid w:val="00FE3F55"/>
    <w:rsid w:val="00FF1E62"/>
    <w:rsid w:val="00FF5AD4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26"/>
    <w:qFormat/>
    <w:pPr>
      <w:ind w:left="720"/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character" w:customStyle="1" w:styleId="BodyText2Char">
    <w:name w:val="Body Text 2 Char"/>
    <w:link w:val="BodyText2"/>
    <w:semiHidden/>
    <w:rsid w:val="003934E3"/>
    <w:rPr>
      <w:rFonts w:ascii="Arial" w:hAnsi="Arial"/>
      <w:sz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26"/>
    <w:locked/>
    <w:rsid w:val="00621705"/>
    <w:rPr>
      <w:lang w:eastAsia="en-US"/>
    </w:rPr>
  </w:style>
  <w:style w:type="paragraph" w:styleId="NormalWeb">
    <w:name w:val="Normal (Web)"/>
    <w:basedOn w:val="Normal"/>
    <w:rsid w:val="001336BF"/>
    <w:pPr>
      <w:spacing w:before="100" w:beforeAutospacing="1" w:after="100" w:afterAutospacing="1"/>
    </w:pPr>
    <w:rPr>
      <w:sz w:val="24"/>
      <w:szCs w:val="24"/>
      <w:lang w:val="en-ZA" w:eastAsia="en-ZA"/>
    </w:rPr>
  </w:style>
  <w:style w:type="paragraph" w:customStyle="1" w:styleId="p0">
    <w:name w:val="p0"/>
    <w:basedOn w:val="Normal"/>
    <w:rsid w:val="00667FF7"/>
    <w:rPr>
      <w:rFonts w:eastAsia="Calibri"/>
      <w:sz w:val="24"/>
      <w:szCs w:val="24"/>
      <w:lang w:val="en-ZA" w:eastAsia="en-ZA"/>
    </w:rPr>
  </w:style>
  <w:style w:type="character" w:customStyle="1" w:styleId="apple-style-span">
    <w:name w:val="apple-style-span"/>
    <w:rsid w:val="00CE3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2015-09-22T13:29:00Z</cp:lastPrinted>
  <dcterms:created xsi:type="dcterms:W3CDTF">2015-10-05T12:54:00Z</dcterms:created>
  <dcterms:modified xsi:type="dcterms:W3CDTF">2015-10-05T12:54:00Z</dcterms:modified>
</cp:coreProperties>
</file>