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E3318">
        <w:rPr>
          <w:rFonts w:ascii="Times New Roman" w:hAnsi="Times New Roman" w:cs="Times New Roman"/>
          <w:b/>
          <w:sz w:val="24"/>
          <w:szCs w:val="24"/>
        </w:rPr>
        <w:t xml:space="preserve"> 3197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10D44">
        <w:rPr>
          <w:rFonts w:ascii="Times New Roman" w:hAnsi="Times New Roman" w:cs="Times New Roman"/>
          <w:b/>
          <w:sz w:val="24"/>
          <w:szCs w:val="24"/>
          <w:u w:val="single"/>
        </w:rPr>
        <w:t>F INTERNAL QUESTION PAPER: 02/11</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9524A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w:t>
      </w:r>
      <w:r w:rsidR="00710D44">
        <w:rPr>
          <w:rFonts w:ascii="Times New Roman" w:hAnsi="Times New Roman" w:cs="Times New Roman"/>
          <w:b/>
          <w:sz w:val="24"/>
          <w:szCs w:val="24"/>
          <w:u w:val="single"/>
        </w:rPr>
        <w:t>7</w:t>
      </w:r>
      <w:r w:rsidR="001034EB">
        <w:rPr>
          <w:rFonts w:ascii="Times New Roman" w:hAnsi="Times New Roman" w:cs="Times New Roman"/>
          <w:b/>
          <w:sz w:val="24"/>
          <w:szCs w:val="24"/>
          <w:u w:val="single"/>
        </w:rPr>
        <w:t>/2018</w:t>
      </w:r>
    </w:p>
    <w:p w:rsidR="002E3318" w:rsidRPr="002E3318" w:rsidRDefault="002E3318" w:rsidP="002E3318">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2E3318">
        <w:rPr>
          <w:rFonts w:ascii="Times New Roman" w:eastAsia="Calibri" w:hAnsi="Times New Roman" w:cs="Times New Roman"/>
          <w:b/>
          <w:sz w:val="24"/>
          <w:szCs w:val="24"/>
        </w:rPr>
        <w:t>3197.</w:t>
      </w:r>
      <w:r w:rsidRPr="002E3318">
        <w:rPr>
          <w:rFonts w:ascii="Times New Roman" w:eastAsia="Calibri" w:hAnsi="Times New Roman" w:cs="Times New Roman"/>
          <w:b/>
          <w:sz w:val="24"/>
          <w:szCs w:val="24"/>
        </w:rPr>
        <w:tab/>
        <w:t>Ms</w:t>
      </w:r>
      <w:r w:rsidRPr="002E3318">
        <w:rPr>
          <w:rFonts w:ascii="Times New Roman" w:eastAsia="Calibri" w:hAnsi="Times New Roman" w:cs="Times New Roman"/>
          <w:b/>
          <w:sz w:val="24"/>
          <w:szCs w:val="24"/>
          <w:lang w:val="en-GB"/>
        </w:rPr>
        <w:t xml:space="preserve"> N I Tarabella Marchesi (DA) to ask the Minister of Basic Education:</w:t>
      </w:r>
    </w:p>
    <w:p w:rsidR="002E3318" w:rsidRPr="002E3318" w:rsidRDefault="002E3318" w:rsidP="002E3318">
      <w:pPr>
        <w:spacing w:before="100" w:beforeAutospacing="1" w:after="100" w:afterAutospacing="1" w:line="240" w:lineRule="auto"/>
        <w:ind w:left="720"/>
        <w:jc w:val="both"/>
        <w:outlineLvl w:val="0"/>
        <w:rPr>
          <w:rFonts w:ascii="Times New Roman" w:eastAsia="Calibri" w:hAnsi="Times New Roman" w:cs="Times New Roman"/>
          <w:sz w:val="24"/>
          <w:szCs w:val="24"/>
          <w:lang w:val="en-GB"/>
        </w:rPr>
      </w:pPr>
      <w:r w:rsidRPr="002E3318">
        <w:rPr>
          <w:rFonts w:ascii="Times New Roman" w:eastAsia="Calibri" w:hAnsi="Times New Roman" w:cs="Times New Roman"/>
          <w:sz w:val="24"/>
          <w:szCs w:val="24"/>
          <w:lang w:val="en-GB"/>
        </w:rPr>
        <w:t xml:space="preserve">With reference to her reply to question 983 on 18 May 2017, how did each province </w:t>
      </w:r>
      <w:r w:rsidRPr="002E3318">
        <w:rPr>
          <w:rFonts w:ascii="Times New Roman" w:eastAsia="Calibri" w:hAnsi="Times New Roman" w:cs="Times New Roman"/>
          <w:color w:val="000000"/>
          <w:sz w:val="24"/>
          <w:szCs w:val="24"/>
          <w:lang w:val="en-GB" w:eastAsia="en-ZA"/>
        </w:rPr>
        <w:t>perform</w:t>
      </w:r>
      <w:r w:rsidRPr="002E3318">
        <w:rPr>
          <w:rFonts w:ascii="Times New Roman" w:eastAsia="Calibri" w:hAnsi="Times New Roman" w:cs="Times New Roman"/>
          <w:sz w:val="24"/>
          <w:szCs w:val="24"/>
          <w:lang w:val="en-GB"/>
        </w:rPr>
        <w:t xml:space="preserve"> in the 2017 academic year according to each of the seven criteria contained in the Inclusive Basket of Criteria?</w:t>
      </w:r>
      <w:r w:rsidRPr="002E3318">
        <w:rPr>
          <w:rFonts w:ascii="Times New Roman" w:eastAsia="Calibri" w:hAnsi="Times New Roman" w:cs="Times New Roman"/>
          <w:sz w:val="24"/>
          <w:szCs w:val="24"/>
          <w:lang w:val="en-GB"/>
        </w:rPr>
        <w:tab/>
      </w:r>
      <w:r w:rsidRPr="002E3318">
        <w:rPr>
          <w:rFonts w:ascii="Times New Roman" w:eastAsia="Calibri" w:hAnsi="Times New Roman" w:cs="Times New Roman"/>
          <w:sz w:val="24"/>
          <w:szCs w:val="24"/>
          <w:lang w:val="en-GB"/>
        </w:rPr>
        <w:tab/>
      </w:r>
      <w:r w:rsidRPr="002E3318">
        <w:rPr>
          <w:rFonts w:ascii="Times New Roman" w:eastAsia="Calibri" w:hAnsi="Times New Roman" w:cs="Times New Roman"/>
          <w:sz w:val="24"/>
          <w:szCs w:val="24"/>
          <w:lang w:val="en-GB"/>
        </w:rPr>
        <w:tab/>
      </w:r>
      <w:r w:rsidRPr="002E3318">
        <w:rPr>
          <w:rFonts w:ascii="Times New Roman" w:eastAsia="Calibri" w:hAnsi="Times New Roman" w:cs="Times New Roman"/>
          <w:sz w:val="24"/>
          <w:szCs w:val="24"/>
          <w:lang w:val="en-GB"/>
        </w:rPr>
        <w:tab/>
      </w:r>
      <w:r w:rsidRPr="002E3318">
        <w:rPr>
          <w:rFonts w:ascii="Times New Roman" w:eastAsia="Calibri" w:hAnsi="Times New Roman" w:cs="Times New Roman"/>
          <w:sz w:val="24"/>
          <w:szCs w:val="24"/>
          <w:lang w:val="en-GB"/>
        </w:rPr>
        <w:tab/>
      </w:r>
      <w:r w:rsidRPr="002E3318">
        <w:rPr>
          <w:rFonts w:ascii="Times New Roman" w:eastAsia="Calibri" w:hAnsi="Times New Roman" w:cs="Times New Roman"/>
          <w:sz w:val="24"/>
          <w:szCs w:val="24"/>
          <w:lang w:val="en-GB"/>
        </w:rPr>
        <w:tab/>
      </w:r>
      <w:r w:rsidRPr="002E3318">
        <w:rPr>
          <w:rFonts w:ascii="Times New Roman" w:eastAsia="Calibri" w:hAnsi="Times New Roman" w:cs="Times New Roman"/>
          <w:sz w:val="20"/>
          <w:szCs w:val="20"/>
          <w:lang/>
        </w:rPr>
        <w:t>NW3626E</w:t>
      </w:r>
    </w:p>
    <w:p w:rsidR="006D54A0" w:rsidRDefault="006D54A0" w:rsidP="006D54A0">
      <w:pPr>
        <w:rPr>
          <w:rFonts w:ascii="Times New Roman" w:hAnsi="Times New Roman" w:cs="Times New Roman"/>
          <w:b/>
        </w:rPr>
      </w:pPr>
      <w:r>
        <w:rPr>
          <w:rFonts w:ascii="Times New Roman" w:hAnsi="Times New Roman" w:cs="Times New Roman"/>
          <w:b/>
        </w:rPr>
        <w:t>RESPONSE:</w:t>
      </w:r>
    </w:p>
    <w:p w:rsidR="006D54A0" w:rsidRPr="006A5230" w:rsidRDefault="006D54A0" w:rsidP="006D54A0">
      <w:pPr>
        <w:ind w:left="720" w:hanging="720"/>
        <w:rPr>
          <w:rFonts w:ascii="Times New Roman" w:eastAsia="Calibri" w:hAnsi="Times New Roman" w:cs="Times New Roman"/>
          <w:lang w:val="en-GB"/>
        </w:rPr>
      </w:pPr>
      <w:r w:rsidRPr="006A5230">
        <w:rPr>
          <w:rFonts w:ascii="Times New Roman" w:hAnsi="Times New Roman" w:cs="Times New Roman"/>
        </w:rPr>
        <w:t xml:space="preserve"> </w:t>
      </w:r>
      <w:r>
        <w:rPr>
          <w:rFonts w:ascii="Times New Roman" w:hAnsi="Times New Roman" w:cs="Times New Roman"/>
        </w:rPr>
        <w:tab/>
      </w:r>
      <w:r w:rsidRPr="006A5230">
        <w:rPr>
          <w:rFonts w:ascii="Times New Roman" w:eastAsia="Calibri" w:hAnsi="Times New Roman" w:cs="Times New Roman"/>
          <w:lang w:val="en-GB"/>
        </w:rPr>
        <w:t>The inclusive basket of performance indicators is a more integrated approach to reporting that reflects the key indicators of learner performance. The key indicators together with their weighting are as follows:</w:t>
      </w:r>
    </w:p>
    <w:p w:rsidR="006D54A0" w:rsidRPr="006A5230" w:rsidRDefault="006D54A0"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sidRPr="006A5230">
        <w:rPr>
          <w:rFonts w:ascii="Times New Roman" w:eastAsia="Calibri" w:hAnsi="Times New Roman" w:cs="Times New Roman"/>
          <w:lang w:val="en-GB"/>
        </w:rPr>
        <w:t>Overall pass percentage (35%)</w:t>
      </w:r>
    </w:p>
    <w:p w:rsidR="006D54A0" w:rsidRPr="006A5230" w:rsidRDefault="006D54A0"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sidRPr="006A5230">
        <w:rPr>
          <w:rFonts w:ascii="Times New Roman" w:eastAsia="Calibri" w:hAnsi="Times New Roman" w:cs="Times New Roman"/>
          <w:lang w:val="en-GB"/>
        </w:rPr>
        <w:t>Mathematics pass percentage (10%)</w:t>
      </w:r>
    </w:p>
    <w:p w:rsidR="006D54A0" w:rsidRPr="006A5230" w:rsidRDefault="006D54A0"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sidRPr="006A5230">
        <w:rPr>
          <w:rFonts w:ascii="Times New Roman" w:eastAsia="Calibri" w:hAnsi="Times New Roman" w:cs="Times New Roman"/>
          <w:lang w:val="en-GB"/>
        </w:rPr>
        <w:t>Physical Sciences pass percentage (10%)</w:t>
      </w:r>
    </w:p>
    <w:p w:rsidR="006D54A0" w:rsidRPr="006A5230" w:rsidRDefault="006D54A0"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sidRPr="006A5230">
        <w:rPr>
          <w:rFonts w:ascii="Times New Roman" w:eastAsia="Calibri" w:hAnsi="Times New Roman" w:cs="Times New Roman"/>
          <w:lang w:val="en-GB"/>
        </w:rPr>
        <w:t>Bachelor attainment percentage (15%)</w:t>
      </w:r>
    </w:p>
    <w:p w:rsidR="006D54A0" w:rsidRPr="006A5230" w:rsidRDefault="006D54A0"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sidRPr="006A5230">
        <w:rPr>
          <w:rFonts w:ascii="Times New Roman" w:eastAsia="Calibri" w:hAnsi="Times New Roman" w:cs="Times New Roman"/>
          <w:lang w:val="en-GB"/>
        </w:rPr>
        <w:t>Distinction percentage (10%)</w:t>
      </w:r>
    </w:p>
    <w:p w:rsidR="006D54A0" w:rsidRPr="006A5230" w:rsidRDefault="006D54A0"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sidRPr="006A5230">
        <w:rPr>
          <w:rFonts w:ascii="Times New Roman" w:eastAsia="Calibri" w:hAnsi="Times New Roman" w:cs="Times New Roman"/>
          <w:lang w:val="en-GB"/>
        </w:rPr>
        <w:t>Mathematics Participation Rate (10%)</w:t>
      </w:r>
    </w:p>
    <w:p w:rsidR="006D54A0" w:rsidRPr="006A5230" w:rsidRDefault="00A24E0A" w:rsidP="006D54A0">
      <w:pPr>
        <w:numPr>
          <w:ilvl w:val="0"/>
          <w:numId w:val="1"/>
        </w:numPr>
        <w:tabs>
          <w:tab w:val="left" w:pos="851"/>
          <w:tab w:val="left" w:pos="1276"/>
        </w:tabs>
        <w:spacing w:after="0" w:line="360" w:lineRule="auto"/>
        <w:ind w:hanging="77"/>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Secondary </w:t>
      </w:r>
      <w:r w:rsidR="006D54A0" w:rsidRPr="006A5230">
        <w:rPr>
          <w:rFonts w:ascii="Times New Roman" w:eastAsia="Calibri" w:hAnsi="Times New Roman" w:cs="Times New Roman"/>
          <w:lang w:val="en-GB"/>
        </w:rPr>
        <w:t>Throughput rate (10%)</w:t>
      </w:r>
    </w:p>
    <w:p w:rsidR="006D54A0" w:rsidRPr="006A5230" w:rsidRDefault="006D54A0" w:rsidP="006D54A0">
      <w:pPr>
        <w:tabs>
          <w:tab w:val="left" w:pos="851"/>
        </w:tabs>
        <w:spacing w:after="0" w:line="360" w:lineRule="auto"/>
        <w:ind w:left="786"/>
        <w:contextualSpacing/>
        <w:jc w:val="both"/>
        <w:rPr>
          <w:rFonts w:ascii="Times New Roman" w:eastAsia="Calibri" w:hAnsi="Times New Roman" w:cs="Times New Roman"/>
          <w:lang w:val="en-GB"/>
        </w:rPr>
      </w:pPr>
    </w:p>
    <w:p w:rsidR="006D54A0" w:rsidRPr="006A5230" w:rsidRDefault="006D54A0" w:rsidP="006D54A0">
      <w:pPr>
        <w:spacing w:after="0" w:line="360" w:lineRule="auto"/>
        <w:ind w:left="720" w:hanging="11"/>
        <w:jc w:val="both"/>
        <w:rPr>
          <w:rFonts w:ascii="Times New Roman" w:hAnsi="Times New Roman" w:cs="Times New Roman"/>
        </w:rPr>
      </w:pPr>
      <w:r w:rsidRPr="006A5230">
        <w:rPr>
          <w:rFonts w:ascii="Times New Roman" w:hAnsi="Times New Roman" w:cs="Times New Roman"/>
        </w:rPr>
        <w:t xml:space="preserve">The above indicators are captured in a consolidated format which includes a weighting based on the importance attached to each of these indicators. A computation of the percentage obtained for each of these indicators </w:t>
      </w:r>
      <w:r>
        <w:rPr>
          <w:rFonts w:ascii="Times New Roman" w:hAnsi="Times New Roman" w:cs="Times New Roman"/>
        </w:rPr>
        <w:t>at</w:t>
      </w:r>
      <w:r w:rsidRPr="006A5230">
        <w:rPr>
          <w:rFonts w:ascii="Times New Roman" w:hAnsi="Times New Roman" w:cs="Times New Roman"/>
        </w:rPr>
        <w:t xml:space="preserve"> school, district, provinc</w:t>
      </w:r>
      <w:r>
        <w:rPr>
          <w:rFonts w:ascii="Times New Roman" w:hAnsi="Times New Roman" w:cs="Times New Roman"/>
        </w:rPr>
        <w:t xml:space="preserve">ial and </w:t>
      </w:r>
      <w:r w:rsidRPr="006A5230">
        <w:rPr>
          <w:rFonts w:ascii="Times New Roman" w:hAnsi="Times New Roman" w:cs="Times New Roman"/>
        </w:rPr>
        <w:t>national</w:t>
      </w:r>
      <w:r>
        <w:rPr>
          <w:rFonts w:ascii="Times New Roman" w:hAnsi="Times New Roman" w:cs="Times New Roman"/>
        </w:rPr>
        <w:t xml:space="preserve"> level</w:t>
      </w:r>
      <w:r w:rsidRPr="006A5230">
        <w:rPr>
          <w:rFonts w:ascii="Times New Roman" w:hAnsi="Times New Roman" w:cs="Times New Roman"/>
        </w:rPr>
        <w:t xml:space="preserve">, </w:t>
      </w:r>
      <w:r w:rsidR="0079774E">
        <w:rPr>
          <w:rFonts w:ascii="Times New Roman" w:hAnsi="Times New Roman" w:cs="Times New Roman"/>
        </w:rPr>
        <w:t>is</w:t>
      </w:r>
      <w:r w:rsidRPr="006A5230">
        <w:rPr>
          <w:rFonts w:ascii="Times New Roman" w:hAnsi="Times New Roman" w:cs="Times New Roman"/>
        </w:rPr>
        <w:t xml:space="preserve"> </w:t>
      </w:r>
      <w:r w:rsidR="004343F2">
        <w:rPr>
          <w:rFonts w:ascii="Times New Roman" w:hAnsi="Times New Roman" w:cs="Times New Roman"/>
        </w:rPr>
        <w:t>also available</w:t>
      </w:r>
      <w:r w:rsidRPr="006A5230">
        <w:rPr>
          <w:rFonts w:ascii="Times New Roman" w:hAnsi="Times New Roman" w:cs="Times New Roman"/>
        </w:rPr>
        <w:t>.</w:t>
      </w:r>
      <w:bookmarkStart w:id="0" w:name="_Toc441419202"/>
      <w:bookmarkStart w:id="1" w:name="_Toc471426270"/>
      <w:r w:rsidR="0079774E">
        <w:rPr>
          <w:rFonts w:ascii="Times New Roman" w:hAnsi="Times New Roman" w:cs="Times New Roman"/>
        </w:rPr>
        <w:t xml:space="preserve">  This new approach to reporting on performance in the </w:t>
      </w:r>
      <w:r w:rsidR="004343F2">
        <w:rPr>
          <w:rFonts w:ascii="Times New Roman" w:hAnsi="Times New Roman" w:cs="Times New Roman"/>
        </w:rPr>
        <w:t>N</w:t>
      </w:r>
      <w:r w:rsidR="0079774E">
        <w:rPr>
          <w:rFonts w:ascii="Times New Roman" w:hAnsi="Times New Roman" w:cs="Times New Roman"/>
        </w:rPr>
        <w:t>ational Senior Certificate Examination is being piloted and is therefore not the official mechanism of reporting on provincial performance.  This information will however be used to monitor performance of the System at the different levels.</w:t>
      </w:r>
    </w:p>
    <w:p w:rsidR="006D54A0" w:rsidRPr="006A5230" w:rsidRDefault="006D54A0" w:rsidP="006D54A0">
      <w:pPr>
        <w:spacing w:after="0" w:line="360" w:lineRule="auto"/>
        <w:ind w:left="426"/>
        <w:jc w:val="both"/>
        <w:rPr>
          <w:rFonts w:ascii="Times New Roman" w:hAnsi="Times New Roman" w:cs="Times New Roman"/>
        </w:rPr>
      </w:pPr>
    </w:p>
    <w:bookmarkEnd w:id="0"/>
    <w:bookmarkEnd w:id="1"/>
    <w:p w:rsidR="006D54A0" w:rsidRPr="006A5230" w:rsidRDefault="006D54A0" w:rsidP="006D54A0">
      <w:pPr>
        <w:tabs>
          <w:tab w:val="left" w:pos="851"/>
        </w:tabs>
        <w:spacing w:after="0" w:line="360" w:lineRule="auto"/>
        <w:ind w:left="786"/>
        <w:contextualSpacing/>
        <w:jc w:val="both"/>
        <w:rPr>
          <w:rFonts w:ascii="Times New Roman" w:eastAsia="Calibri" w:hAnsi="Times New Roman" w:cs="Times New Roman"/>
          <w:lang w:val="en-GB"/>
        </w:rPr>
      </w:pPr>
    </w:p>
    <w:p w:rsidR="006D54A0" w:rsidRPr="006A5230" w:rsidRDefault="006D54A0" w:rsidP="006D54A0">
      <w:pPr>
        <w:tabs>
          <w:tab w:val="left" w:pos="851"/>
        </w:tabs>
        <w:spacing w:after="0" w:line="360" w:lineRule="auto"/>
        <w:contextualSpacing/>
        <w:jc w:val="both"/>
        <w:rPr>
          <w:rFonts w:ascii="Times New Roman" w:eastAsia="Calibri" w:hAnsi="Times New Roman" w:cs="Times New Roman"/>
          <w:lang w:val="en-GB"/>
        </w:rPr>
      </w:pPr>
    </w:p>
    <w:p w:rsidR="006D54A0" w:rsidRDefault="006D54A0" w:rsidP="006D54A0">
      <w:pPr>
        <w:tabs>
          <w:tab w:val="left" w:pos="851"/>
        </w:tabs>
        <w:spacing w:after="0" w:line="360" w:lineRule="auto"/>
        <w:contextualSpacing/>
        <w:jc w:val="both"/>
        <w:rPr>
          <w:rFonts w:ascii="Times New Roman" w:eastAsia="Calibri" w:hAnsi="Times New Roman" w:cs="Times New Roman"/>
          <w:lang w:val="en-GB"/>
        </w:rPr>
      </w:pPr>
    </w:p>
    <w:p w:rsidR="004B4B88" w:rsidRPr="006A5230" w:rsidRDefault="004B4B88" w:rsidP="006D54A0">
      <w:pPr>
        <w:tabs>
          <w:tab w:val="left" w:pos="851"/>
        </w:tabs>
        <w:spacing w:after="0" w:line="360" w:lineRule="auto"/>
        <w:contextualSpacing/>
        <w:jc w:val="both"/>
        <w:rPr>
          <w:rFonts w:ascii="Times New Roman" w:eastAsia="Calibri" w:hAnsi="Times New Roman" w:cs="Times New Roman"/>
          <w:lang w:val="en-GB"/>
        </w:rPr>
      </w:pPr>
    </w:p>
    <w:p w:rsidR="006D54A0" w:rsidRPr="006A5230" w:rsidRDefault="006D54A0" w:rsidP="006D54A0">
      <w:pPr>
        <w:tabs>
          <w:tab w:val="left" w:pos="851"/>
        </w:tabs>
        <w:spacing w:after="0" w:line="360" w:lineRule="auto"/>
        <w:contextualSpacing/>
        <w:jc w:val="both"/>
        <w:rPr>
          <w:rFonts w:ascii="Times New Roman" w:eastAsia="Calibri" w:hAnsi="Times New Roman" w:cs="Times New Roman"/>
          <w:lang w:val="en-GB"/>
        </w:rPr>
      </w:pPr>
    </w:p>
    <w:p w:rsidR="006D54A0" w:rsidRDefault="006D54A0" w:rsidP="006D54A0">
      <w:pPr>
        <w:tabs>
          <w:tab w:val="left" w:pos="851"/>
        </w:tabs>
        <w:spacing w:after="0" w:line="360" w:lineRule="auto"/>
        <w:contextualSpacing/>
        <w:jc w:val="both"/>
        <w:rPr>
          <w:rFonts w:ascii="Arial Narrow" w:eastAsia="Calibri" w:hAnsi="Arial Narrow" w:cs="Times New Roman"/>
          <w:lang w:val="en-GB"/>
        </w:rPr>
      </w:pPr>
    </w:p>
    <w:p w:rsidR="006D54A0" w:rsidRDefault="006D54A0" w:rsidP="006D54A0">
      <w:pPr>
        <w:tabs>
          <w:tab w:val="left" w:pos="851"/>
        </w:tabs>
        <w:spacing w:after="0" w:line="360" w:lineRule="auto"/>
        <w:contextualSpacing/>
        <w:jc w:val="both"/>
        <w:rPr>
          <w:rFonts w:ascii="Arial Narrow" w:eastAsia="Calibri" w:hAnsi="Arial Narrow" w:cs="Times New Roman"/>
          <w:lang w:val="en-GB"/>
        </w:rPr>
      </w:pPr>
    </w:p>
    <w:p w:rsidR="006D54A0" w:rsidRDefault="006D54A0" w:rsidP="006D54A0">
      <w:pPr>
        <w:tabs>
          <w:tab w:val="left" w:pos="851"/>
        </w:tabs>
        <w:spacing w:after="0" w:line="360" w:lineRule="auto"/>
        <w:ind w:left="851" w:hanging="851"/>
        <w:contextualSpacing/>
        <w:jc w:val="both"/>
        <w:rPr>
          <w:rFonts w:ascii="Times New Roman" w:eastAsia="Calibri" w:hAnsi="Times New Roman" w:cs="Times New Roman"/>
          <w:lang w:val="en-GB"/>
        </w:rPr>
      </w:pPr>
      <w:r>
        <w:rPr>
          <w:rFonts w:ascii="Times New Roman" w:eastAsia="Calibri" w:hAnsi="Times New Roman" w:cs="Times New Roman"/>
          <w:lang w:val="en-GB"/>
        </w:rPr>
        <w:tab/>
      </w:r>
      <w:r w:rsidRPr="006A5230">
        <w:rPr>
          <w:rFonts w:ascii="Times New Roman" w:eastAsia="Calibri" w:hAnsi="Times New Roman" w:cs="Times New Roman"/>
          <w:lang w:val="en-GB"/>
        </w:rPr>
        <w:t>The Table below shows the performance of each of the Provincial Education Departments (PED’s) in terms of the Inclusive Basket Criteria:</w:t>
      </w:r>
    </w:p>
    <w:p w:rsidR="00801E0A" w:rsidRPr="006A5230" w:rsidRDefault="00801E0A" w:rsidP="006D54A0">
      <w:pPr>
        <w:tabs>
          <w:tab w:val="left" w:pos="851"/>
        </w:tabs>
        <w:spacing w:after="0" w:line="360" w:lineRule="auto"/>
        <w:ind w:left="851" w:hanging="851"/>
        <w:contextualSpacing/>
        <w:jc w:val="both"/>
        <w:rPr>
          <w:rFonts w:ascii="Times New Roman" w:eastAsia="Calibri" w:hAnsi="Times New Roman" w:cs="Times New Roman"/>
          <w:lang w:val="en-GB"/>
        </w:rPr>
      </w:pPr>
    </w:p>
    <w:tbl>
      <w:tblPr>
        <w:tblW w:w="7978" w:type="dxa"/>
        <w:tblLook w:val="04A0"/>
      </w:tblPr>
      <w:tblGrid>
        <w:gridCol w:w="2405"/>
        <w:gridCol w:w="766"/>
        <w:gridCol w:w="820"/>
        <w:gridCol w:w="670"/>
        <w:gridCol w:w="670"/>
        <w:gridCol w:w="670"/>
        <w:gridCol w:w="670"/>
        <w:gridCol w:w="670"/>
        <w:gridCol w:w="670"/>
      </w:tblGrid>
      <w:tr w:rsidR="00801E0A" w:rsidRPr="00801E0A" w:rsidTr="00AD5073">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 </w:t>
            </w:r>
          </w:p>
        </w:tc>
        <w:tc>
          <w:tcPr>
            <w:tcW w:w="557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01E0A" w:rsidRPr="00801E0A" w:rsidRDefault="00801E0A" w:rsidP="00801E0A">
            <w:pPr>
              <w:spacing w:after="0" w:line="240" w:lineRule="auto"/>
              <w:jc w:val="center"/>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Weighted Basket Score</w:t>
            </w:r>
          </w:p>
        </w:tc>
      </w:tr>
      <w:tr w:rsidR="00801E0A" w:rsidRPr="00801E0A" w:rsidTr="00AD5073">
        <w:trPr>
          <w:trHeight w:val="328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Province Name</w:t>
            </w:r>
          </w:p>
        </w:tc>
        <w:tc>
          <w:tcPr>
            <w:tcW w:w="733"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Basket Score</w:t>
            </w:r>
          </w:p>
        </w:tc>
        <w:tc>
          <w:tcPr>
            <w:tcW w:w="82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Overall Pass Perc(W-35%)</w:t>
            </w:r>
          </w:p>
        </w:tc>
        <w:tc>
          <w:tcPr>
            <w:tcW w:w="67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Perc Maths Passed(W-10%)</w:t>
            </w:r>
          </w:p>
        </w:tc>
        <w:tc>
          <w:tcPr>
            <w:tcW w:w="67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Perc Physics Passed(W-10%)</w:t>
            </w:r>
          </w:p>
        </w:tc>
        <w:tc>
          <w:tcPr>
            <w:tcW w:w="67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Perc Bachelor Passed(W-15%)</w:t>
            </w:r>
          </w:p>
        </w:tc>
        <w:tc>
          <w:tcPr>
            <w:tcW w:w="67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Perc Distinctions(W-10%)</w:t>
            </w:r>
          </w:p>
        </w:tc>
        <w:tc>
          <w:tcPr>
            <w:tcW w:w="67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Perc Maths Participation(W-10%)</w:t>
            </w:r>
          </w:p>
        </w:tc>
        <w:tc>
          <w:tcPr>
            <w:tcW w:w="670" w:type="dxa"/>
            <w:tcBorders>
              <w:top w:val="nil"/>
              <w:left w:val="nil"/>
              <w:bottom w:val="single" w:sz="4" w:space="0" w:color="auto"/>
              <w:right w:val="single" w:sz="4" w:space="0" w:color="auto"/>
            </w:tcBorders>
            <w:shd w:val="clear" w:color="auto" w:fill="auto"/>
            <w:noWrap/>
            <w:textDirection w:val="btLr"/>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Secondary Throughput Rate(W-10%)</w:t>
            </w:r>
          </w:p>
        </w:tc>
      </w:tr>
      <w:tr w:rsidR="0079774E"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EASTERN CAPE</w:t>
            </w:r>
          </w:p>
        </w:tc>
        <w:tc>
          <w:tcPr>
            <w:tcW w:w="733"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46.2%</w:t>
            </w:r>
          </w:p>
        </w:tc>
        <w:tc>
          <w:tcPr>
            <w:tcW w:w="82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22.8%</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5.7%</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3.4%</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0.3%</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5.3%</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4.5%</w:t>
            </w:r>
          </w:p>
        </w:tc>
      </w:tr>
      <w:tr w:rsidR="0079774E"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FREE STATE</w:t>
            </w:r>
          </w:p>
        </w:tc>
        <w:tc>
          <w:tcPr>
            <w:tcW w:w="733"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58.8%</w:t>
            </w:r>
          </w:p>
        </w:tc>
        <w:tc>
          <w:tcPr>
            <w:tcW w:w="82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30.1%</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7.1%</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7.7%</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5.3%</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0.4%</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4.0%</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4.2%</w:t>
            </w:r>
          </w:p>
        </w:tc>
      </w:tr>
      <w:tr w:rsidR="0079774E"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GAUTENG</w:t>
            </w:r>
          </w:p>
        </w:tc>
        <w:tc>
          <w:tcPr>
            <w:tcW w:w="733"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58.6%</w:t>
            </w:r>
          </w:p>
        </w:tc>
        <w:tc>
          <w:tcPr>
            <w:tcW w:w="82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29.8%</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6.8%</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7.0%</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5.4%</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0.5%</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3.8%</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79774E"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5.4%</w:t>
            </w:r>
          </w:p>
        </w:tc>
      </w:tr>
      <w:tr w:rsidR="0079774E"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KWAZULU-NATAL</w:t>
            </w:r>
          </w:p>
        </w:tc>
        <w:tc>
          <w:tcPr>
            <w:tcW w:w="733"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51.5%</w:t>
            </w:r>
          </w:p>
        </w:tc>
        <w:tc>
          <w:tcPr>
            <w:tcW w:w="82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25.5%</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6.5%</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4.3%</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0.4%</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5.5%</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5.0%</w:t>
            </w:r>
          </w:p>
        </w:tc>
      </w:tr>
      <w:tr w:rsidR="0079774E"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LIMPOPO</w:t>
            </w:r>
          </w:p>
        </w:tc>
        <w:tc>
          <w:tcPr>
            <w:tcW w:w="733"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47.1%</w:t>
            </w:r>
          </w:p>
        </w:tc>
        <w:tc>
          <w:tcPr>
            <w:tcW w:w="82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23.0%</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5.0%</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6.3%</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4.9%</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4.5%</w:t>
            </w:r>
          </w:p>
        </w:tc>
      </w:tr>
      <w:tr w:rsidR="0079774E"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MPUMALANGA</w:t>
            </w:r>
          </w:p>
        </w:tc>
        <w:tc>
          <w:tcPr>
            <w:tcW w:w="733"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51.0%</w:t>
            </w:r>
          </w:p>
        </w:tc>
        <w:tc>
          <w:tcPr>
            <w:tcW w:w="82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26.2%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4.8%</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3.5%</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0.2%</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5.0%</w:t>
            </w:r>
          </w:p>
        </w:tc>
        <w:tc>
          <w:tcPr>
            <w:tcW w:w="670" w:type="dxa"/>
            <w:tcBorders>
              <w:top w:val="nil"/>
              <w:left w:val="nil"/>
              <w:bottom w:val="single" w:sz="4" w:space="0" w:color="auto"/>
              <w:right w:val="single" w:sz="4" w:space="0" w:color="auto"/>
            </w:tcBorders>
            <w:shd w:val="clear" w:color="auto" w:fill="auto"/>
            <w:noWrap/>
            <w:vAlign w:val="bottom"/>
          </w:tcPr>
          <w:p w:rsidR="0079774E" w:rsidRPr="00801E0A" w:rsidRDefault="00F63E7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5.1%</w:t>
            </w:r>
          </w:p>
        </w:tc>
      </w:tr>
      <w:tr w:rsidR="008906F7" w:rsidRPr="00801E0A" w:rsidTr="00AD507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NORTHERN CAPE</w:t>
            </w:r>
          </w:p>
        </w:tc>
        <w:tc>
          <w:tcPr>
            <w:tcW w:w="733"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49.6%</w:t>
            </w:r>
          </w:p>
        </w:tc>
        <w:tc>
          <w:tcPr>
            <w:tcW w:w="82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26.5%</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5.7%</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5.7%</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3.8%</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0.2%</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3.2%</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4.5%</w:t>
            </w:r>
          </w:p>
        </w:tc>
      </w:tr>
      <w:tr w:rsidR="008906F7" w:rsidRPr="00801E0A" w:rsidTr="004343F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NORTH WEST</w:t>
            </w:r>
          </w:p>
        </w:tc>
        <w:tc>
          <w:tcPr>
            <w:tcW w:w="733" w:type="dxa"/>
            <w:tcBorders>
              <w:top w:val="nil"/>
              <w:left w:val="nil"/>
              <w:bottom w:val="single" w:sz="4" w:space="0" w:color="auto"/>
              <w:right w:val="single" w:sz="4" w:space="0" w:color="auto"/>
            </w:tcBorders>
            <w:shd w:val="clear" w:color="auto" w:fill="auto"/>
            <w:noWrap/>
            <w:vAlign w:val="bottom"/>
          </w:tcPr>
          <w:p w:rsidR="008906F7" w:rsidRPr="00801E0A" w:rsidRDefault="008906F7"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52.7%</w:t>
            </w:r>
          </w:p>
        </w:tc>
        <w:tc>
          <w:tcPr>
            <w:tcW w:w="82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27.8%</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6.1%</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6.4%</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4.0%</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0.3%</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3.3%</w:t>
            </w:r>
          </w:p>
        </w:tc>
        <w:tc>
          <w:tcPr>
            <w:tcW w:w="670" w:type="dxa"/>
            <w:tcBorders>
              <w:top w:val="nil"/>
              <w:left w:val="nil"/>
              <w:bottom w:val="single" w:sz="4" w:space="0" w:color="auto"/>
              <w:right w:val="single" w:sz="4" w:space="0" w:color="auto"/>
            </w:tcBorders>
            <w:shd w:val="clear" w:color="auto" w:fill="auto"/>
            <w:noWrap/>
            <w:vAlign w:val="bottom"/>
          </w:tcPr>
          <w:p w:rsidR="008906F7" w:rsidRPr="00801E0A" w:rsidRDefault="00AD5073"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4.7%</w:t>
            </w:r>
          </w:p>
        </w:tc>
      </w:tr>
      <w:tr w:rsidR="00801E0A" w:rsidRPr="00801E0A" w:rsidTr="004343F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rPr>
                <w:rFonts w:ascii="Times New Roman" w:eastAsia="Times New Roman" w:hAnsi="Times New Roman" w:cs="Times New Roman"/>
                <w:b/>
                <w:bCs/>
                <w:color w:val="000000"/>
                <w:sz w:val="20"/>
                <w:szCs w:val="20"/>
                <w:lang w:eastAsia="en-ZA"/>
              </w:rPr>
            </w:pPr>
            <w:r w:rsidRPr="00801E0A">
              <w:rPr>
                <w:rFonts w:ascii="Times New Roman" w:eastAsia="Times New Roman" w:hAnsi="Times New Roman" w:cs="Times New Roman"/>
                <w:b/>
                <w:bCs/>
                <w:color w:val="000000"/>
                <w:sz w:val="20"/>
                <w:szCs w:val="20"/>
                <w:lang w:eastAsia="en-ZA"/>
              </w:rPr>
              <w:t>WESTERN CAPE</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29.0%</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7.4%</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7.3%</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5.9%</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0.7%</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3.2%</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801E0A" w:rsidRPr="00801E0A" w:rsidRDefault="00801E0A" w:rsidP="00801E0A">
            <w:pPr>
              <w:spacing w:after="0" w:line="240" w:lineRule="auto"/>
              <w:jc w:val="right"/>
              <w:rPr>
                <w:rFonts w:ascii="Times New Roman" w:eastAsia="Times New Roman" w:hAnsi="Times New Roman" w:cs="Times New Roman"/>
                <w:color w:val="000000"/>
                <w:sz w:val="20"/>
                <w:szCs w:val="20"/>
                <w:lang w:eastAsia="en-ZA"/>
              </w:rPr>
            </w:pPr>
            <w:r w:rsidRPr="00801E0A">
              <w:rPr>
                <w:rFonts w:ascii="Times New Roman" w:eastAsia="Times New Roman" w:hAnsi="Times New Roman" w:cs="Times New Roman"/>
                <w:color w:val="000000"/>
                <w:sz w:val="20"/>
                <w:szCs w:val="20"/>
                <w:lang w:eastAsia="en-ZA"/>
              </w:rPr>
              <w:t>6.5%</w:t>
            </w:r>
          </w:p>
        </w:tc>
      </w:tr>
      <w:tr w:rsidR="004343F2" w:rsidRPr="00801E0A" w:rsidTr="004343F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rPr>
                <w:rFonts w:ascii="Times New Roman" w:eastAsia="Times New Roman" w:hAnsi="Times New Roman" w:cs="Times New Roman"/>
                <w:b/>
                <w:bCs/>
                <w:color w:val="000000"/>
                <w:sz w:val="20"/>
                <w:szCs w:val="20"/>
                <w:lang w:eastAsia="en-ZA"/>
              </w:rPr>
            </w:pPr>
            <w:r w:rsidRPr="004343F2">
              <w:rPr>
                <w:rFonts w:ascii="Times New Roman" w:eastAsia="Times New Roman" w:hAnsi="Times New Roman" w:cs="Times New Roman"/>
                <w:b/>
                <w:bCs/>
                <w:color w:val="000000"/>
                <w:sz w:val="20"/>
                <w:szCs w:val="20"/>
                <w:lang w:eastAsia="en-ZA"/>
              </w:rPr>
              <w:t>NATIONAL</w:t>
            </w:r>
          </w:p>
        </w:tc>
        <w:tc>
          <w:tcPr>
            <w:tcW w:w="733"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50.0%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26.3%</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5.2%</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6.5%</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4.3%</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0.4%</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2.4%</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4343F2" w:rsidRPr="004343F2" w:rsidRDefault="004343F2" w:rsidP="00801E0A">
            <w:pPr>
              <w:spacing w:after="0" w:line="240" w:lineRule="auto"/>
              <w:jc w:val="right"/>
              <w:rPr>
                <w:rFonts w:ascii="Times New Roman" w:eastAsia="Times New Roman" w:hAnsi="Times New Roman" w:cs="Times New Roman"/>
                <w:b/>
                <w:color w:val="000000"/>
                <w:sz w:val="20"/>
                <w:szCs w:val="20"/>
                <w:lang w:eastAsia="en-ZA"/>
              </w:rPr>
            </w:pPr>
            <w:r w:rsidRPr="004343F2">
              <w:rPr>
                <w:rFonts w:ascii="Times New Roman" w:eastAsia="Times New Roman" w:hAnsi="Times New Roman" w:cs="Times New Roman"/>
                <w:b/>
                <w:color w:val="000000"/>
                <w:sz w:val="20"/>
                <w:szCs w:val="20"/>
                <w:lang w:eastAsia="en-ZA"/>
              </w:rPr>
              <w:t>5.0%</w:t>
            </w:r>
          </w:p>
        </w:tc>
      </w:tr>
    </w:tbl>
    <w:p w:rsidR="004B4B88" w:rsidRPr="006A5230" w:rsidRDefault="004B4B88" w:rsidP="006D54A0">
      <w:pPr>
        <w:tabs>
          <w:tab w:val="left" w:pos="851"/>
        </w:tabs>
        <w:spacing w:after="0" w:line="360" w:lineRule="auto"/>
        <w:contextualSpacing/>
        <w:jc w:val="both"/>
        <w:rPr>
          <w:rFonts w:ascii="Times New Roman" w:eastAsia="Calibri" w:hAnsi="Times New Roman" w:cs="Times New Roman"/>
          <w:b/>
          <w:lang w:val="en-GB"/>
        </w:rPr>
      </w:pPr>
    </w:p>
    <w:p w:rsidR="006D54A0" w:rsidRPr="006A5230" w:rsidRDefault="006D54A0" w:rsidP="006D54A0">
      <w:pPr>
        <w:spacing w:after="0" w:line="240" w:lineRule="auto"/>
        <w:ind w:firstLine="720"/>
        <w:jc w:val="both"/>
        <w:outlineLvl w:val="0"/>
        <w:rPr>
          <w:rFonts w:ascii="Times New Roman" w:eastAsia="Calibri" w:hAnsi="Times New Roman" w:cs="Times New Roman"/>
          <w:lang w:val="en-GB"/>
        </w:rPr>
      </w:pPr>
      <w:r w:rsidRPr="006A5230">
        <w:rPr>
          <w:rFonts w:ascii="Times New Roman" w:eastAsia="Calibri" w:hAnsi="Times New Roman" w:cs="Times New Roman"/>
          <w:lang w:val="en-GB"/>
        </w:rPr>
        <w:t xml:space="preserve">The above computation </w:t>
      </w:r>
      <w:r>
        <w:rPr>
          <w:rFonts w:ascii="Times New Roman" w:eastAsia="Calibri" w:hAnsi="Times New Roman" w:cs="Times New Roman"/>
          <w:lang w:val="en-GB"/>
        </w:rPr>
        <w:t>has</w:t>
      </w:r>
      <w:r w:rsidRPr="006A5230">
        <w:rPr>
          <w:rFonts w:ascii="Times New Roman" w:eastAsia="Calibri" w:hAnsi="Times New Roman" w:cs="Times New Roman"/>
          <w:lang w:val="en-GB"/>
        </w:rPr>
        <w:t xml:space="preserve"> also be</w:t>
      </w:r>
      <w:r>
        <w:rPr>
          <w:rFonts w:ascii="Times New Roman" w:eastAsia="Calibri" w:hAnsi="Times New Roman" w:cs="Times New Roman"/>
          <w:lang w:val="en-GB"/>
        </w:rPr>
        <w:t>en</w:t>
      </w:r>
      <w:r w:rsidRPr="006A5230">
        <w:rPr>
          <w:rFonts w:ascii="Times New Roman" w:eastAsia="Calibri" w:hAnsi="Times New Roman" w:cs="Times New Roman"/>
          <w:lang w:val="en-GB"/>
        </w:rPr>
        <w:t xml:space="preserve"> determined </w:t>
      </w:r>
      <w:r>
        <w:rPr>
          <w:rFonts w:ascii="Times New Roman" w:eastAsia="Calibri" w:hAnsi="Times New Roman" w:cs="Times New Roman"/>
          <w:lang w:val="en-GB"/>
        </w:rPr>
        <w:t>for the</w:t>
      </w:r>
      <w:r w:rsidRPr="006A5230">
        <w:rPr>
          <w:rFonts w:ascii="Times New Roman" w:eastAsia="Calibri" w:hAnsi="Times New Roman" w:cs="Times New Roman"/>
          <w:lang w:val="en-GB"/>
        </w:rPr>
        <w:t xml:space="preserve"> provincial, district and school level</w:t>
      </w:r>
      <w:r>
        <w:rPr>
          <w:rFonts w:ascii="Times New Roman" w:eastAsia="Calibri" w:hAnsi="Times New Roman" w:cs="Times New Roman"/>
          <w:lang w:val="en-GB"/>
        </w:rPr>
        <w:t>s</w:t>
      </w:r>
      <w:r w:rsidRPr="006A5230">
        <w:rPr>
          <w:rFonts w:ascii="Times New Roman" w:eastAsia="Calibri" w:hAnsi="Times New Roman" w:cs="Times New Roman"/>
          <w:lang w:val="en-GB"/>
        </w:rPr>
        <w:t>.</w:t>
      </w:r>
    </w:p>
    <w:p w:rsidR="006D54A0" w:rsidRPr="006A5230" w:rsidRDefault="006D54A0" w:rsidP="006D54A0">
      <w:pPr>
        <w:spacing w:after="0" w:line="240" w:lineRule="auto"/>
        <w:jc w:val="both"/>
        <w:outlineLvl w:val="0"/>
        <w:rPr>
          <w:rFonts w:ascii="Times New Roman" w:hAnsi="Times New Roman" w:cs="Times New Roman"/>
          <w:b/>
          <w:sz w:val="24"/>
          <w:szCs w:val="24"/>
        </w:rPr>
      </w:pPr>
    </w:p>
    <w:p w:rsidR="006D54A0" w:rsidRPr="006A5230" w:rsidRDefault="006D54A0" w:rsidP="006D54A0">
      <w:pPr>
        <w:spacing w:after="0" w:line="240" w:lineRule="auto"/>
        <w:jc w:val="both"/>
        <w:outlineLvl w:val="0"/>
        <w:rPr>
          <w:rFonts w:ascii="Times New Roman" w:hAnsi="Times New Roman" w:cs="Times New Roman"/>
          <w:b/>
          <w:sz w:val="24"/>
          <w:szCs w:val="24"/>
        </w:rPr>
      </w:pPr>
    </w:p>
    <w:p w:rsidR="006D54A0" w:rsidRPr="006A5230" w:rsidRDefault="006D54A0" w:rsidP="006D54A0">
      <w:pPr>
        <w:spacing w:after="0" w:line="240" w:lineRule="auto"/>
        <w:jc w:val="both"/>
        <w:outlineLvl w:val="0"/>
        <w:rPr>
          <w:rFonts w:ascii="Times New Roman" w:hAnsi="Times New Roman" w:cs="Times New Roman"/>
          <w:b/>
          <w:sz w:val="24"/>
          <w:szCs w:val="24"/>
        </w:rPr>
      </w:pPr>
    </w:p>
    <w:p w:rsidR="006D54A0" w:rsidRPr="006A523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p>
    <w:p w:rsidR="006D54A0" w:rsidRDefault="006D54A0" w:rsidP="006D54A0">
      <w:pPr>
        <w:spacing w:after="0" w:line="240" w:lineRule="auto"/>
        <w:jc w:val="both"/>
        <w:outlineLvl w:val="0"/>
        <w:rPr>
          <w:rFonts w:ascii="Times New Roman" w:hAnsi="Times New Roman" w:cs="Times New Roman"/>
          <w:b/>
          <w:sz w:val="24"/>
          <w:szCs w:val="24"/>
        </w:rPr>
      </w:pPr>
      <w:bookmarkStart w:id="2" w:name="_GoBack"/>
      <w:bookmarkEnd w:id="2"/>
    </w:p>
    <w:sectPr w:rsidR="006D54A0" w:rsidSect="006E5B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34A22"/>
    <w:multiLevelType w:val="hybridMultilevel"/>
    <w:tmpl w:val="8988C3CA"/>
    <w:lvl w:ilvl="0" w:tplc="1C090017">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958BB"/>
    <w:rsid w:val="002A6821"/>
    <w:rsid w:val="002C32A6"/>
    <w:rsid w:val="002D1513"/>
    <w:rsid w:val="002E3318"/>
    <w:rsid w:val="00310F5F"/>
    <w:rsid w:val="0033504C"/>
    <w:rsid w:val="00341226"/>
    <w:rsid w:val="00343876"/>
    <w:rsid w:val="003511EF"/>
    <w:rsid w:val="0037043F"/>
    <w:rsid w:val="003B39A7"/>
    <w:rsid w:val="003F26D9"/>
    <w:rsid w:val="00400D7D"/>
    <w:rsid w:val="00401744"/>
    <w:rsid w:val="00405587"/>
    <w:rsid w:val="00430337"/>
    <w:rsid w:val="004343F2"/>
    <w:rsid w:val="00445162"/>
    <w:rsid w:val="00445915"/>
    <w:rsid w:val="004460E6"/>
    <w:rsid w:val="004532C0"/>
    <w:rsid w:val="004A2F02"/>
    <w:rsid w:val="004B34AC"/>
    <w:rsid w:val="004B4B88"/>
    <w:rsid w:val="004E39FB"/>
    <w:rsid w:val="005676F7"/>
    <w:rsid w:val="00570560"/>
    <w:rsid w:val="005827AF"/>
    <w:rsid w:val="0059663A"/>
    <w:rsid w:val="005B389D"/>
    <w:rsid w:val="005C4AB6"/>
    <w:rsid w:val="005E7CDE"/>
    <w:rsid w:val="00607436"/>
    <w:rsid w:val="00613631"/>
    <w:rsid w:val="00615A3B"/>
    <w:rsid w:val="00666324"/>
    <w:rsid w:val="00667A76"/>
    <w:rsid w:val="00692B11"/>
    <w:rsid w:val="006C1F10"/>
    <w:rsid w:val="006D54A0"/>
    <w:rsid w:val="006D7B63"/>
    <w:rsid w:val="006E5B8A"/>
    <w:rsid w:val="006F297B"/>
    <w:rsid w:val="00710D44"/>
    <w:rsid w:val="00720CC4"/>
    <w:rsid w:val="00735204"/>
    <w:rsid w:val="0079774E"/>
    <w:rsid w:val="007A4190"/>
    <w:rsid w:val="007B5CC9"/>
    <w:rsid w:val="007D5B29"/>
    <w:rsid w:val="007F25CB"/>
    <w:rsid w:val="008015CE"/>
    <w:rsid w:val="00801E0A"/>
    <w:rsid w:val="008224B8"/>
    <w:rsid w:val="00830D56"/>
    <w:rsid w:val="00830FC7"/>
    <w:rsid w:val="00857A1D"/>
    <w:rsid w:val="008906F7"/>
    <w:rsid w:val="008E742B"/>
    <w:rsid w:val="009132A2"/>
    <w:rsid w:val="009434F5"/>
    <w:rsid w:val="009524A0"/>
    <w:rsid w:val="00975403"/>
    <w:rsid w:val="0098343C"/>
    <w:rsid w:val="00996F09"/>
    <w:rsid w:val="009B6115"/>
    <w:rsid w:val="009C2773"/>
    <w:rsid w:val="009D302C"/>
    <w:rsid w:val="009F03E8"/>
    <w:rsid w:val="00A20079"/>
    <w:rsid w:val="00A24E0A"/>
    <w:rsid w:val="00A43822"/>
    <w:rsid w:val="00A451EB"/>
    <w:rsid w:val="00A603D7"/>
    <w:rsid w:val="00A62005"/>
    <w:rsid w:val="00A666AB"/>
    <w:rsid w:val="00AD47E0"/>
    <w:rsid w:val="00AD5073"/>
    <w:rsid w:val="00AE1828"/>
    <w:rsid w:val="00B6783D"/>
    <w:rsid w:val="00B81D4D"/>
    <w:rsid w:val="00BA70AC"/>
    <w:rsid w:val="00C00DC4"/>
    <w:rsid w:val="00C4444B"/>
    <w:rsid w:val="00C73901"/>
    <w:rsid w:val="00C90C8F"/>
    <w:rsid w:val="00D13D42"/>
    <w:rsid w:val="00D34C31"/>
    <w:rsid w:val="00D6328E"/>
    <w:rsid w:val="00D713FC"/>
    <w:rsid w:val="00D9276C"/>
    <w:rsid w:val="00D94B1F"/>
    <w:rsid w:val="00D97E99"/>
    <w:rsid w:val="00E34908"/>
    <w:rsid w:val="00E67F6F"/>
    <w:rsid w:val="00EA485B"/>
    <w:rsid w:val="00EC7F74"/>
    <w:rsid w:val="00EF5B30"/>
    <w:rsid w:val="00F11816"/>
    <w:rsid w:val="00F5012D"/>
    <w:rsid w:val="00F574BB"/>
    <w:rsid w:val="00F63E7A"/>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4A0"/>
    <w:pPr>
      <w:spacing w:after="0" w:line="240" w:lineRule="auto"/>
    </w:pPr>
    <w:rPr>
      <w:rFonts w:ascii="Times New Roman" w:eastAsia="Times New Roman" w:hAnsi="Times New Roman" w:cs="Times New Roman"/>
      <w:sz w:val="24"/>
      <w:szCs w:val="24"/>
      <w:lang w:val="en-US" w:eastAsia="en-ZA"/>
    </w:rPr>
  </w:style>
  <w:style w:type="table" w:styleId="TableGrid">
    <w:name w:val="Table Grid"/>
    <w:basedOn w:val="TableNormal"/>
    <w:uiPriority w:val="59"/>
    <w:rsid w:val="004B4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581024">
      <w:bodyDiv w:val="1"/>
      <w:marLeft w:val="0"/>
      <w:marRight w:val="0"/>
      <w:marTop w:val="0"/>
      <w:marBottom w:val="0"/>
      <w:divBdr>
        <w:top w:val="none" w:sz="0" w:space="0" w:color="auto"/>
        <w:left w:val="none" w:sz="0" w:space="0" w:color="auto"/>
        <w:bottom w:val="none" w:sz="0" w:space="0" w:color="auto"/>
        <w:right w:val="none" w:sz="0" w:space="0" w:color="auto"/>
      </w:divBdr>
    </w:div>
    <w:div w:id="8268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18DD-F049-4B29-AC8B-864996DD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cp:lastPrinted>2018-11-05T13:22:00Z</cp:lastPrinted>
  <dcterms:created xsi:type="dcterms:W3CDTF">2019-02-22T13:32:00Z</dcterms:created>
  <dcterms:modified xsi:type="dcterms:W3CDTF">2019-02-22T13:32:00Z</dcterms:modified>
</cp:coreProperties>
</file>