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063C" w14:textId="77777777" w:rsidR="00F131D6" w:rsidRDefault="00F131D6" w:rsidP="00F131D6">
      <w:pPr>
        <w:spacing w:before="100" w:beforeAutospacing="1" w:after="100" w:afterAutospacing="1" w:line="360" w:lineRule="auto"/>
        <w:jc w:val="both"/>
        <w:outlineLvl w:val="0"/>
        <w:rPr>
          <w:rFonts w:ascii="Arial" w:eastAsia="Calibri" w:hAnsi="Arial" w:cs="Arial"/>
          <w:b/>
          <w:lang w:val="en-ZA"/>
        </w:rPr>
      </w:pPr>
    </w:p>
    <w:p w14:paraId="7E18EC79" w14:textId="77777777" w:rsidR="009433E9" w:rsidRPr="003E4F6B" w:rsidRDefault="009433E9" w:rsidP="003E4F6B">
      <w:pPr>
        <w:spacing w:before="100" w:beforeAutospacing="1" w:after="100" w:afterAutospacing="1" w:line="360" w:lineRule="auto"/>
        <w:jc w:val="both"/>
        <w:outlineLvl w:val="0"/>
        <w:rPr>
          <w:rFonts w:ascii="Arial" w:eastAsia="Calibri" w:hAnsi="Arial" w:cs="Arial"/>
          <w:b/>
          <w:lang w:val="en-ZA"/>
        </w:rPr>
      </w:pPr>
      <w:r w:rsidRPr="003E4F6B">
        <w:rPr>
          <w:rFonts w:ascii="Arial" w:eastAsia="Calibri" w:hAnsi="Arial" w:cs="Arial"/>
          <w:b/>
          <w:lang w:val="en-ZA"/>
        </w:rPr>
        <w:t>NATIONAL ASSEMBLY:</w:t>
      </w:r>
    </w:p>
    <w:p w14:paraId="1D34E940" w14:textId="77777777" w:rsidR="009433E9" w:rsidRPr="003E4F6B" w:rsidRDefault="009433E9" w:rsidP="003E4F6B">
      <w:pPr>
        <w:spacing w:before="100" w:beforeAutospacing="1" w:after="100" w:afterAutospacing="1" w:line="360" w:lineRule="auto"/>
        <w:jc w:val="both"/>
        <w:outlineLvl w:val="0"/>
        <w:rPr>
          <w:rFonts w:ascii="Arial" w:eastAsia="Calibri" w:hAnsi="Arial" w:cs="Arial"/>
          <w:b/>
          <w:lang w:val="en-ZA"/>
        </w:rPr>
      </w:pPr>
      <w:r w:rsidRPr="003E4F6B">
        <w:rPr>
          <w:rFonts w:ascii="Arial" w:eastAsia="Calibri" w:hAnsi="Arial" w:cs="Arial"/>
          <w:b/>
          <w:lang w:val="en-ZA"/>
        </w:rPr>
        <w:t>QUESTION NUMBER: 3195</w:t>
      </w:r>
    </w:p>
    <w:p w14:paraId="11E50981" w14:textId="3F3A5F7A" w:rsidR="009433E9" w:rsidRPr="003E4F6B" w:rsidRDefault="009433E9" w:rsidP="003E4F6B">
      <w:pPr>
        <w:spacing w:before="100" w:beforeAutospacing="1" w:after="100" w:afterAutospacing="1" w:line="360" w:lineRule="auto"/>
        <w:ind w:left="720" w:hanging="720"/>
        <w:jc w:val="both"/>
        <w:outlineLvl w:val="0"/>
        <w:rPr>
          <w:rFonts w:ascii="Arial" w:hAnsi="Arial" w:cs="Arial"/>
          <w:b/>
        </w:rPr>
      </w:pPr>
      <w:proofErr w:type="spellStart"/>
      <w:r w:rsidRPr="003E4F6B">
        <w:rPr>
          <w:rFonts w:ascii="Arial" w:hAnsi="Arial" w:cs="Arial"/>
          <w:b/>
        </w:rPr>
        <w:t>Mr</w:t>
      </w:r>
      <w:proofErr w:type="spellEnd"/>
      <w:r w:rsidRPr="003E4F6B">
        <w:rPr>
          <w:rFonts w:ascii="Arial" w:hAnsi="Arial" w:cs="Arial"/>
          <w:b/>
        </w:rPr>
        <w:t xml:space="preserve"> C D </w:t>
      </w:r>
      <w:proofErr w:type="spellStart"/>
      <w:r w:rsidRPr="003E4F6B">
        <w:rPr>
          <w:rFonts w:ascii="Arial" w:hAnsi="Arial" w:cs="Arial"/>
          <w:b/>
        </w:rPr>
        <w:t>Matsepe</w:t>
      </w:r>
      <w:proofErr w:type="spellEnd"/>
      <w:r w:rsidRPr="003E4F6B">
        <w:rPr>
          <w:rFonts w:ascii="Arial" w:hAnsi="Arial" w:cs="Arial"/>
          <w:b/>
        </w:rPr>
        <w:t xml:space="preserve"> (DA) to ask the Minister of Transport:</w:t>
      </w:r>
    </w:p>
    <w:p w14:paraId="1AAA57C2" w14:textId="77777777" w:rsidR="009433E9" w:rsidRPr="003E4F6B" w:rsidRDefault="009433E9" w:rsidP="003E4F6B">
      <w:pPr>
        <w:spacing w:before="100" w:beforeAutospacing="1" w:after="100" w:afterAutospacing="1" w:line="360" w:lineRule="auto"/>
        <w:ind w:left="1440" w:hanging="720"/>
        <w:jc w:val="both"/>
        <w:rPr>
          <w:rFonts w:ascii="Arial" w:hAnsi="Arial" w:cs="Arial"/>
        </w:rPr>
      </w:pPr>
      <w:r w:rsidRPr="003E4F6B">
        <w:rPr>
          <w:rFonts w:ascii="Arial" w:hAnsi="Arial" w:cs="Arial"/>
        </w:rPr>
        <w:t>(1)</w:t>
      </w:r>
      <w:r w:rsidRPr="003E4F6B">
        <w:rPr>
          <w:rFonts w:ascii="Arial" w:hAnsi="Arial" w:cs="Arial"/>
        </w:rPr>
        <w:tab/>
        <w:t>What are the details of the (a) role of the Passenger Rail Agency of South Africa (</w:t>
      </w:r>
      <w:proofErr w:type="spellStart"/>
      <w:r w:rsidRPr="003E4F6B">
        <w:rPr>
          <w:rFonts w:ascii="Arial" w:hAnsi="Arial" w:cs="Arial"/>
        </w:rPr>
        <w:t>Prasa</w:t>
      </w:r>
      <w:proofErr w:type="spellEnd"/>
      <w:r w:rsidRPr="003E4F6B">
        <w:rPr>
          <w:rFonts w:ascii="Arial" w:hAnsi="Arial" w:cs="Arial"/>
        </w:rPr>
        <w:t>) in the construction of the Vereeniging taxi rank, (b) budget (</w:t>
      </w:r>
      <w:proofErr w:type="spellStart"/>
      <w:r w:rsidRPr="003E4F6B">
        <w:rPr>
          <w:rFonts w:ascii="Arial" w:hAnsi="Arial" w:cs="Arial"/>
        </w:rPr>
        <w:t>i</w:t>
      </w:r>
      <w:proofErr w:type="spellEnd"/>
      <w:r w:rsidRPr="003E4F6B">
        <w:rPr>
          <w:rFonts w:ascii="Arial" w:hAnsi="Arial" w:cs="Arial"/>
        </w:rPr>
        <w:t xml:space="preserve">) set aside and (ii) </w:t>
      </w:r>
      <w:r w:rsidRPr="003E4F6B">
        <w:rPr>
          <w:rFonts w:ascii="Arial" w:hAnsi="Arial" w:cs="Arial"/>
          <w:color w:val="000000"/>
          <w:lang w:eastAsia="en-ZA"/>
        </w:rPr>
        <w:t>spent</w:t>
      </w:r>
      <w:r w:rsidRPr="003E4F6B">
        <w:rPr>
          <w:rFonts w:ascii="Arial" w:hAnsi="Arial" w:cs="Arial"/>
        </w:rPr>
        <w:t xml:space="preserve"> to date by </w:t>
      </w:r>
      <w:proofErr w:type="spellStart"/>
      <w:r w:rsidRPr="003E4F6B">
        <w:rPr>
          <w:rFonts w:ascii="Arial" w:hAnsi="Arial" w:cs="Arial"/>
        </w:rPr>
        <w:t>Prasa</w:t>
      </w:r>
      <w:proofErr w:type="spellEnd"/>
      <w:r w:rsidRPr="003E4F6B">
        <w:rPr>
          <w:rFonts w:ascii="Arial" w:hAnsi="Arial" w:cs="Arial"/>
        </w:rPr>
        <w:t xml:space="preserve"> for the specified construction, (c)(</w:t>
      </w:r>
      <w:proofErr w:type="spellStart"/>
      <w:r w:rsidRPr="003E4F6B">
        <w:rPr>
          <w:rFonts w:ascii="Arial" w:hAnsi="Arial" w:cs="Arial"/>
        </w:rPr>
        <w:t>i</w:t>
      </w:r>
      <w:proofErr w:type="spellEnd"/>
      <w:r w:rsidRPr="003E4F6B">
        <w:rPr>
          <w:rFonts w:ascii="Arial" w:hAnsi="Arial" w:cs="Arial"/>
        </w:rPr>
        <w:t>) name and (ii) company registration number of each service provider contracted for the construction project, (d) current status of the construction of the taxi rank and (e) completion date of the project;</w:t>
      </w:r>
    </w:p>
    <w:p w14:paraId="13F5624E" w14:textId="77777777" w:rsidR="009433E9" w:rsidRPr="003E4F6B" w:rsidRDefault="009433E9" w:rsidP="003E4F6B">
      <w:pPr>
        <w:spacing w:before="100" w:beforeAutospacing="1" w:after="100" w:afterAutospacing="1" w:line="360" w:lineRule="auto"/>
        <w:ind w:left="1440" w:hanging="720"/>
        <w:jc w:val="both"/>
        <w:rPr>
          <w:rFonts w:ascii="Arial" w:hAnsi="Arial" w:cs="Arial"/>
        </w:rPr>
      </w:pPr>
      <w:r w:rsidRPr="003E4F6B">
        <w:rPr>
          <w:rFonts w:ascii="Arial" w:hAnsi="Arial" w:cs="Arial"/>
        </w:rPr>
        <w:t>(2)</w:t>
      </w:r>
      <w:r w:rsidRPr="003E4F6B">
        <w:rPr>
          <w:rFonts w:ascii="Arial" w:hAnsi="Arial" w:cs="Arial"/>
        </w:rPr>
        <w:tab/>
        <w:t xml:space="preserve">whether </w:t>
      </w:r>
      <w:proofErr w:type="spellStart"/>
      <w:r w:rsidRPr="003E4F6B">
        <w:rPr>
          <w:rFonts w:ascii="Arial" w:hAnsi="Arial" w:cs="Arial"/>
        </w:rPr>
        <w:t>Prasa</w:t>
      </w:r>
      <w:proofErr w:type="spellEnd"/>
      <w:r w:rsidRPr="003E4F6B">
        <w:rPr>
          <w:rFonts w:ascii="Arial" w:hAnsi="Arial" w:cs="Arial"/>
        </w:rPr>
        <w:t xml:space="preserve"> lodged any disputes with any of the service providers; if so, what (a) are </w:t>
      </w:r>
      <w:r w:rsidRPr="003E4F6B">
        <w:rPr>
          <w:rFonts w:ascii="Arial" w:hAnsi="Arial" w:cs="Arial"/>
          <w:color w:val="000000"/>
          <w:lang w:eastAsia="en-ZA"/>
        </w:rPr>
        <w:t>the</w:t>
      </w:r>
      <w:r w:rsidRPr="003E4F6B">
        <w:rPr>
          <w:rFonts w:ascii="Arial" w:hAnsi="Arial" w:cs="Arial"/>
        </w:rPr>
        <w:t xml:space="preserve"> details of the disputes and (b) action did </w:t>
      </w:r>
      <w:proofErr w:type="spellStart"/>
      <w:r w:rsidRPr="003E4F6B">
        <w:rPr>
          <w:rFonts w:ascii="Arial" w:hAnsi="Arial" w:cs="Arial"/>
        </w:rPr>
        <w:t>Prasa</w:t>
      </w:r>
      <w:proofErr w:type="spellEnd"/>
      <w:r w:rsidRPr="003E4F6B">
        <w:rPr>
          <w:rFonts w:ascii="Arial" w:hAnsi="Arial" w:cs="Arial"/>
        </w:rPr>
        <w:t xml:space="preserve"> take to resolve the disputes in each case;</w:t>
      </w:r>
    </w:p>
    <w:p w14:paraId="34938E7A" w14:textId="77777777" w:rsidR="003E4F6B" w:rsidRPr="003E4F6B" w:rsidRDefault="009433E9" w:rsidP="003E4F6B">
      <w:pPr>
        <w:spacing w:before="100" w:beforeAutospacing="1" w:after="100" w:afterAutospacing="1" w:line="360" w:lineRule="auto"/>
        <w:ind w:left="1440" w:hanging="720"/>
        <w:jc w:val="both"/>
        <w:rPr>
          <w:rFonts w:ascii="Arial" w:hAnsi="Arial" w:cs="Arial"/>
        </w:rPr>
      </w:pPr>
      <w:r w:rsidRPr="003E4F6B">
        <w:rPr>
          <w:rFonts w:ascii="Arial" w:hAnsi="Arial" w:cs="Arial"/>
        </w:rPr>
        <w:t>(3)</w:t>
      </w:r>
      <w:r w:rsidRPr="003E4F6B">
        <w:rPr>
          <w:rFonts w:ascii="Arial" w:hAnsi="Arial" w:cs="Arial"/>
        </w:rPr>
        <w:tab/>
        <w:t xml:space="preserve">whether any disputes lodged by </w:t>
      </w:r>
      <w:proofErr w:type="spellStart"/>
      <w:r w:rsidRPr="003E4F6B">
        <w:rPr>
          <w:rFonts w:ascii="Arial" w:hAnsi="Arial" w:cs="Arial"/>
        </w:rPr>
        <w:t>Prasa</w:t>
      </w:r>
      <w:proofErr w:type="spellEnd"/>
      <w:r w:rsidRPr="003E4F6B">
        <w:rPr>
          <w:rFonts w:ascii="Arial" w:hAnsi="Arial" w:cs="Arial"/>
        </w:rPr>
        <w:t xml:space="preserve"> with any of the service providers are still unresolved; if so, (a) why and (b) by what date will the unresolved disputes be resolved?</w:t>
      </w:r>
      <w:r w:rsidRPr="003E4F6B">
        <w:rPr>
          <w:rFonts w:ascii="Arial" w:hAnsi="Arial" w:cs="Arial"/>
        </w:rPr>
        <w:tab/>
      </w:r>
      <w:r w:rsidRPr="003E4F6B">
        <w:rPr>
          <w:rFonts w:ascii="Arial" w:hAnsi="Arial" w:cs="Arial"/>
        </w:rPr>
        <w:tab/>
      </w:r>
      <w:r w:rsidRPr="003E4F6B">
        <w:rPr>
          <w:rFonts w:ascii="Arial" w:hAnsi="Arial" w:cs="Arial"/>
        </w:rPr>
        <w:tab/>
      </w:r>
      <w:r w:rsidRPr="003E4F6B">
        <w:rPr>
          <w:rFonts w:ascii="Arial" w:hAnsi="Arial" w:cs="Arial"/>
        </w:rPr>
        <w:tab/>
      </w:r>
      <w:r w:rsidRPr="003E4F6B">
        <w:rPr>
          <w:rFonts w:ascii="Arial" w:hAnsi="Arial" w:cs="Arial"/>
        </w:rPr>
        <w:tab/>
      </w:r>
      <w:r w:rsidRPr="003E4F6B">
        <w:rPr>
          <w:rFonts w:ascii="Arial" w:hAnsi="Arial" w:cs="Arial"/>
        </w:rPr>
        <w:tab/>
      </w:r>
      <w:r w:rsidRPr="003E4F6B">
        <w:rPr>
          <w:rFonts w:ascii="Arial" w:hAnsi="Arial" w:cs="Arial"/>
        </w:rPr>
        <w:tab/>
      </w:r>
      <w:r w:rsidRPr="003E4F6B">
        <w:rPr>
          <w:rFonts w:ascii="Arial" w:hAnsi="Arial" w:cs="Arial"/>
        </w:rPr>
        <w:tab/>
      </w:r>
    </w:p>
    <w:p w14:paraId="47C8FFFC" w14:textId="3D6DB3B2" w:rsidR="009433E9" w:rsidRPr="003E4F6B" w:rsidRDefault="009433E9" w:rsidP="003E4F6B">
      <w:pPr>
        <w:spacing w:before="100" w:beforeAutospacing="1" w:after="100" w:afterAutospacing="1" w:line="360" w:lineRule="auto"/>
        <w:ind w:left="7920" w:firstLine="720"/>
        <w:jc w:val="both"/>
        <w:rPr>
          <w:rFonts w:ascii="Arial" w:hAnsi="Arial" w:cs="Arial"/>
          <w:b/>
        </w:rPr>
      </w:pPr>
      <w:r w:rsidRPr="003E4F6B">
        <w:rPr>
          <w:rFonts w:ascii="Arial" w:hAnsi="Arial" w:cs="Arial"/>
          <w:b/>
          <w:lang w:val="en"/>
        </w:rPr>
        <w:t>NW3624E</w:t>
      </w:r>
    </w:p>
    <w:p w14:paraId="0511427D" w14:textId="77777777" w:rsidR="009433E9" w:rsidRPr="003E4F6B" w:rsidRDefault="009433E9" w:rsidP="003E4F6B">
      <w:pPr>
        <w:spacing w:after="0" w:line="360" w:lineRule="auto"/>
        <w:jc w:val="both"/>
        <w:outlineLvl w:val="0"/>
        <w:rPr>
          <w:rFonts w:ascii="Arial" w:eastAsia="Calibri" w:hAnsi="Arial" w:cs="Arial"/>
          <w:b/>
          <w:lang w:val="en-ZA"/>
        </w:rPr>
      </w:pPr>
    </w:p>
    <w:p w14:paraId="02306405" w14:textId="0BCC5CEE" w:rsidR="009433E9" w:rsidRPr="003E4F6B" w:rsidRDefault="009433E9" w:rsidP="003E4F6B">
      <w:pPr>
        <w:spacing w:after="0" w:line="360" w:lineRule="auto"/>
        <w:jc w:val="both"/>
        <w:outlineLvl w:val="0"/>
        <w:rPr>
          <w:rFonts w:ascii="Arial" w:eastAsia="Calibri" w:hAnsi="Arial" w:cs="Arial"/>
          <w:b/>
          <w:lang w:val="en-ZA"/>
        </w:rPr>
      </w:pPr>
      <w:r w:rsidRPr="003E4F6B">
        <w:rPr>
          <w:rFonts w:ascii="Arial" w:eastAsia="Calibri" w:hAnsi="Arial" w:cs="Arial"/>
          <w:b/>
          <w:lang w:val="en-ZA"/>
        </w:rPr>
        <w:t>R</w:t>
      </w:r>
      <w:r w:rsidR="003E4F6B" w:rsidRPr="003E4F6B">
        <w:rPr>
          <w:rFonts w:ascii="Arial" w:eastAsia="Calibri" w:hAnsi="Arial" w:cs="Arial"/>
          <w:b/>
          <w:lang w:val="en-ZA"/>
        </w:rPr>
        <w:t>EPLY</w:t>
      </w:r>
      <w:r w:rsidRPr="003E4F6B">
        <w:rPr>
          <w:rFonts w:ascii="Arial" w:eastAsia="Calibri" w:hAnsi="Arial" w:cs="Arial"/>
          <w:b/>
          <w:lang w:val="en-ZA"/>
        </w:rPr>
        <w:t>:</w:t>
      </w:r>
    </w:p>
    <w:p w14:paraId="1579C68C" w14:textId="77777777" w:rsidR="009433E9" w:rsidRPr="003E4F6B" w:rsidRDefault="009433E9" w:rsidP="003E4F6B">
      <w:pPr>
        <w:spacing w:after="0" w:line="360" w:lineRule="auto"/>
        <w:jc w:val="both"/>
        <w:outlineLvl w:val="0"/>
        <w:rPr>
          <w:rFonts w:ascii="Arial" w:eastAsia="Calibri" w:hAnsi="Arial" w:cs="Arial"/>
          <w:b/>
          <w:lang w:val="en-ZA"/>
        </w:rPr>
      </w:pPr>
    </w:p>
    <w:p w14:paraId="7BC29B36" w14:textId="77777777" w:rsidR="009433E9" w:rsidRPr="003E4F6B" w:rsidRDefault="009433E9" w:rsidP="003E4F6B">
      <w:pPr>
        <w:pStyle w:val="ListParagraph"/>
        <w:numPr>
          <w:ilvl w:val="0"/>
          <w:numId w:val="34"/>
        </w:numPr>
        <w:tabs>
          <w:tab w:val="left" w:pos="1134"/>
        </w:tabs>
        <w:spacing w:after="0" w:line="360" w:lineRule="auto"/>
        <w:ind w:left="567" w:hanging="567"/>
        <w:jc w:val="both"/>
        <w:outlineLvl w:val="0"/>
        <w:rPr>
          <w:rFonts w:ascii="Arial" w:eastAsia="Calibri" w:hAnsi="Arial" w:cs="Arial"/>
          <w:lang w:val="en-ZA"/>
        </w:rPr>
      </w:pPr>
      <w:r w:rsidRPr="003E4F6B">
        <w:rPr>
          <w:rFonts w:ascii="Arial" w:eastAsia="Calibri" w:hAnsi="Arial" w:cs="Arial"/>
          <w:lang w:val="en-ZA"/>
        </w:rPr>
        <w:t>(a)</w:t>
      </w:r>
      <w:r w:rsidRPr="003E4F6B">
        <w:rPr>
          <w:rFonts w:ascii="Arial" w:eastAsia="Calibri" w:hAnsi="Arial" w:cs="Arial"/>
          <w:lang w:val="en-ZA"/>
        </w:rPr>
        <w:tab/>
        <w:t>VEREENIGING INTERMODAL PUBLIC TRANSPORT FACILITY</w:t>
      </w:r>
    </w:p>
    <w:p w14:paraId="73C959DB" w14:textId="77777777" w:rsidR="009433E9" w:rsidRPr="003E4F6B" w:rsidRDefault="009433E9" w:rsidP="003E4F6B">
      <w:pPr>
        <w:pStyle w:val="ListParagraph"/>
        <w:tabs>
          <w:tab w:val="left" w:pos="1134"/>
        </w:tabs>
        <w:spacing w:after="0" w:line="360" w:lineRule="auto"/>
        <w:ind w:left="567"/>
        <w:jc w:val="both"/>
        <w:outlineLvl w:val="0"/>
        <w:rPr>
          <w:rFonts w:ascii="Arial" w:eastAsia="Calibri" w:hAnsi="Arial" w:cs="Arial"/>
          <w:lang w:val="en-ZA"/>
        </w:rPr>
      </w:pPr>
      <w:r w:rsidRPr="003E4F6B">
        <w:rPr>
          <w:rFonts w:ascii="Arial" w:eastAsia="Calibri" w:hAnsi="Arial" w:cs="Arial"/>
          <w:lang w:val="en-ZA"/>
        </w:rPr>
        <w:tab/>
        <w:t>CONTRACT NUMBER DRT: 24/07/2013</w:t>
      </w:r>
    </w:p>
    <w:p w14:paraId="0E890E7D" w14:textId="77777777" w:rsidR="009433E9" w:rsidRPr="003E4F6B" w:rsidRDefault="009433E9" w:rsidP="003E4F6B">
      <w:pPr>
        <w:pStyle w:val="ListParagraph"/>
        <w:tabs>
          <w:tab w:val="left" w:pos="1134"/>
        </w:tabs>
        <w:spacing w:after="0" w:line="360" w:lineRule="auto"/>
        <w:ind w:left="567"/>
        <w:jc w:val="both"/>
        <w:outlineLvl w:val="0"/>
        <w:rPr>
          <w:rFonts w:ascii="Arial" w:eastAsia="Calibri" w:hAnsi="Arial" w:cs="Arial"/>
          <w:lang w:val="en-ZA"/>
        </w:rPr>
      </w:pPr>
    </w:p>
    <w:p w14:paraId="3AFD827D" w14:textId="77777777" w:rsidR="009433E9" w:rsidRPr="003E4F6B" w:rsidRDefault="009433E9" w:rsidP="003E4F6B">
      <w:pPr>
        <w:pStyle w:val="ListParagraph"/>
        <w:tabs>
          <w:tab w:val="left" w:pos="1134"/>
        </w:tabs>
        <w:spacing w:after="0" w:line="360" w:lineRule="auto"/>
        <w:ind w:left="1134"/>
        <w:jc w:val="both"/>
        <w:outlineLvl w:val="0"/>
        <w:rPr>
          <w:rFonts w:ascii="Arial" w:eastAsia="Calibri" w:hAnsi="Arial" w:cs="Arial"/>
          <w:lang w:val="en-ZA"/>
        </w:rPr>
      </w:pPr>
      <w:r w:rsidRPr="003E4F6B">
        <w:rPr>
          <w:rFonts w:ascii="Arial" w:eastAsia="Calibri" w:hAnsi="Arial" w:cs="Arial"/>
          <w:lang w:val="en-ZA"/>
        </w:rPr>
        <w:t>PRASA appointed the consulting engineers (AECOM/</w:t>
      </w:r>
      <w:proofErr w:type="spellStart"/>
      <w:r w:rsidRPr="003E4F6B">
        <w:rPr>
          <w:rFonts w:ascii="Arial" w:eastAsia="Calibri" w:hAnsi="Arial" w:cs="Arial"/>
          <w:lang w:val="en-ZA"/>
        </w:rPr>
        <w:t>Khuthele</w:t>
      </w:r>
      <w:proofErr w:type="spellEnd"/>
      <w:r w:rsidRPr="003E4F6B">
        <w:rPr>
          <w:rFonts w:ascii="Arial" w:eastAsia="Calibri" w:hAnsi="Arial" w:cs="Arial"/>
          <w:lang w:val="en-ZA"/>
        </w:rPr>
        <w:t xml:space="preserve"> Projects (AECOM)) to execute designs for the following:</w:t>
      </w:r>
    </w:p>
    <w:p w14:paraId="2A83CE47" w14:textId="77777777" w:rsidR="009433E9" w:rsidRPr="003E4F6B" w:rsidRDefault="009433E9" w:rsidP="003E4F6B">
      <w:pPr>
        <w:pStyle w:val="ListParagraph"/>
        <w:numPr>
          <w:ilvl w:val="0"/>
          <w:numId w:val="35"/>
        </w:numPr>
        <w:tabs>
          <w:tab w:val="left" w:pos="1134"/>
        </w:tabs>
        <w:spacing w:after="0" w:line="360" w:lineRule="auto"/>
        <w:ind w:left="1701" w:hanging="567"/>
        <w:jc w:val="both"/>
        <w:outlineLvl w:val="0"/>
        <w:rPr>
          <w:rFonts w:ascii="Arial" w:eastAsia="Calibri" w:hAnsi="Arial" w:cs="Arial"/>
          <w:lang w:val="en-ZA"/>
        </w:rPr>
      </w:pPr>
      <w:r w:rsidRPr="003E4F6B">
        <w:rPr>
          <w:rFonts w:ascii="Arial" w:eastAsia="Calibri" w:hAnsi="Arial" w:cs="Arial"/>
          <w:lang w:val="en-ZA"/>
        </w:rPr>
        <w:t>Vereeniging Station</w:t>
      </w:r>
    </w:p>
    <w:p w14:paraId="1D8D3D9B" w14:textId="77777777" w:rsidR="009433E9" w:rsidRPr="003E4F6B" w:rsidRDefault="009433E9" w:rsidP="003E4F6B">
      <w:pPr>
        <w:pStyle w:val="ListParagraph"/>
        <w:numPr>
          <w:ilvl w:val="0"/>
          <w:numId w:val="35"/>
        </w:numPr>
        <w:tabs>
          <w:tab w:val="left" w:pos="1134"/>
        </w:tabs>
        <w:spacing w:after="0" w:line="360" w:lineRule="auto"/>
        <w:ind w:left="1701" w:hanging="567"/>
        <w:jc w:val="both"/>
        <w:outlineLvl w:val="0"/>
        <w:rPr>
          <w:rFonts w:ascii="Arial" w:eastAsia="Calibri" w:hAnsi="Arial" w:cs="Arial"/>
          <w:lang w:val="en-ZA"/>
        </w:rPr>
      </w:pPr>
      <w:r w:rsidRPr="003E4F6B">
        <w:rPr>
          <w:rFonts w:ascii="Arial" w:eastAsia="Calibri" w:hAnsi="Arial" w:cs="Arial"/>
          <w:lang w:val="en-ZA"/>
        </w:rPr>
        <w:t>Commercial development around Vereeniging Station</w:t>
      </w:r>
    </w:p>
    <w:p w14:paraId="4E81258B" w14:textId="77777777" w:rsidR="009433E9" w:rsidRPr="003E4F6B" w:rsidRDefault="009433E9" w:rsidP="003E4F6B">
      <w:pPr>
        <w:pStyle w:val="ListParagraph"/>
        <w:numPr>
          <w:ilvl w:val="0"/>
          <w:numId w:val="35"/>
        </w:numPr>
        <w:tabs>
          <w:tab w:val="left" w:pos="1134"/>
        </w:tabs>
        <w:spacing w:after="0" w:line="360" w:lineRule="auto"/>
        <w:ind w:left="1701" w:hanging="567"/>
        <w:jc w:val="both"/>
        <w:outlineLvl w:val="0"/>
        <w:rPr>
          <w:rFonts w:ascii="Arial" w:eastAsia="Calibri" w:hAnsi="Arial" w:cs="Arial"/>
          <w:lang w:val="en-ZA"/>
        </w:rPr>
      </w:pPr>
      <w:r w:rsidRPr="003E4F6B">
        <w:rPr>
          <w:rFonts w:ascii="Arial" w:eastAsia="Calibri" w:hAnsi="Arial" w:cs="Arial"/>
          <w:lang w:val="en-ZA"/>
        </w:rPr>
        <w:t>Vereeniging Intermodal Facility</w:t>
      </w:r>
    </w:p>
    <w:p w14:paraId="4B8A3537" w14:textId="77777777" w:rsidR="009433E9" w:rsidRPr="003E4F6B" w:rsidRDefault="009433E9" w:rsidP="003E4F6B">
      <w:pPr>
        <w:tabs>
          <w:tab w:val="left" w:pos="1134"/>
        </w:tabs>
        <w:spacing w:after="0" w:line="360" w:lineRule="auto"/>
        <w:ind w:left="1134"/>
        <w:jc w:val="both"/>
        <w:outlineLvl w:val="0"/>
        <w:rPr>
          <w:rFonts w:ascii="Arial" w:eastAsia="Calibri" w:hAnsi="Arial" w:cs="Arial"/>
          <w:lang w:val="en-ZA"/>
        </w:rPr>
      </w:pPr>
    </w:p>
    <w:p w14:paraId="10285227" w14:textId="77777777" w:rsidR="009433E9" w:rsidRPr="003E4F6B" w:rsidRDefault="009433E9" w:rsidP="003E4F6B">
      <w:pPr>
        <w:tabs>
          <w:tab w:val="left" w:pos="1134"/>
        </w:tabs>
        <w:spacing w:after="0" w:line="360" w:lineRule="auto"/>
        <w:jc w:val="both"/>
        <w:outlineLvl w:val="0"/>
        <w:rPr>
          <w:rFonts w:ascii="Arial" w:eastAsia="Calibri" w:hAnsi="Arial" w:cs="Arial"/>
          <w:lang w:val="en-ZA"/>
        </w:rPr>
      </w:pPr>
    </w:p>
    <w:p w14:paraId="75E46D78" w14:textId="77777777" w:rsidR="009433E9" w:rsidRPr="003E4F6B" w:rsidRDefault="009433E9" w:rsidP="003E4F6B">
      <w:pPr>
        <w:tabs>
          <w:tab w:val="left" w:pos="567"/>
          <w:tab w:val="left" w:pos="1134"/>
          <w:tab w:val="left" w:pos="1701"/>
        </w:tabs>
        <w:spacing w:after="0" w:line="360" w:lineRule="auto"/>
        <w:ind w:left="1701" w:hanging="1395"/>
        <w:jc w:val="both"/>
        <w:outlineLvl w:val="0"/>
        <w:rPr>
          <w:rFonts w:ascii="Arial" w:eastAsia="Calibri" w:hAnsi="Arial" w:cs="Arial"/>
          <w:lang w:val="en-ZA"/>
        </w:rPr>
      </w:pPr>
      <w:r w:rsidRPr="003E4F6B">
        <w:rPr>
          <w:rFonts w:ascii="Arial" w:eastAsia="Calibri" w:hAnsi="Arial" w:cs="Arial"/>
          <w:lang w:val="en-ZA"/>
        </w:rPr>
        <w:tab/>
        <w:t>(b)</w:t>
      </w:r>
      <w:r w:rsidRPr="003E4F6B">
        <w:rPr>
          <w:rFonts w:ascii="Arial" w:eastAsia="Calibri" w:hAnsi="Arial" w:cs="Arial"/>
          <w:lang w:val="en-ZA"/>
        </w:rPr>
        <w:tab/>
        <w:t>(</w:t>
      </w:r>
      <w:proofErr w:type="spellStart"/>
      <w:r w:rsidRPr="003E4F6B">
        <w:rPr>
          <w:rFonts w:ascii="Arial" w:eastAsia="Calibri" w:hAnsi="Arial" w:cs="Arial"/>
          <w:lang w:val="en-ZA"/>
        </w:rPr>
        <w:t>i</w:t>
      </w:r>
      <w:proofErr w:type="spellEnd"/>
      <w:r w:rsidRPr="003E4F6B">
        <w:rPr>
          <w:rFonts w:ascii="Arial" w:eastAsia="Calibri" w:hAnsi="Arial" w:cs="Arial"/>
          <w:lang w:val="en-ZA"/>
        </w:rPr>
        <w:t>)</w:t>
      </w:r>
      <w:r w:rsidRPr="003E4F6B">
        <w:rPr>
          <w:rFonts w:ascii="Arial" w:eastAsia="Calibri" w:hAnsi="Arial" w:cs="Arial"/>
          <w:lang w:val="en-ZA"/>
        </w:rPr>
        <w:tab/>
        <w:t>PRASA has set aside R15 million for the fees of the project.  The fees include for the following:</w:t>
      </w:r>
    </w:p>
    <w:p w14:paraId="5748837D" w14:textId="77777777" w:rsidR="009433E9" w:rsidRPr="003E4F6B" w:rsidRDefault="009433E9" w:rsidP="003E4F6B">
      <w:pPr>
        <w:pStyle w:val="ListParagraph"/>
        <w:numPr>
          <w:ilvl w:val="0"/>
          <w:numId w:val="36"/>
        </w:numPr>
        <w:spacing w:after="0" w:line="360" w:lineRule="auto"/>
        <w:ind w:left="2268" w:hanging="567"/>
        <w:jc w:val="both"/>
        <w:outlineLvl w:val="0"/>
        <w:rPr>
          <w:rFonts w:ascii="Arial" w:eastAsia="Calibri" w:hAnsi="Arial" w:cs="Arial"/>
          <w:lang w:val="en-ZA"/>
        </w:rPr>
      </w:pPr>
      <w:r w:rsidRPr="003E4F6B">
        <w:rPr>
          <w:rFonts w:ascii="Arial" w:eastAsia="Calibri" w:hAnsi="Arial" w:cs="Arial"/>
          <w:lang w:val="en-ZA"/>
        </w:rPr>
        <w:lastRenderedPageBreak/>
        <w:t>Professional Services for Stages 1 to 6;</w:t>
      </w:r>
    </w:p>
    <w:p w14:paraId="13E925A9" w14:textId="77777777" w:rsidR="009433E9" w:rsidRPr="003E4F6B" w:rsidRDefault="009433E9" w:rsidP="003E4F6B">
      <w:pPr>
        <w:pStyle w:val="ListParagraph"/>
        <w:numPr>
          <w:ilvl w:val="0"/>
          <w:numId w:val="36"/>
        </w:numPr>
        <w:spacing w:after="0" w:line="360" w:lineRule="auto"/>
        <w:ind w:left="2268" w:hanging="567"/>
        <w:jc w:val="both"/>
        <w:outlineLvl w:val="0"/>
        <w:rPr>
          <w:rFonts w:ascii="Arial" w:eastAsia="Calibri" w:hAnsi="Arial" w:cs="Arial"/>
          <w:lang w:val="en-ZA"/>
        </w:rPr>
      </w:pPr>
      <w:r w:rsidRPr="003E4F6B">
        <w:rPr>
          <w:rFonts w:ascii="Arial" w:eastAsia="Calibri" w:hAnsi="Arial" w:cs="Arial"/>
          <w:lang w:val="en-ZA"/>
        </w:rPr>
        <w:t>Environmental studies</w:t>
      </w:r>
    </w:p>
    <w:p w14:paraId="7256704D" w14:textId="77777777" w:rsidR="009433E9" w:rsidRPr="003E4F6B" w:rsidRDefault="009433E9" w:rsidP="003E4F6B">
      <w:pPr>
        <w:pStyle w:val="ListParagraph"/>
        <w:numPr>
          <w:ilvl w:val="0"/>
          <w:numId w:val="36"/>
        </w:numPr>
        <w:spacing w:after="0" w:line="360" w:lineRule="auto"/>
        <w:ind w:left="2268" w:hanging="567"/>
        <w:jc w:val="both"/>
        <w:outlineLvl w:val="0"/>
        <w:rPr>
          <w:rFonts w:ascii="Arial" w:eastAsia="Calibri" w:hAnsi="Arial" w:cs="Arial"/>
          <w:lang w:val="en-ZA"/>
        </w:rPr>
      </w:pPr>
      <w:r w:rsidRPr="003E4F6B">
        <w:rPr>
          <w:rFonts w:ascii="Arial" w:eastAsia="Calibri" w:hAnsi="Arial" w:cs="Arial"/>
          <w:lang w:val="en-ZA"/>
        </w:rPr>
        <w:t>Occupational Health and Safety; and</w:t>
      </w:r>
    </w:p>
    <w:p w14:paraId="791F24BE" w14:textId="77777777" w:rsidR="009433E9" w:rsidRPr="003E4F6B" w:rsidRDefault="009433E9" w:rsidP="003E4F6B">
      <w:pPr>
        <w:pStyle w:val="ListParagraph"/>
        <w:numPr>
          <w:ilvl w:val="0"/>
          <w:numId w:val="36"/>
        </w:numPr>
        <w:spacing w:after="0" w:line="360" w:lineRule="auto"/>
        <w:ind w:left="2268" w:hanging="567"/>
        <w:jc w:val="both"/>
        <w:outlineLvl w:val="0"/>
        <w:rPr>
          <w:rFonts w:ascii="Arial" w:eastAsia="Calibri" w:hAnsi="Arial" w:cs="Arial"/>
          <w:lang w:val="en-ZA"/>
        </w:rPr>
      </w:pPr>
      <w:r w:rsidRPr="003E4F6B">
        <w:rPr>
          <w:rFonts w:ascii="Arial" w:eastAsia="Calibri" w:hAnsi="Arial" w:cs="Arial"/>
          <w:lang w:val="en-ZA"/>
        </w:rPr>
        <w:t>Specialised professional services (e.g. Geotech, etc.)</w:t>
      </w:r>
    </w:p>
    <w:p w14:paraId="3AD18715" w14:textId="77777777" w:rsidR="009433E9" w:rsidRPr="003E4F6B" w:rsidRDefault="009433E9" w:rsidP="003E4F6B">
      <w:pPr>
        <w:tabs>
          <w:tab w:val="left" w:pos="1701"/>
        </w:tabs>
        <w:spacing w:after="0" w:line="360" w:lineRule="auto"/>
        <w:jc w:val="both"/>
        <w:outlineLvl w:val="0"/>
        <w:rPr>
          <w:rFonts w:ascii="Arial" w:eastAsia="Calibri" w:hAnsi="Arial" w:cs="Arial"/>
          <w:lang w:val="en-ZA"/>
        </w:rPr>
      </w:pPr>
    </w:p>
    <w:p w14:paraId="1338066D" w14:textId="77777777" w:rsidR="009433E9" w:rsidRPr="003E4F6B" w:rsidRDefault="009433E9" w:rsidP="003E4F6B">
      <w:pPr>
        <w:tabs>
          <w:tab w:val="left" w:pos="567"/>
          <w:tab w:val="left" w:pos="1134"/>
          <w:tab w:val="left" w:pos="1701"/>
        </w:tabs>
        <w:spacing w:after="0" w:line="360" w:lineRule="auto"/>
        <w:ind w:left="1700" w:hanging="1700"/>
        <w:jc w:val="both"/>
        <w:outlineLvl w:val="0"/>
        <w:rPr>
          <w:rFonts w:ascii="Arial" w:eastAsia="Calibri" w:hAnsi="Arial" w:cs="Arial"/>
          <w:lang w:val="en-ZA"/>
        </w:rPr>
      </w:pPr>
      <w:r w:rsidRPr="003E4F6B">
        <w:rPr>
          <w:rFonts w:ascii="Arial" w:eastAsia="Calibri" w:hAnsi="Arial" w:cs="Arial"/>
          <w:lang w:val="en-ZA"/>
        </w:rPr>
        <w:tab/>
      </w:r>
      <w:r w:rsidRPr="003E4F6B">
        <w:rPr>
          <w:rFonts w:ascii="Arial" w:eastAsia="Calibri" w:hAnsi="Arial" w:cs="Arial"/>
          <w:lang w:val="en-ZA"/>
        </w:rPr>
        <w:tab/>
        <w:t>(ii)</w:t>
      </w:r>
      <w:r w:rsidRPr="003E4F6B">
        <w:rPr>
          <w:rFonts w:ascii="Arial" w:eastAsia="Calibri" w:hAnsi="Arial" w:cs="Arial"/>
          <w:lang w:val="en-ZA"/>
        </w:rPr>
        <w:tab/>
      </w:r>
      <w:r w:rsidRPr="003E4F6B">
        <w:rPr>
          <w:rFonts w:ascii="Arial" w:eastAsia="Calibri" w:hAnsi="Arial" w:cs="Arial"/>
          <w:lang w:val="en-ZA"/>
        </w:rPr>
        <w:tab/>
        <w:t xml:space="preserve">The amount spent to date is R13,508,685-00, being for designs and construction supervision, as well as Occupational Health and Safety monitoring for the Intermodal Facility. </w:t>
      </w:r>
    </w:p>
    <w:p w14:paraId="675B363F" w14:textId="77777777" w:rsidR="009433E9" w:rsidRPr="003E4F6B" w:rsidRDefault="009433E9" w:rsidP="003E4F6B">
      <w:pPr>
        <w:tabs>
          <w:tab w:val="left" w:pos="1134"/>
          <w:tab w:val="left" w:pos="1701"/>
        </w:tabs>
        <w:spacing w:after="0" w:line="360" w:lineRule="auto"/>
        <w:ind w:hanging="567"/>
        <w:jc w:val="both"/>
        <w:outlineLvl w:val="0"/>
        <w:rPr>
          <w:rFonts w:ascii="Arial" w:eastAsia="Calibri" w:hAnsi="Arial" w:cs="Arial"/>
          <w:lang w:val="en-ZA"/>
        </w:rPr>
      </w:pPr>
    </w:p>
    <w:p w14:paraId="313D06FF" w14:textId="77777777" w:rsidR="009433E9" w:rsidRPr="003E4F6B" w:rsidRDefault="009433E9" w:rsidP="003E4F6B">
      <w:pPr>
        <w:tabs>
          <w:tab w:val="left" w:pos="567"/>
          <w:tab w:val="left" w:pos="1701"/>
        </w:tabs>
        <w:spacing w:after="0" w:line="360" w:lineRule="auto"/>
        <w:ind w:left="1128" w:hanging="1128"/>
        <w:jc w:val="both"/>
        <w:outlineLvl w:val="0"/>
        <w:rPr>
          <w:rFonts w:ascii="Arial" w:eastAsia="Calibri" w:hAnsi="Arial" w:cs="Arial"/>
          <w:lang w:val="en-ZA"/>
        </w:rPr>
      </w:pPr>
      <w:r w:rsidRPr="003E4F6B">
        <w:rPr>
          <w:rFonts w:ascii="Arial" w:eastAsia="Calibri" w:hAnsi="Arial" w:cs="Arial"/>
          <w:lang w:val="en-ZA"/>
        </w:rPr>
        <w:tab/>
        <w:t>(c)</w:t>
      </w:r>
      <w:r w:rsidRPr="003E4F6B">
        <w:rPr>
          <w:rFonts w:ascii="Arial" w:eastAsia="Calibri" w:hAnsi="Arial" w:cs="Arial"/>
          <w:lang w:val="en-ZA"/>
        </w:rPr>
        <w:tab/>
        <w:t>(</w:t>
      </w:r>
      <w:proofErr w:type="spellStart"/>
      <w:r w:rsidRPr="003E4F6B">
        <w:rPr>
          <w:rFonts w:ascii="Arial" w:eastAsia="Calibri" w:hAnsi="Arial" w:cs="Arial"/>
          <w:lang w:val="en-ZA"/>
        </w:rPr>
        <w:t>i</w:t>
      </w:r>
      <w:proofErr w:type="spellEnd"/>
      <w:r w:rsidRPr="003E4F6B">
        <w:rPr>
          <w:rFonts w:ascii="Arial" w:eastAsia="Calibri" w:hAnsi="Arial" w:cs="Arial"/>
          <w:lang w:val="en-ZA"/>
        </w:rPr>
        <w:t>)</w:t>
      </w:r>
      <w:r w:rsidRPr="003E4F6B">
        <w:rPr>
          <w:rFonts w:ascii="Arial" w:eastAsia="Calibri" w:hAnsi="Arial" w:cs="Arial"/>
          <w:lang w:val="en-ZA"/>
        </w:rPr>
        <w:tab/>
        <w:t>The main contractor appointed by the Gauteng Department of Roads and Transport (</w:t>
      </w:r>
      <w:r w:rsidRPr="003E4F6B">
        <w:rPr>
          <w:rFonts w:ascii="Arial" w:eastAsia="Calibri" w:hAnsi="Arial" w:cs="Arial"/>
          <w:lang w:val="en-ZA"/>
        </w:rPr>
        <w:tab/>
        <w:t xml:space="preserve">GDRT) for the construction works, is </w:t>
      </w:r>
      <w:proofErr w:type="spellStart"/>
      <w:r w:rsidRPr="003E4F6B">
        <w:rPr>
          <w:rFonts w:ascii="Arial" w:eastAsia="Calibri" w:hAnsi="Arial" w:cs="Arial"/>
          <w:lang w:val="en-ZA"/>
        </w:rPr>
        <w:t>Moreteng</w:t>
      </w:r>
      <w:proofErr w:type="spellEnd"/>
      <w:r w:rsidRPr="003E4F6B">
        <w:rPr>
          <w:rFonts w:ascii="Arial" w:eastAsia="Calibri" w:hAnsi="Arial" w:cs="Arial"/>
          <w:lang w:val="en-ZA"/>
        </w:rPr>
        <w:t xml:space="preserve"> Investments CC.</w:t>
      </w:r>
    </w:p>
    <w:p w14:paraId="0D4244FF" w14:textId="77777777" w:rsidR="009433E9" w:rsidRPr="003E4F6B" w:rsidRDefault="009433E9" w:rsidP="003E4F6B">
      <w:pPr>
        <w:tabs>
          <w:tab w:val="left" w:pos="567"/>
          <w:tab w:val="left" w:pos="1134"/>
        </w:tabs>
        <w:spacing w:after="0" w:line="360" w:lineRule="auto"/>
        <w:jc w:val="both"/>
        <w:outlineLvl w:val="0"/>
        <w:rPr>
          <w:rFonts w:ascii="Arial" w:eastAsia="Calibri" w:hAnsi="Arial" w:cs="Arial"/>
          <w:lang w:val="en-ZA"/>
        </w:rPr>
      </w:pPr>
    </w:p>
    <w:p w14:paraId="425DB4BE" w14:textId="77777777" w:rsidR="009433E9" w:rsidRPr="003E4F6B" w:rsidRDefault="009433E9" w:rsidP="003E4F6B">
      <w:pPr>
        <w:tabs>
          <w:tab w:val="left" w:pos="1134"/>
          <w:tab w:val="left" w:pos="1701"/>
        </w:tabs>
        <w:spacing w:after="0" w:line="360" w:lineRule="auto"/>
        <w:jc w:val="both"/>
        <w:outlineLvl w:val="0"/>
        <w:rPr>
          <w:rFonts w:ascii="Arial" w:eastAsia="Calibri" w:hAnsi="Arial" w:cs="Arial"/>
          <w:lang w:val="en-ZA"/>
        </w:rPr>
      </w:pPr>
      <w:r w:rsidRPr="003E4F6B">
        <w:rPr>
          <w:rFonts w:ascii="Arial" w:eastAsia="Calibri" w:hAnsi="Arial" w:cs="Arial"/>
          <w:lang w:val="en-ZA"/>
        </w:rPr>
        <w:tab/>
        <w:t>(ii)</w:t>
      </w:r>
      <w:r w:rsidRPr="003E4F6B">
        <w:rPr>
          <w:rFonts w:ascii="Arial" w:eastAsia="Calibri" w:hAnsi="Arial" w:cs="Arial"/>
          <w:lang w:val="en-ZA"/>
        </w:rPr>
        <w:tab/>
        <w:t>GDRT Contractor:</w:t>
      </w:r>
      <w:r w:rsidRPr="003E4F6B">
        <w:rPr>
          <w:rFonts w:ascii="Arial" w:eastAsia="Calibri" w:hAnsi="Arial" w:cs="Arial"/>
          <w:lang w:val="en-ZA"/>
        </w:rPr>
        <w:tab/>
      </w:r>
      <w:proofErr w:type="spellStart"/>
      <w:r w:rsidRPr="003E4F6B">
        <w:rPr>
          <w:rFonts w:ascii="Arial" w:eastAsia="Calibri" w:hAnsi="Arial" w:cs="Arial"/>
          <w:lang w:val="en-ZA"/>
        </w:rPr>
        <w:t>Moreteng</w:t>
      </w:r>
      <w:proofErr w:type="spellEnd"/>
      <w:r w:rsidRPr="003E4F6B">
        <w:rPr>
          <w:rFonts w:ascii="Arial" w:eastAsia="Calibri" w:hAnsi="Arial" w:cs="Arial"/>
          <w:lang w:val="en-ZA"/>
        </w:rPr>
        <w:t xml:space="preserve"> Investments CC</w:t>
      </w:r>
    </w:p>
    <w:p w14:paraId="1FEBA927" w14:textId="77777777" w:rsidR="009433E9" w:rsidRPr="003E4F6B" w:rsidRDefault="009433E9" w:rsidP="003E4F6B">
      <w:pPr>
        <w:tabs>
          <w:tab w:val="left" w:pos="567"/>
          <w:tab w:val="left" w:pos="1701"/>
        </w:tabs>
        <w:spacing w:after="0" w:line="360" w:lineRule="auto"/>
        <w:jc w:val="both"/>
        <w:outlineLvl w:val="0"/>
        <w:rPr>
          <w:rFonts w:ascii="Arial" w:eastAsia="Calibri" w:hAnsi="Arial" w:cs="Arial"/>
          <w:lang w:val="en-ZA"/>
        </w:rPr>
      </w:pPr>
      <w:r w:rsidRPr="003E4F6B">
        <w:rPr>
          <w:rFonts w:ascii="Arial" w:eastAsia="Calibri" w:hAnsi="Arial" w:cs="Arial"/>
          <w:lang w:val="en-ZA"/>
        </w:rPr>
        <w:tab/>
      </w:r>
      <w:r w:rsidRPr="003E4F6B">
        <w:rPr>
          <w:rFonts w:ascii="Arial" w:eastAsia="Calibri" w:hAnsi="Arial" w:cs="Arial"/>
          <w:lang w:val="en-ZA"/>
        </w:rPr>
        <w:tab/>
        <w:t>Registration number:</w:t>
      </w:r>
      <w:r w:rsidRPr="003E4F6B">
        <w:rPr>
          <w:rFonts w:ascii="Arial" w:eastAsia="Calibri" w:hAnsi="Arial" w:cs="Arial"/>
          <w:lang w:val="en-ZA"/>
        </w:rPr>
        <w:tab/>
        <w:t>2005/004671/07</w:t>
      </w:r>
    </w:p>
    <w:p w14:paraId="2EC505A0" w14:textId="77777777" w:rsidR="009433E9" w:rsidRPr="003E4F6B" w:rsidRDefault="009433E9" w:rsidP="003E4F6B">
      <w:pPr>
        <w:tabs>
          <w:tab w:val="left" w:pos="567"/>
          <w:tab w:val="left" w:pos="1701"/>
        </w:tabs>
        <w:spacing w:after="0" w:line="360" w:lineRule="auto"/>
        <w:jc w:val="both"/>
        <w:outlineLvl w:val="0"/>
        <w:rPr>
          <w:rFonts w:ascii="Arial" w:eastAsia="Calibri" w:hAnsi="Arial" w:cs="Arial"/>
          <w:lang w:val="en-ZA"/>
        </w:rPr>
      </w:pPr>
    </w:p>
    <w:p w14:paraId="57759767" w14:textId="77777777" w:rsidR="009433E9" w:rsidRPr="003E4F6B" w:rsidRDefault="009433E9" w:rsidP="003E4F6B">
      <w:pPr>
        <w:tabs>
          <w:tab w:val="left" w:pos="567"/>
          <w:tab w:val="left" w:pos="1701"/>
        </w:tabs>
        <w:spacing w:after="0" w:line="360" w:lineRule="auto"/>
        <w:jc w:val="both"/>
        <w:outlineLvl w:val="0"/>
        <w:rPr>
          <w:rFonts w:ascii="Arial" w:eastAsia="Calibri" w:hAnsi="Arial" w:cs="Arial"/>
          <w:lang w:val="en-ZA"/>
        </w:rPr>
      </w:pPr>
      <w:r w:rsidRPr="003E4F6B">
        <w:rPr>
          <w:rFonts w:ascii="Arial" w:eastAsia="Calibri" w:hAnsi="Arial" w:cs="Arial"/>
          <w:lang w:val="en-ZA"/>
        </w:rPr>
        <w:tab/>
      </w:r>
      <w:r w:rsidRPr="003E4F6B">
        <w:rPr>
          <w:rFonts w:ascii="Arial" w:eastAsia="Calibri" w:hAnsi="Arial" w:cs="Arial"/>
          <w:lang w:val="en-ZA"/>
        </w:rPr>
        <w:tab/>
        <w:t>Sub-Contractor:</w:t>
      </w:r>
      <w:r w:rsidRPr="003E4F6B">
        <w:rPr>
          <w:rFonts w:ascii="Arial" w:eastAsia="Calibri" w:hAnsi="Arial" w:cs="Arial"/>
          <w:lang w:val="en-ZA"/>
        </w:rPr>
        <w:tab/>
      </w:r>
      <w:r w:rsidRPr="003E4F6B">
        <w:rPr>
          <w:rFonts w:ascii="Arial" w:eastAsia="Calibri" w:hAnsi="Arial" w:cs="Arial"/>
          <w:lang w:val="en-ZA"/>
        </w:rPr>
        <w:tab/>
      </w:r>
      <w:proofErr w:type="spellStart"/>
      <w:r w:rsidRPr="003E4F6B">
        <w:rPr>
          <w:rFonts w:ascii="Arial" w:eastAsia="Calibri" w:hAnsi="Arial" w:cs="Arial"/>
          <w:lang w:val="en-ZA"/>
        </w:rPr>
        <w:t>FlyBrotherSA</w:t>
      </w:r>
      <w:proofErr w:type="spellEnd"/>
      <w:r w:rsidRPr="003E4F6B">
        <w:rPr>
          <w:rFonts w:ascii="Arial" w:eastAsia="Calibri" w:hAnsi="Arial" w:cs="Arial"/>
          <w:lang w:val="en-ZA"/>
        </w:rPr>
        <w:t xml:space="preserve"> CC</w:t>
      </w:r>
    </w:p>
    <w:p w14:paraId="553E20CF" w14:textId="77777777" w:rsidR="009433E9" w:rsidRPr="003E4F6B" w:rsidRDefault="009433E9" w:rsidP="003E4F6B">
      <w:pPr>
        <w:tabs>
          <w:tab w:val="left" w:pos="567"/>
          <w:tab w:val="left" w:pos="1701"/>
        </w:tabs>
        <w:spacing w:after="0" w:line="360" w:lineRule="auto"/>
        <w:jc w:val="both"/>
        <w:outlineLvl w:val="0"/>
        <w:rPr>
          <w:rFonts w:ascii="Arial" w:eastAsia="Calibri" w:hAnsi="Arial" w:cs="Arial"/>
          <w:lang w:val="en-ZA"/>
        </w:rPr>
      </w:pPr>
      <w:r w:rsidRPr="003E4F6B">
        <w:rPr>
          <w:rFonts w:ascii="Arial" w:eastAsia="Calibri" w:hAnsi="Arial" w:cs="Arial"/>
          <w:lang w:val="en-ZA"/>
        </w:rPr>
        <w:tab/>
      </w:r>
      <w:r w:rsidRPr="003E4F6B">
        <w:rPr>
          <w:rFonts w:ascii="Arial" w:eastAsia="Calibri" w:hAnsi="Arial" w:cs="Arial"/>
          <w:lang w:val="en-ZA"/>
        </w:rPr>
        <w:tab/>
        <w:t>Registration number:</w:t>
      </w:r>
      <w:r w:rsidRPr="003E4F6B">
        <w:rPr>
          <w:rFonts w:ascii="Arial" w:eastAsia="Calibri" w:hAnsi="Arial" w:cs="Arial"/>
          <w:lang w:val="en-ZA"/>
        </w:rPr>
        <w:tab/>
        <w:t>2010/133800/23</w:t>
      </w:r>
    </w:p>
    <w:p w14:paraId="4B7D8F99" w14:textId="77777777" w:rsidR="009433E9" w:rsidRPr="003E4F6B" w:rsidRDefault="009433E9" w:rsidP="003E4F6B">
      <w:pPr>
        <w:tabs>
          <w:tab w:val="left" w:pos="567"/>
          <w:tab w:val="left" w:pos="1134"/>
        </w:tabs>
        <w:spacing w:after="0" w:line="360" w:lineRule="auto"/>
        <w:jc w:val="both"/>
        <w:outlineLvl w:val="0"/>
        <w:rPr>
          <w:rFonts w:ascii="Arial" w:eastAsia="Calibri" w:hAnsi="Arial" w:cs="Arial"/>
          <w:lang w:val="en-ZA"/>
        </w:rPr>
      </w:pPr>
    </w:p>
    <w:p w14:paraId="2AFAB7BA" w14:textId="77777777" w:rsidR="009433E9" w:rsidRPr="003E4F6B" w:rsidRDefault="009433E9" w:rsidP="003E4F6B">
      <w:pPr>
        <w:tabs>
          <w:tab w:val="left" w:pos="567"/>
          <w:tab w:val="left" w:pos="1134"/>
          <w:tab w:val="left" w:pos="1701"/>
        </w:tabs>
        <w:spacing w:after="0" w:line="360" w:lineRule="auto"/>
        <w:jc w:val="both"/>
        <w:outlineLvl w:val="0"/>
        <w:rPr>
          <w:rFonts w:ascii="Arial" w:eastAsia="Calibri" w:hAnsi="Arial" w:cs="Arial"/>
          <w:lang w:val="en-ZA"/>
        </w:rPr>
      </w:pPr>
      <w:r w:rsidRPr="003E4F6B">
        <w:rPr>
          <w:rFonts w:ascii="Arial" w:eastAsia="Calibri" w:hAnsi="Arial" w:cs="Arial"/>
          <w:lang w:val="en-ZA"/>
        </w:rPr>
        <w:tab/>
      </w:r>
      <w:r w:rsidRPr="003E4F6B">
        <w:rPr>
          <w:rFonts w:ascii="Arial" w:eastAsia="Calibri" w:hAnsi="Arial" w:cs="Arial"/>
          <w:lang w:val="en-ZA"/>
        </w:rPr>
        <w:tab/>
      </w:r>
      <w:r w:rsidRPr="003E4F6B">
        <w:rPr>
          <w:rFonts w:ascii="Arial" w:eastAsia="Calibri" w:hAnsi="Arial" w:cs="Arial"/>
          <w:lang w:val="en-ZA"/>
        </w:rPr>
        <w:tab/>
        <w:t>PRASA Consultant:</w:t>
      </w:r>
      <w:r w:rsidRPr="003E4F6B">
        <w:rPr>
          <w:rFonts w:ascii="Arial" w:eastAsia="Calibri" w:hAnsi="Arial" w:cs="Arial"/>
          <w:lang w:val="en-ZA"/>
        </w:rPr>
        <w:tab/>
        <w:t>AECOM/</w:t>
      </w:r>
      <w:proofErr w:type="spellStart"/>
      <w:r w:rsidRPr="003E4F6B">
        <w:rPr>
          <w:rFonts w:ascii="Arial" w:eastAsia="Calibri" w:hAnsi="Arial" w:cs="Arial"/>
          <w:lang w:val="en-ZA"/>
        </w:rPr>
        <w:t>Khuthele</w:t>
      </w:r>
      <w:proofErr w:type="spellEnd"/>
      <w:r w:rsidRPr="003E4F6B">
        <w:rPr>
          <w:rFonts w:ascii="Arial" w:eastAsia="Calibri" w:hAnsi="Arial" w:cs="Arial"/>
          <w:lang w:val="en-ZA"/>
        </w:rPr>
        <w:t xml:space="preserve"> Projects Pty (Ltd)</w:t>
      </w:r>
    </w:p>
    <w:p w14:paraId="6F67178F" w14:textId="77777777" w:rsidR="009433E9" w:rsidRPr="003E4F6B" w:rsidRDefault="009433E9" w:rsidP="003E4F6B">
      <w:pPr>
        <w:tabs>
          <w:tab w:val="left" w:pos="567"/>
          <w:tab w:val="left" w:pos="1134"/>
          <w:tab w:val="left" w:pos="1701"/>
        </w:tabs>
        <w:spacing w:after="0" w:line="360" w:lineRule="auto"/>
        <w:jc w:val="both"/>
        <w:outlineLvl w:val="0"/>
        <w:rPr>
          <w:rFonts w:ascii="Arial" w:eastAsia="Calibri" w:hAnsi="Arial" w:cs="Arial"/>
          <w:lang w:val="en-ZA"/>
        </w:rPr>
      </w:pPr>
      <w:r w:rsidRPr="003E4F6B">
        <w:rPr>
          <w:rFonts w:ascii="Arial" w:eastAsia="Calibri" w:hAnsi="Arial" w:cs="Arial"/>
          <w:lang w:val="en-ZA"/>
        </w:rPr>
        <w:tab/>
      </w:r>
      <w:r w:rsidRPr="003E4F6B">
        <w:rPr>
          <w:rFonts w:ascii="Arial" w:eastAsia="Calibri" w:hAnsi="Arial" w:cs="Arial"/>
          <w:lang w:val="en-ZA"/>
        </w:rPr>
        <w:tab/>
      </w:r>
      <w:r w:rsidRPr="003E4F6B">
        <w:rPr>
          <w:rFonts w:ascii="Arial" w:eastAsia="Calibri" w:hAnsi="Arial" w:cs="Arial"/>
          <w:lang w:val="en-ZA"/>
        </w:rPr>
        <w:tab/>
        <w:t>Registration number:</w:t>
      </w:r>
      <w:r w:rsidRPr="003E4F6B">
        <w:rPr>
          <w:rFonts w:ascii="Arial" w:eastAsia="Calibri" w:hAnsi="Arial" w:cs="Arial"/>
          <w:lang w:val="en-ZA"/>
        </w:rPr>
        <w:tab/>
        <w:t>2010/013644/07</w:t>
      </w:r>
    </w:p>
    <w:p w14:paraId="60FFC39B" w14:textId="77777777" w:rsidR="009433E9" w:rsidRPr="003E4F6B" w:rsidRDefault="009433E9" w:rsidP="003E4F6B">
      <w:pPr>
        <w:tabs>
          <w:tab w:val="left" w:pos="567"/>
          <w:tab w:val="left" w:pos="1134"/>
        </w:tabs>
        <w:spacing w:after="0" w:line="360" w:lineRule="auto"/>
        <w:jc w:val="both"/>
        <w:outlineLvl w:val="0"/>
        <w:rPr>
          <w:rFonts w:ascii="Arial" w:eastAsia="Calibri" w:hAnsi="Arial" w:cs="Arial"/>
          <w:lang w:val="en-ZA"/>
        </w:rPr>
      </w:pPr>
    </w:p>
    <w:p w14:paraId="4EFFF87C" w14:textId="77777777" w:rsidR="009433E9" w:rsidRPr="003E4F6B" w:rsidRDefault="009433E9" w:rsidP="003E4F6B">
      <w:pPr>
        <w:tabs>
          <w:tab w:val="left" w:pos="567"/>
          <w:tab w:val="left" w:pos="1134"/>
        </w:tabs>
        <w:spacing w:after="0" w:line="360" w:lineRule="auto"/>
        <w:ind w:left="1128" w:hanging="1128"/>
        <w:jc w:val="both"/>
        <w:outlineLvl w:val="0"/>
        <w:rPr>
          <w:rFonts w:ascii="Arial" w:eastAsia="Calibri" w:hAnsi="Arial" w:cs="Arial"/>
          <w:lang w:val="en-ZA"/>
        </w:rPr>
      </w:pPr>
      <w:r w:rsidRPr="003E4F6B">
        <w:rPr>
          <w:rFonts w:ascii="Arial" w:eastAsia="Calibri" w:hAnsi="Arial" w:cs="Arial"/>
          <w:lang w:val="en-ZA"/>
        </w:rPr>
        <w:tab/>
        <w:t>(d)</w:t>
      </w:r>
      <w:r w:rsidRPr="003E4F6B">
        <w:rPr>
          <w:rFonts w:ascii="Arial" w:eastAsia="Calibri" w:hAnsi="Arial" w:cs="Arial"/>
          <w:lang w:val="en-ZA"/>
        </w:rPr>
        <w:tab/>
        <w:t>The works are currently ongoing and are measured at 83% progress.  However, due to contractual disputes between GDRT and the contractor, the works have been suspended since 7 September 2018.</w:t>
      </w:r>
    </w:p>
    <w:p w14:paraId="4CEC8B75" w14:textId="77777777" w:rsidR="009433E9" w:rsidRPr="003E4F6B" w:rsidRDefault="009433E9" w:rsidP="003E4F6B">
      <w:pPr>
        <w:tabs>
          <w:tab w:val="left" w:pos="567"/>
          <w:tab w:val="left" w:pos="1134"/>
        </w:tabs>
        <w:spacing w:after="0" w:line="360" w:lineRule="auto"/>
        <w:jc w:val="both"/>
        <w:outlineLvl w:val="0"/>
        <w:rPr>
          <w:rFonts w:ascii="Arial" w:eastAsia="Calibri" w:hAnsi="Arial" w:cs="Arial"/>
          <w:lang w:val="en-ZA"/>
        </w:rPr>
      </w:pPr>
    </w:p>
    <w:p w14:paraId="29AEDC40" w14:textId="77777777" w:rsidR="009433E9" w:rsidRPr="003E4F6B" w:rsidRDefault="009433E9" w:rsidP="003E4F6B">
      <w:pPr>
        <w:tabs>
          <w:tab w:val="left" w:pos="567"/>
          <w:tab w:val="left" w:pos="1134"/>
        </w:tabs>
        <w:spacing w:after="0" w:line="360" w:lineRule="auto"/>
        <w:jc w:val="both"/>
        <w:outlineLvl w:val="0"/>
        <w:rPr>
          <w:rFonts w:ascii="Arial" w:eastAsia="Calibri" w:hAnsi="Arial" w:cs="Arial"/>
          <w:lang w:val="en-ZA"/>
        </w:rPr>
      </w:pPr>
      <w:r w:rsidRPr="003E4F6B">
        <w:rPr>
          <w:rFonts w:ascii="Arial" w:eastAsia="Calibri" w:hAnsi="Arial" w:cs="Arial"/>
          <w:lang w:val="en-ZA"/>
        </w:rPr>
        <w:tab/>
        <w:t>(e)</w:t>
      </w:r>
      <w:r w:rsidRPr="003E4F6B">
        <w:rPr>
          <w:rFonts w:ascii="Arial" w:eastAsia="Calibri" w:hAnsi="Arial" w:cs="Arial"/>
          <w:lang w:val="en-ZA"/>
        </w:rPr>
        <w:tab/>
        <w:t>The completion date will only be known once the contractor is back on site.</w:t>
      </w:r>
    </w:p>
    <w:p w14:paraId="34444770" w14:textId="77777777" w:rsidR="009433E9" w:rsidRPr="003E4F6B" w:rsidRDefault="009433E9" w:rsidP="003E4F6B">
      <w:pPr>
        <w:pStyle w:val="ListParagraph"/>
        <w:spacing w:after="0" w:line="360" w:lineRule="auto"/>
        <w:ind w:left="567" w:hanging="567"/>
        <w:jc w:val="both"/>
        <w:outlineLvl w:val="0"/>
        <w:rPr>
          <w:rFonts w:ascii="Arial" w:eastAsia="Calibri" w:hAnsi="Arial" w:cs="Arial"/>
          <w:lang w:val="en-ZA"/>
        </w:rPr>
      </w:pPr>
    </w:p>
    <w:p w14:paraId="3A755267" w14:textId="77777777" w:rsidR="009433E9" w:rsidRPr="003E4F6B" w:rsidRDefault="009433E9" w:rsidP="003E4F6B">
      <w:pPr>
        <w:pStyle w:val="ListParagraph"/>
        <w:spacing w:after="0" w:line="360" w:lineRule="auto"/>
        <w:ind w:left="567" w:hanging="567"/>
        <w:jc w:val="both"/>
        <w:outlineLvl w:val="0"/>
        <w:rPr>
          <w:rFonts w:ascii="Arial" w:eastAsia="Calibri" w:hAnsi="Arial" w:cs="Arial"/>
          <w:lang w:val="en-ZA"/>
        </w:rPr>
      </w:pPr>
    </w:p>
    <w:p w14:paraId="41E71488" w14:textId="77777777" w:rsidR="009433E9" w:rsidRPr="003E4F6B" w:rsidRDefault="009433E9" w:rsidP="003E4F6B">
      <w:pPr>
        <w:pStyle w:val="ListParagraph"/>
        <w:numPr>
          <w:ilvl w:val="0"/>
          <w:numId w:val="34"/>
        </w:numPr>
        <w:tabs>
          <w:tab w:val="left" w:pos="567"/>
        </w:tabs>
        <w:spacing w:after="0" w:line="360" w:lineRule="auto"/>
        <w:ind w:left="1134" w:hanging="1134"/>
        <w:jc w:val="both"/>
        <w:outlineLvl w:val="0"/>
        <w:rPr>
          <w:rFonts w:ascii="Arial" w:eastAsia="Calibri" w:hAnsi="Arial" w:cs="Arial"/>
          <w:lang w:val="en-ZA"/>
        </w:rPr>
      </w:pPr>
      <w:r w:rsidRPr="003E4F6B">
        <w:rPr>
          <w:rFonts w:ascii="Arial" w:eastAsia="Calibri" w:hAnsi="Arial" w:cs="Arial"/>
          <w:lang w:val="en-ZA"/>
        </w:rPr>
        <w:t>(a)</w:t>
      </w:r>
      <w:r w:rsidRPr="003E4F6B">
        <w:rPr>
          <w:rFonts w:ascii="Arial" w:eastAsia="Calibri" w:hAnsi="Arial" w:cs="Arial"/>
          <w:lang w:val="en-ZA"/>
        </w:rPr>
        <w:tab/>
        <w:t>PRASA has not lodged any dispute with a service provider.</w:t>
      </w:r>
    </w:p>
    <w:p w14:paraId="590B7A73" w14:textId="77777777" w:rsidR="009433E9" w:rsidRPr="003E4F6B" w:rsidRDefault="009433E9" w:rsidP="003E4F6B">
      <w:pPr>
        <w:tabs>
          <w:tab w:val="left" w:pos="1134"/>
        </w:tabs>
        <w:spacing w:after="0" w:line="360" w:lineRule="auto"/>
        <w:jc w:val="both"/>
        <w:outlineLvl w:val="0"/>
        <w:rPr>
          <w:rFonts w:ascii="Arial" w:eastAsia="Calibri" w:hAnsi="Arial" w:cs="Arial"/>
          <w:lang w:val="en-ZA"/>
        </w:rPr>
      </w:pPr>
    </w:p>
    <w:p w14:paraId="28656DD6" w14:textId="77777777" w:rsidR="009433E9" w:rsidRPr="003E4F6B" w:rsidRDefault="009433E9" w:rsidP="003E4F6B">
      <w:pPr>
        <w:tabs>
          <w:tab w:val="left" w:pos="1134"/>
        </w:tabs>
        <w:spacing w:after="0" w:line="360" w:lineRule="auto"/>
        <w:ind w:left="1134" w:hanging="567"/>
        <w:jc w:val="both"/>
        <w:outlineLvl w:val="0"/>
        <w:rPr>
          <w:rFonts w:ascii="Arial" w:eastAsia="Calibri" w:hAnsi="Arial" w:cs="Arial"/>
          <w:lang w:val="en-ZA"/>
        </w:rPr>
      </w:pPr>
      <w:r w:rsidRPr="003E4F6B">
        <w:rPr>
          <w:rFonts w:ascii="Arial" w:eastAsia="Calibri" w:hAnsi="Arial" w:cs="Arial"/>
          <w:lang w:val="en-ZA"/>
        </w:rPr>
        <w:t>(b)</w:t>
      </w:r>
      <w:r w:rsidRPr="003E4F6B">
        <w:rPr>
          <w:rFonts w:ascii="Arial" w:eastAsia="Calibri" w:hAnsi="Arial" w:cs="Arial"/>
          <w:lang w:val="en-ZA"/>
        </w:rPr>
        <w:tab/>
        <w:t>Not applicable.</w:t>
      </w:r>
    </w:p>
    <w:p w14:paraId="56337F56" w14:textId="77777777" w:rsidR="009433E9" w:rsidRPr="003E4F6B" w:rsidRDefault="009433E9" w:rsidP="003E4F6B">
      <w:pPr>
        <w:tabs>
          <w:tab w:val="left" w:pos="1134"/>
        </w:tabs>
        <w:spacing w:after="0" w:line="360" w:lineRule="auto"/>
        <w:jc w:val="both"/>
        <w:outlineLvl w:val="0"/>
        <w:rPr>
          <w:rFonts w:ascii="Arial" w:eastAsia="Calibri" w:hAnsi="Arial" w:cs="Arial"/>
          <w:lang w:val="en-ZA"/>
        </w:rPr>
      </w:pPr>
    </w:p>
    <w:p w14:paraId="10A8E2DB" w14:textId="77777777" w:rsidR="009433E9" w:rsidRPr="003E4F6B" w:rsidRDefault="009433E9" w:rsidP="003E4F6B">
      <w:pPr>
        <w:tabs>
          <w:tab w:val="left" w:pos="1134"/>
        </w:tabs>
        <w:spacing w:after="0" w:line="360" w:lineRule="auto"/>
        <w:jc w:val="both"/>
        <w:outlineLvl w:val="0"/>
        <w:rPr>
          <w:rFonts w:ascii="Arial" w:eastAsia="Calibri" w:hAnsi="Arial" w:cs="Arial"/>
          <w:lang w:val="en-ZA"/>
        </w:rPr>
      </w:pPr>
    </w:p>
    <w:p w14:paraId="3A13B284" w14:textId="77777777" w:rsidR="009433E9" w:rsidRPr="003E4F6B" w:rsidRDefault="009433E9" w:rsidP="003E4F6B">
      <w:pPr>
        <w:pStyle w:val="ListParagraph"/>
        <w:numPr>
          <w:ilvl w:val="0"/>
          <w:numId w:val="34"/>
        </w:numPr>
        <w:tabs>
          <w:tab w:val="left" w:pos="567"/>
          <w:tab w:val="left" w:pos="1134"/>
        </w:tabs>
        <w:spacing w:after="0" w:line="360" w:lineRule="auto"/>
        <w:ind w:left="567" w:hanging="567"/>
        <w:jc w:val="both"/>
        <w:outlineLvl w:val="0"/>
        <w:rPr>
          <w:rFonts w:ascii="Arial" w:eastAsia="Calibri" w:hAnsi="Arial" w:cs="Arial"/>
          <w:lang w:val="en-ZA"/>
        </w:rPr>
      </w:pPr>
      <w:r w:rsidRPr="003E4F6B">
        <w:rPr>
          <w:rFonts w:ascii="Arial" w:eastAsia="Calibri" w:hAnsi="Arial" w:cs="Arial"/>
          <w:lang w:val="en-ZA"/>
        </w:rPr>
        <w:t>(a)</w:t>
      </w:r>
      <w:r w:rsidRPr="003E4F6B">
        <w:rPr>
          <w:rFonts w:ascii="Arial" w:eastAsia="Calibri" w:hAnsi="Arial" w:cs="Arial"/>
          <w:lang w:val="en-ZA"/>
        </w:rPr>
        <w:tab/>
        <w:t>Not applicable as no disputes were lodged by PRASA.</w:t>
      </w:r>
    </w:p>
    <w:p w14:paraId="20B44C52" w14:textId="77777777" w:rsidR="009433E9" w:rsidRPr="003E4F6B" w:rsidRDefault="009433E9" w:rsidP="003E4F6B">
      <w:pPr>
        <w:pStyle w:val="ListParagraph"/>
        <w:tabs>
          <w:tab w:val="left" w:pos="1134"/>
        </w:tabs>
        <w:spacing w:after="0" w:line="360" w:lineRule="auto"/>
        <w:ind w:left="1134"/>
        <w:jc w:val="both"/>
        <w:outlineLvl w:val="0"/>
        <w:rPr>
          <w:rFonts w:ascii="Arial" w:eastAsia="Calibri" w:hAnsi="Arial" w:cs="Arial"/>
          <w:lang w:val="en-ZA"/>
        </w:rPr>
      </w:pPr>
    </w:p>
    <w:p w14:paraId="76C43CEC" w14:textId="5DB95E0F" w:rsidR="001068D0" w:rsidRPr="00336FCA" w:rsidRDefault="009433E9" w:rsidP="00336FCA">
      <w:pPr>
        <w:tabs>
          <w:tab w:val="left" w:pos="567"/>
          <w:tab w:val="left" w:pos="1134"/>
        </w:tabs>
        <w:spacing w:after="0" w:line="360" w:lineRule="auto"/>
        <w:ind w:left="1128" w:hanging="1128"/>
        <w:jc w:val="both"/>
        <w:outlineLvl w:val="0"/>
        <w:rPr>
          <w:rFonts w:ascii="Arial" w:eastAsia="Calibri" w:hAnsi="Arial" w:cs="Arial"/>
          <w:lang w:val="en-ZA"/>
        </w:rPr>
      </w:pPr>
      <w:r w:rsidRPr="003E4F6B">
        <w:rPr>
          <w:rFonts w:ascii="Arial" w:eastAsia="Calibri" w:hAnsi="Arial" w:cs="Arial"/>
          <w:lang w:val="en-ZA"/>
        </w:rPr>
        <w:tab/>
        <w:t>(b)</w:t>
      </w:r>
      <w:r w:rsidRPr="003E4F6B">
        <w:rPr>
          <w:rFonts w:ascii="Arial" w:eastAsia="Calibri" w:hAnsi="Arial" w:cs="Arial"/>
          <w:lang w:val="en-ZA"/>
        </w:rPr>
        <w:tab/>
        <w:t>Not applicable as no disputes were lodged by PRASA.</w:t>
      </w:r>
      <w:bookmarkStart w:id="0" w:name="_GoBack"/>
      <w:bookmarkEnd w:id="0"/>
    </w:p>
    <w:sectPr w:rsidR="001068D0" w:rsidRPr="00336FCA"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1272" w14:textId="77777777" w:rsidR="006A0615" w:rsidRDefault="006A0615" w:rsidP="00DB1508">
      <w:pPr>
        <w:spacing w:after="0" w:line="240" w:lineRule="auto"/>
      </w:pPr>
      <w:r>
        <w:separator/>
      </w:r>
    </w:p>
  </w:endnote>
  <w:endnote w:type="continuationSeparator" w:id="0">
    <w:p w14:paraId="11C52D58" w14:textId="77777777" w:rsidR="006A0615" w:rsidRDefault="006A061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2A5B3" w14:textId="77777777" w:rsidR="006A0615" w:rsidRDefault="006A0615" w:rsidP="00DB1508">
      <w:pPr>
        <w:spacing w:after="0" w:line="240" w:lineRule="auto"/>
      </w:pPr>
      <w:r>
        <w:separator/>
      </w:r>
    </w:p>
  </w:footnote>
  <w:footnote w:type="continuationSeparator" w:id="0">
    <w:p w14:paraId="3074BCCF" w14:textId="77777777" w:rsidR="006A0615" w:rsidRDefault="006A061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2"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28"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32"/>
  </w:num>
  <w:num w:numId="3">
    <w:abstractNumId w:val="1"/>
  </w:num>
  <w:num w:numId="4">
    <w:abstractNumId w:val="21"/>
  </w:num>
  <w:num w:numId="5">
    <w:abstractNumId w:val="20"/>
  </w:num>
  <w:num w:numId="6">
    <w:abstractNumId w:val="4"/>
  </w:num>
  <w:num w:numId="7">
    <w:abstractNumId w:val="0"/>
  </w:num>
  <w:num w:numId="8">
    <w:abstractNumId w:val="34"/>
  </w:num>
  <w:num w:numId="9">
    <w:abstractNumId w:val="24"/>
  </w:num>
  <w:num w:numId="10">
    <w:abstractNumId w:val="30"/>
  </w:num>
  <w:num w:numId="11">
    <w:abstractNumId w:val="18"/>
  </w:num>
  <w:num w:numId="12">
    <w:abstractNumId w:val="7"/>
  </w:num>
  <w:num w:numId="13">
    <w:abstractNumId w:val="3"/>
  </w:num>
  <w:num w:numId="14">
    <w:abstractNumId w:val="16"/>
  </w:num>
  <w:num w:numId="15">
    <w:abstractNumId w:val="28"/>
  </w:num>
  <w:num w:numId="16">
    <w:abstractNumId w:val="8"/>
  </w:num>
  <w:num w:numId="17">
    <w:abstractNumId w:val="15"/>
  </w:num>
  <w:num w:numId="18">
    <w:abstractNumId w:val="10"/>
  </w:num>
  <w:num w:numId="19">
    <w:abstractNumId w:val="35"/>
  </w:num>
  <w:num w:numId="20">
    <w:abstractNumId w:val="19"/>
  </w:num>
  <w:num w:numId="21">
    <w:abstractNumId w:val="17"/>
  </w:num>
  <w:num w:numId="22">
    <w:abstractNumId w:val="22"/>
  </w:num>
  <w:num w:numId="23">
    <w:abstractNumId w:val="14"/>
  </w:num>
  <w:num w:numId="24">
    <w:abstractNumId w:val="6"/>
  </w:num>
  <w:num w:numId="25">
    <w:abstractNumId w:val="31"/>
  </w:num>
  <w:num w:numId="26">
    <w:abstractNumId w:val="26"/>
  </w:num>
  <w:num w:numId="27">
    <w:abstractNumId w:val="33"/>
  </w:num>
  <w:num w:numId="28">
    <w:abstractNumId w:val="2"/>
  </w:num>
  <w:num w:numId="29">
    <w:abstractNumId w:val="29"/>
  </w:num>
  <w:num w:numId="30">
    <w:abstractNumId w:val="12"/>
  </w:num>
  <w:num w:numId="31">
    <w:abstractNumId w:val="11"/>
  </w:num>
  <w:num w:numId="32">
    <w:abstractNumId w:val="5"/>
  </w:num>
  <w:num w:numId="33">
    <w:abstractNumId w:val="25"/>
  </w:num>
  <w:num w:numId="34">
    <w:abstractNumId w:val="23"/>
  </w:num>
  <w:num w:numId="35">
    <w:abstractNumId w:val="13"/>
  </w:num>
  <w:num w:numId="3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2B32-0D68-4D5B-B6AC-9C3DF4B3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2018-11-15T12:04:00Z</dcterms:created>
  <dcterms:modified xsi:type="dcterms:W3CDTF">2018-11-15T12:06:00Z</dcterms:modified>
</cp:coreProperties>
</file>