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0B" w:rsidRPr="00D82D0B" w:rsidRDefault="00D82D0B" w:rsidP="00D82D0B">
      <w:pPr>
        <w:autoSpaceDE w:val="0"/>
        <w:autoSpaceDN w:val="0"/>
        <w:adjustRightInd w:val="0"/>
        <w:spacing w:after="0" w:line="240" w:lineRule="auto"/>
        <w:jc w:val="center"/>
        <w:rPr>
          <w:rFonts w:ascii="Arial" w:hAnsi="Arial" w:cs="Arial"/>
          <w:sz w:val="20"/>
          <w:szCs w:val="20"/>
        </w:rPr>
      </w:pPr>
      <w:r w:rsidRPr="00D82D0B">
        <w:rPr>
          <w:rFonts w:ascii="Arial" w:hAnsi="Arial" w:cs="Arial"/>
          <w:sz w:val="20"/>
          <w:szCs w:val="20"/>
        </w:rPr>
        <w:t>MINISTRY OF MINERAL RESOURCES</w:t>
      </w:r>
    </w:p>
    <w:p w:rsidR="00D82D0B" w:rsidRPr="00D82D0B" w:rsidRDefault="00D82D0B" w:rsidP="00D82D0B">
      <w:pPr>
        <w:autoSpaceDE w:val="0"/>
        <w:autoSpaceDN w:val="0"/>
        <w:adjustRightInd w:val="0"/>
        <w:spacing w:after="0" w:line="240" w:lineRule="auto"/>
        <w:jc w:val="center"/>
        <w:rPr>
          <w:rFonts w:ascii="Arial" w:hAnsi="Arial" w:cs="Arial"/>
          <w:sz w:val="20"/>
          <w:szCs w:val="20"/>
        </w:rPr>
      </w:pPr>
      <w:r w:rsidRPr="00D82D0B">
        <w:rPr>
          <w:rFonts w:ascii="Arial" w:hAnsi="Arial" w:cs="Arial"/>
          <w:sz w:val="20"/>
          <w:szCs w:val="20"/>
        </w:rPr>
        <w:t>REPUBLIC OF SOUTH AFRICA</w:t>
      </w:r>
    </w:p>
    <w:p w:rsidR="00D82D0B" w:rsidRPr="00D82D0B" w:rsidRDefault="00D82D0B" w:rsidP="00D82D0B">
      <w:pPr>
        <w:autoSpaceDE w:val="0"/>
        <w:autoSpaceDN w:val="0"/>
        <w:adjustRightInd w:val="0"/>
        <w:spacing w:after="0" w:line="240" w:lineRule="auto"/>
        <w:jc w:val="center"/>
        <w:rPr>
          <w:rFonts w:ascii="Arial" w:hAnsi="Arial" w:cs="Arial"/>
          <w:sz w:val="20"/>
          <w:szCs w:val="20"/>
        </w:rPr>
      </w:pPr>
    </w:p>
    <w:p w:rsidR="00D82D0B" w:rsidRPr="00D82D0B" w:rsidRDefault="00D82D0B" w:rsidP="00D82D0B">
      <w:pPr>
        <w:autoSpaceDE w:val="0"/>
        <w:autoSpaceDN w:val="0"/>
        <w:adjustRightInd w:val="0"/>
        <w:spacing w:after="0" w:line="240" w:lineRule="auto"/>
        <w:jc w:val="center"/>
        <w:rPr>
          <w:rFonts w:ascii="Arial" w:hAnsi="Arial" w:cs="Arial"/>
          <w:sz w:val="20"/>
          <w:szCs w:val="20"/>
        </w:rPr>
      </w:pPr>
      <w:r w:rsidRPr="00D82D0B">
        <w:rPr>
          <w:rFonts w:ascii="Arial" w:hAnsi="Arial" w:cs="Arial"/>
          <w:sz w:val="20"/>
          <w:szCs w:val="20"/>
        </w:rPr>
        <w:t xml:space="preserve">PRIVATE BAG x 59, PRETORIA, </w:t>
      </w:r>
      <w:proofErr w:type="gramStart"/>
      <w:r w:rsidRPr="00D82D0B">
        <w:rPr>
          <w:rFonts w:ascii="Arial" w:hAnsi="Arial" w:cs="Arial"/>
          <w:sz w:val="20"/>
          <w:szCs w:val="20"/>
        </w:rPr>
        <w:t>0001 ,</w:t>
      </w:r>
      <w:proofErr w:type="gramEnd"/>
      <w:r w:rsidRPr="00D82D0B">
        <w:rPr>
          <w:rFonts w:ascii="Arial" w:hAnsi="Arial" w:cs="Arial"/>
          <w:sz w:val="20"/>
          <w:szCs w:val="20"/>
        </w:rPr>
        <w:t xml:space="preserve"> Tel (012) 444 3979, Fax (012) 444 3145</w:t>
      </w:r>
    </w:p>
    <w:p w:rsidR="00D82D0B" w:rsidRPr="00D82D0B" w:rsidRDefault="00D82D0B" w:rsidP="00D82D0B">
      <w:pPr>
        <w:autoSpaceDE w:val="0"/>
        <w:autoSpaceDN w:val="0"/>
        <w:adjustRightInd w:val="0"/>
        <w:spacing w:after="0" w:line="240" w:lineRule="auto"/>
        <w:jc w:val="center"/>
        <w:rPr>
          <w:rFonts w:ascii="Arial" w:hAnsi="Arial" w:cs="Arial"/>
          <w:sz w:val="20"/>
          <w:szCs w:val="20"/>
        </w:rPr>
      </w:pPr>
      <w:r w:rsidRPr="00D82D0B">
        <w:rPr>
          <w:rFonts w:ascii="Arial" w:hAnsi="Arial" w:cs="Arial"/>
          <w:sz w:val="20"/>
          <w:szCs w:val="20"/>
        </w:rPr>
        <w:t xml:space="preserve">PRIVATE BAG x </w:t>
      </w:r>
      <w:proofErr w:type="gramStart"/>
      <w:r w:rsidRPr="00D82D0B">
        <w:rPr>
          <w:rFonts w:ascii="Arial" w:hAnsi="Arial" w:cs="Arial"/>
          <w:sz w:val="20"/>
          <w:szCs w:val="20"/>
        </w:rPr>
        <w:t>9111 ,</w:t>
      </w:r>
      <w:proofErr w:type="gramEnd"/>
      <w:r w:rsidRPr="00D82D0B">
        <w:rPr>
          <w:rFonts w:ascii="Arial" w:hAnsi="Arial" w:cs="Arial"/>
          <w:sz w:val="20"/>
          <w:szCs w:val="20"/>
        </w:rPr>
        <w:t xml:space="preserve"> CAPE TOWN, 8000 (021) 462 2310, Fax (021) 461 0859</w:t>
      </w:r>
    </w:p>
    <w:p w:rsidR="00D82D0B" w:rsidRPr="00D82D0B" w:rsidRDefault="00D82D0B" w:rsidP="00D82D0B">
      <w:pPr>
        <w:autoSpaceDE w:val="0"/>
        <w:autoSpaceDN w:val="0"/>
        <w:adjustRightInd w:val="0"/>
        <w:spacing w:after="0" w:line="240" w:lineRule="auto"/>
        <w:jc w:val="center"/>
        <w:rPr>
          <w:rFonts w:ascii="Arial" w:hAnsi="Arial" w:cs="Arial"/>
          <w:sz w:val="20"/>
          <w:szCs w:val="20"/>
        </w:rPr>
      </w:pPr>
      <w:r w:rsidRPr="00D82D0B">
        <w:rPr>
          <w:rFonts w:ascii="Arial" w:hAnsi="Arial" w:cs="Arial"/>
          <w:sz w:val="20"/>
          <w:szCs w:val="20"/>
        </w:rPr>
        <w:t xml:space="preserve">Enquiries: Carmichael </w:t>
      </w:r>
      <w:proofErr w:type="spellStart"/>
      <w:r w:rsidRPr="00D82D0B">
        <w:rPr>
          <w:rFonts w:ascii="Arial" w:hAnsi="Arial" w:cs="Arial"/>
          <w:sz w:val="20"/>
          <w:szCs w:val="20"/>
        </w:rPr>
        <w:t>Ngalo</w:t>
      </w:r>
      <w:proofErr w:type="spellEnd"/>
      <w:r w:rsidRPr="00D82D0B">
        <w:rPr>
          <w:rFonts w:ascii="Arial" w:hAnsi="Arial" w:cs="Arial"/>
          <w:sz w:val="20"/>
          <w:szCs w:val="20"/>
        </w:rPr>
        <w:t xml:space="preserve"> @ Carmichael.ngalo@dmr.gov.za</w:t>
      </w:r>
    </w:p>
    <w:p w:rsidR="00D82D0B" w:rsidRPr="00D82D0B" w:rsidRDefault="00D82D0B" w:rsidP="00D82D0B">
      <w:pPr>
        <w:autoSpaceDE w:val="0"/>
        <w:autoSpaceDN w:val="0"/>
        <w:adjustRightInd w:val="0"/>
        <w:spacing w:after="0" w:line="240" w:lineRule="auto"/>
        <w:jc w:val="center"/>
        <w:rPr>
          <w:rFonts w:ascii="Arial" w:hAnsi="Arial" w:cs="Arial"/>
          <w:sz w:val="20"/>
          <w:szCs w:val="20"/>
        </w:rPr>
      </w:pPr>
    </w:p>
    <w:p w:rsidR="00D82D0B" w:rsidRPr="00D82D0B" w:rsidRDefault="00D82D0B" w:rsidP="00D82D0B">
      <w:pPr>
        <w:autoSpaceDE w:val="0"/>
        <w:autoSpaceDN w:val="0"/>
        <w:adjustRightInd w:val="0"/>
        <w:spacing w:after="0" w:line="240" w:lineRule="auto"/>
        <w:jc w:val="center"/>
        <w:rPr>
          <w:rFonts w:ascii="Arial" w:hAnsi="Arial" w:cs="Arial"/>
          <w:b/>
          <w:sz w:val="20"/>
          <w:szCs w:val="20"/>
        </w:rPr>
      </w:pPr>
      <w:r w:rsidRPr="00D82D0B">
        <w:rPr>
          <w:rFonts w:ascii="Arial" w:hAnsi="Arial" w:cs="Arial"/>
          <w:b/>
          <w:sz w:val="20"/>
          <w:szCs w:val="20"/>
        </w:rPr>
        <w:t>Memorandum: Parliamentary Liaison Office</w:t>
      </w:r>
    </w:p>
    <w:p w:rsidR="00D82D0B" w:rsidRPr="00D82D0B" w:rsidRDefault="00D82D0B" w:rsidP="00D82D0B">
      <w:pPr>
        <w:autoSpaceDE w:val="0"/>
        <w:autoSpaceDN w:val="0"/>
        <w:adjustRightInd w:val="0"/>
        <w:spacing w:after="0" w:line="240" w:lineRule="auto"/>
        <w:jc w:val="center"/>
        <w:rPr>
          <w:rFonts w:ascii="Arial" w:hAnsi="Arial" w:cs="Arial"/>
          <w:b/>
          <w:sz w:val="20"/>
          <w:szCs w:val="20"/>
        </w:rPr>
      </w:pPr>
    </w:p>
    <w:p w:rsidR="00D82D0B" w:rsidRPr="00D82D0B" w:rsidRDefault="00D82D0B" w:rsidP="00D82D0B">
      <w:pPr>
        <w:autoSpaceDE w:val="0"/>
        <w:autoSpaceDN w:val="0"/>
        <w:adjustRightInd w:val="0"/>
        <w:spacing w:after="0" w:line="240" w:lineRule="auto"/>
        <w:jc w:val="center"/>
        <w:rPr>
          <w:rFonts w:ascii="Arial" w:hAnsi="Arial" w:cs="Arial"/>
          <w:b/>
          <w:sz w:val="20"/>
          <w:szCs w:val="20"/>
        </w:rPr>
      </w:pPr>
      <w:r w:rsidRPr="00D82D0B">
        <w:rPr>
          <w:rFonts w:ascii="Arial" w:hAnsi="Arial" w:cs="Arial"/>
          <w:b/>
          <w:sz w:val="20"/>
          <w:szCs w:val="20"/>
        </w:rPr>
        <w:t>NATIONAL ASSEMBLY QUESTION FOR WRITTEN REPLY</w:t>
      </w:r>
    </w:p>
    <w:p w:rsidR="00D82D0B" w:rsidRPr="00D82D0B" w:rsidRDefault="00D82D0B" w:rsidP="00D82D0B">
      <w:pPr>
        <w:autoSpaceDE w:val="0"/>
        <w:autoSpaceDN w:val="0"/>
        <w:adjustRightInd w:val="0"/>
        <w:spacing w:after="0" w:line="240" w:lineRule="auto"/>
        <w:jc w:val="center"/>
        <w:rPr>
          <w:rFonts w:ascii="Arial" w:hAnsi="Arial" w:cs="Arial"/>
          <w:b/>
          <w:sz w:val="20"/>
          <w:szCs w:val="20"/>
        </w:rPr>
      </w:pPr>
      <w:r w:rsidRPr="00D82D0B">
        <w:rPr>
          <w:rFonts w:ascii="Arial" w:hAnsi="Arial" w:cs="Arial"/>
          <w:b/>
          <w:sz w:val="20"/>
          <w:szCs w:val="20"/>
        </w:rPr>
        <w:t>QUESTION NUMBER: 319 ADVANCE NOTICE No: NW1247E</w:t>
      </w:r>
    </w:p>
    <w:p w:rsidR="00D82D0B" w:rsidRPr="00D82D0B" w:rsidRDefault="00D82D0B" w:rsidP="00D82D0B">
      <w:pPr>
        <w:autoSpaceDE w:val="0"/>
        <w:autoSpaceDN w:val="0"/>
        <w:adjustRightInd w:val="0"/>
        <w:spacing w:after="0" w:line="240" w:lineRule="auto"/>
        <w:jc w:val="center"/>
        <w:rPr>
          <w:rFonts w:ascii="Arial" w:hAnsi="Arial" w:cs="Arial"/>
          <w:b/>
          <w:sz w:val="20"/>
          <w:szCs w:val="20"/>
        </w:rPr>
      </w:pPr>
      <w:r w:rsidRPr="00D82D0B">
        <w:rPr>
          <w:rFonts w:ascii="Arial" w:hAnsi="Arial" w:cs="Arial"/>
          <w:b/>
          <w:sz w:val="20"/>
          <w:szCs w:val="20"/>
        </w:rPr>
        <w:t>DATE OF PUBLICATION IN INTERNAL QUESTION PAPER: 19 July 2019 INTERNAL QUESTION PAPER NUMBER: 06</w:t>
      </w:r>
    </w:p>
    <w:p w:rsidR="00844E3E" w:rsidRPr="00D82D0B" w:rsidRDefault="00D82D0B" w:rsidP="00D82D0B">
      <w:pPr>
        <w:autoSpaceDE w:val="0"/>
        <w:autoSpaceDN w:val="0"/>
        <w:adjustRightInd w:val="0"/>
        <w:spacing w:after="0" w:line="240" w:lineRule="auto"/>
        <w:rPr>
          <w:rFonts w:ascii="Arial" w:hAnsi="Arial" w:cs="Arial"/>
          <w:sz w:val="20"/>
          <w:szCs w:val="20"/>
        </w:rPr>
      </w:pPr>
      <w:r w:rsidRPr="00D82D0B">
        <w:rPr>
          <w:rFonts w:ascii="Arial" w:hAnsi="Arial" w:cs="Arial"/>
          <w:b/>
          <w:sz w:val="20"/>
          <w:szCs w:val="20"/>
        </w:rPr>
        <w:br/>
        <w:t>319. Mr K J Mileham (DA) to ask the Minister of Mineral Resources and Energy</w:t>
      </w:r>
      <w:proofErr w:type="gramStart"/>
      <w:r w:rsidRPr="00D82D0B">
        <w:rPr>
          <w:rFonts w:ascii="Arial" w:hAnsi="Arial" w:cs="Arial"/>
          <w:b/>
          <w:sz w:val="20"/>
          <w:szCs w:val="20"/>
        </w:rPr>
        <w:t>:</w:t>
      </w:r>
      <w:proofErr w:type="gramEnd"/>
      <w:r w:rsidRPr="00D82D0B">
        <w:rPr>
          <w:rFonts w:ascii="Arial" w:hAnsi="Arial" w:cs="Arial"/>
          <w:b/>
          <w:sz w:val="20"/>
          <w:szCs w:val="20"/>
        </w:rPr>
        <w:br/>
      </w:r>
      <w:r w:rsidRPr="00D82D0B">
        <w:rPr>
          <w:rFonts w:ascii="Arial" w:hAnsi="Arial" w:cs="Arial"/>
          <w:sz w:val="20"/>
          <w:szCs w:val="20"/>
        </w:rPr>
        <w:br/>
        <w:t>(1) Who is responsible for enforcing the environmental compliance of mining rights holders (a) before, (b) during and (c) after completion of mining operations?</w:t>
      </w:r>
      <w:r w:rsidRPr="00D82D0B">
        <w:rPr>
          <w:rFonts w:ascii="Arial" w:hAnsi="Arial" w:cs="Arial"/>
          <w:sz w:val="20"/>
          <w:szCs w:val="20"/>
        </w:rPr>
        <w:br/>
      </w:r>
      <w:r w:rsidRPr="00D82D0B">
        <w:rPr>
          <w:rFonts w:ascii="Arial" w:hAnsi="Arial" w:cs="Arial"/>
          <w:sz w:val="20"/>
          <w:szCs w:val="20"/>
        </w:rPr>
        <w:br/>
        <w:t>(2) what (a) number of environmental compliance orders were issued against mining rights holders (</w:t>
      </w:r>
      <w:proofErr w:type="spellStart"/>
      <w:r w:rsidRPr="00D82D0B">
        <w:rPr>
          <w:rFonts w:ascii="Arial" w:hAnsi="Arial" w:cs="Arial"/>
          <w:sz w:val="20"/>
          <w:szCs w:val="20"/>
        </w:rPr>
        <w:t>i</w:t>
      </w:r>
      <w:proofErr w:type="spellEnd"/>
      <w:r w:rsidRPr="00D82D0B">
        <w:rPr>
          <w:rFonts w:ascii="Arial" w:hAnsi="Arial" w:cs="Arial"/>
          <w:sz w:val="20"/>
          <w:szCs w:val="20"/>
        </w:rPr>
        <w:t>) in the (aa) 2017-18 and (bb) 2018-19 financial years and (ii) since 1 April 2019, (b) was the nature of the infringement in each case, (c) remedial action was taken in each case and (d) is the current status of each (</w:t>
      </w:r>
      <w:proofErr w:type="spellStart"/>
      <w:r w:rsidRPr="00D82D0B">
        <w:rPr>
          <w:rFonts w:ascii="Arial" w:hAnsi="Arial" w:cs="Arial"/>
          <w:sz w:val="20"/>
          <w:szCs w:val="20"/>
        </w:rPr>
        <w:t>i</w:t>
      </w:r>
      <w:proofErr w:type="spellEnd"/>
      <w:r w:rsidRPr="00D82D0B">
        <w:rPr>
          <w:rFonts w:ascii="Arial" w:hAnsi="Arial" w:cs="Arial"/>
          <w:sz w:val="20"/>
          <w:szCs w:val="20"/>
        </w:rPr>
        <w:t>) compliance order and (ii) issue from which the infringement arose? NW1286E</w:t>
      </w:r>
    </w:p>
    <w:p w:rsidR="00D82D0B" w:rsidRPr="00D82D0B" w:rsidRDefault="00D82D0B" w:rsidP="00D82D0B">
      <w:pPr>
        <w:autoSpaceDE w:val="0"/>
        <w:autoSpaceDN w:val="0"/>
        <w:adjustRightInd w:val="0"/>
        <w:spacing w:after="0" w:line="240" w:lineRule="auto"/>
        <w:rPr>
          <w:rFonts w:ascii="Arial" w:hAnsi="Arial" w:cs="Arial"/>
          <w:b/>
          <w:bCs/>
          <w:sz w:val="20"/>
          <w:szCs w:val="20"/>
        </w:rPr>
      </w:pPr>
    </w:p>
    <w:p w:rsidR="00D82D0B" w:rsidRPr="00D82D0B" w:rsidRDefault="00D82D0B" w:rsidP="00D82D0B">
      <w:pPr>
        <w:autoSpaceDE w:val="0"/>
        <w:autoSpaceDN w:val="0"/>
        <w:adjustRightInd w:val="0"/>
        <w:spacing w:after="0" w:line="240" w:lineRule="auto"/>
        <w:rPr>
          <w:rFonts w:ascii="Arial" w:hAnsi="Arial" w:cs="Arial"/>
          <w:b/>
          <w:bCs/>
          <w:sz w:val="20"/>
          <w:szCs w:val="20"/>
        </w:rPr>
      </w:pPr>
      <w:r w:rsidRPr="00D82D0B">
        <w:rPr>
          <w:rFonts w:ascii="Arial" w:hAnsi="Arial" w:cs="Arial"/>
          <w:b/>
          <w:bCs/>
          <w:sz w:val="20"/>
          <w:szCs w:val="20"/>
        </w:rPr>
        <w:t>Reply</w:t>
      </w:r>
    </w:p>
    <w:p w:rsidR="00D82D0B" w:rsidRPr="00D82D0B" w:rsidRDefault="00D82D0B" w:rsidP="00D82D0B">
      <w:pPr>
        <w:autoSpaceDE w:val="0"/>
        <w:autoSpaceDN w:val="0"/>
        <w:adjustRightInd w:val="0"/>
        <w:spacing w:after="0" w:line="240" w:lineRule="auto"/>
        <w:rPr>
          <w:rFonts w:ascii="Arial" w:hAnsi="Arial" w:cs="Arial"/>
          <w:sz w:val="20"/>
          <w:szCs w:val="20"/>
        </w:rPr>
      </w:pPr>
      <w:r w:rsidRPr="00D82D0B">
        <w:rPr>
          <w:rFonts w:ascii="Arial" w:hAnsi="Arial" w:cs="Arial"/>
          <w:sz w:val="20"/>
          <w:szCs w:val="20"/>
        </w:rPr>
        <w:br/>
        <w:t>(I) The Department of Mineral Resources and Energy is the competent authority to deal with environmental compliance and enforcement as per the Provisions of the National Environmental Management Act (Act 107 of 1998) as amended.</w:t>
      </w:r>
      <w:r w:rsidRPr="00D82D0B">
        <w:rPr>
          <w:rFonts w:ascii="Arial" w:hAnsi="Arial" w:cs="Arial"/>
          <w:sz w:val="20"/>
          <w:szCs w:val="20"/>
        </w:rPr>
        <w:br/>
      </w:r>
      <w:r w:rsidRPr="00D82D0B">
        <w:rPr>
          <w:rFonts w:ascii="Arial" w:hAnsi="Arial" w:cs="Arial"/>
          <w:sz w:val="20"/>
          <w:szCs w:val="20"/>
        </w:rPr>
        <w:br/>
        <w:t>This applies throughout the different phases of mining.</w:t>
      </w:r>
      <w:r w:rsidRPr="00D82D0B">
        <w:rPr>
          <w:rFonts w:ascii="Arial" w:hAnsi="Arial" w:cs="Arial"/>
          <w:sz w:val="20"/>
          <w:szCs w:val="20"/>
        </w:rPr>
        <w:br/>
        <w:t>(2) (</w:t>
      </w:r>
      <w:proofErr w:type="gramStart"/>
      <w:r w:rsidRPr="00D82D0B">
        <w:rPr>
          <w:rFonts w:ascii="Arial" w:hAnsi="Arial" w:cs="Arial"/>
          <w:sz w:val="20"/>
          <w:szCs w:val="20"/>
        </w:rPr>
        <w:t>a</w:t>
      </w:r>
      <w:proofErr w:type="gramEnd"/>
      <w:r w:rsidRPr="00D82D0B">
        <w:rPr>
          <w:rFonts w:ascii="Arial" w:hAnsi="Arial" w:cs="Arial"/>
          <w:sz w:val="20"/>
          <w:szCs w:val="20"/>
        </w:rPr>
        <w:t>)(</w:t>
      </w:r>
      <w:proofErr w:type="spellStart"/>
      <w:r w:rsidRPr="00D82D0B">
        <w:rPr>
          <w:rFonts w:ascii="Arial" w:hAnsi="Arial" w:cs="Arial"/>
          <w:sz w:val="20"/>
          <w:szCs w:val="20"/>
        </w:rPr>
        <w:t>i</w:t>
      </w:r>
      <w:proofErr w:type="spellEnd"/>
      <w:r w:rsidRPr="00D82D0B">
        <w:rPr>
          <w:rFonts w:ascii="Arial" w:hAnsi="Arial" w:cs="Arial"/>
          <w:sz w:val="20"/>
          <w:szCs w:val="20"/>
        </w:rPr>
        <w:t>)(aa) 2017-18</w:t>
      </w:r>
    </w:p>
    <w:p w:rsidR="00D82D0B" w:rsidRPr="00D82D0B" w:rsidRDefault="00D82D0B" w:rsidP="00D82D0B">
      <w:pPr>
        <w:autoSpaceDE w:val="0"/>
        <w:autoSpaceDN w:val="0"/>
        <w:adjustRightInd w:val="0"/>
        <w:spacing w:after="0" w:line="240" w:lineRule="auto"/>
        <w:rPr>
          <w:rFonts w:ascii="Arial" w:hAnsi="Arial" w:cs="Arial"/>
          <w:sz w:val="20"/>
          <w:szCs w:val="20"/>
        </w:rPr>
      </w:pPr>
      <w:r w:rsidRPr="00D82D0B">
        <w:rPr>
          <w:rFonts w:ascii="Arial" w:hAnsi="Arial" w:cs="Arial"/>
          <w:sz w:val="20"/>
          <w:szCs w:val="20"/>
        </w:rPr>
        <w:t>(</w:t>
      </w:r>
      <w:proofErr w:type="gramStart"/>
      <w:r w:rsidRPr="00D82D0B">
        <w:rPr>
          <w:rFonts w:ascii="Arial" w:hAnsi="Arial" w:cs="Arial"/>
          <w:sz w:val="20"/>
          <w:szCs w:val="20"/>
        </w:rPr>
        <w:t>bb</w:t>
      </w:r>
      <w:proofErr w:type="gramEnd"/>
      <w:r w:rsidRPr="00D82D0B">
        <w:rPr>
          <w:rFonts w:ascii="Arial" w:hAnsi="Arial" w:cs="Arial"/>
          <w:sz w:val="20"/>
          <w:szCs w:val="20"/>
        </w:rPr>
        <w:t>) 2018 -19</w:t>
      </w:r>
    </w:p>
    <w:p w:rsidR="00D82D0B" w:rsidRPr="00D82D0B" w:rsidRDefault="00D82D0B" w:rsidP="00D82D0B">
      <w:pPr>
        <w:autoSpaceDE w:val="0"/>
        <w:autoSpaceDN w:val="0"/>
        <w:adjustRightInd w:val="0"/>
        <w:spacing w:after="0" w:line="240" w:lineRule="auto"/>
        <w:rPr>
          <w:rFonts w:ascii="Arial" w:hAnsi="Arial" w:cs="Arial"/>
          <w:sz w:val="20"/>
          <w:szCs w:val="20"/>
        </w:rPr>
      </w:pPr>
      <w:r w:rsidRPr="00D82D0B">
        <w:rPr>
          <w:rFonts w:ascii="Arial" w:hAnsi="Arial" w:cs="Arial"/>
          <w:sz w:val="20"/>
          <w:szCs w:val="20"/>
        </w:rPr>
        <w:t>(ii) Since April 2019</w:t>
      </w:r>
    </w:p>
    <w:p w:rsidR="00D82D0B" w:rsidRPr="00D82D0B" w:rsidRDefault="00D82D0B" w:rsidP="00D82D0B">
      <w:pPr>
        <w:autoSpaceDE w:val="0"/>
        <w:autoSpaceDN w:val="0"/>
        <w:adjustRightInd w:val="0"/>
        <w:spacing w:after="0" w:line="240" w:lineRule="auto"/>
        <w:rPr>
          <w:rFonts w:ascii="Arial" w:hAnsi="Arial" w:cs="Arial"/>
          <w:sz w:val="20"/>
          <w:szCs w:val="20"/>
        </w:rPr>
      </w:pPr>
      <w:r w:rsidRPr="00D82D0B">
        <w:rPr>
          <w:rFonts w:ascii="Arial" w:hAnsi="Arial" w:cs="Arial"/>
          <w:sz w:val="20"/>
          <w:szCs w:val="20"/>
        </w:rPr>
        <w:t>295 Notices and 13 Directives</w:t>
      </w:r>
    </w:p>
    <w:p w:rsidR="00D82D0B" w:rsidRPr="00D82D0B" w:rsidRDefault="00D82D0B" w:rsidP="00D82D0B">
      <w:pPr>
        <w:autoSpaceDE w:val="0"/>
        <w:autoSpaceDN w:val="0"/>
        <w:adjustRightInd w:val="0"/>
        <w:spacing w:after="0" w:line="240" w:lineRule="auto"/>
        <w:rPr>
          <w:rFonts w:ascii="Arial" w:hAnsi="Arial" w:cs="Arial"/>
          <w:sz w:val="20"/>
          <w:szCs w:val="20"/>
        </w:rPr>
      </w:pPr>
      <w:r w:rsidRPr="00D82D0B">
        <w:rPr>
          <w:rFonts w:ascii="Arial" w:hAnsi="Arial" w:cs="Arial"/>
          <w:sz w:val="20"/>
          <w:szCs w:val="20"/>
        </w:rPr>
        <w:t>385 Notices and 08 Directives</w:t>
      </w:r>
    </w:p>
    <w:p w:rsidR="00D82D0B" w:rsidRPr="00D82D0B" w:rsidRDefault="00D82D0B" w:rsidP="00D82D0B">
      <w:pPr>
        <w:autoSpaceDE w:val="0"/>
        <w:autoSpaceDN w:val="0"/>
        <w:adjustRightInd w:val="0"/>
        <w:spacing w:after="0" w:line="240" w:lineRule="auto"/>
        <w:rPr>
          <w:rFonts w:ascii="Arial" w:hAnsi="Arial" w:cs="Arial"/>
          <w:sz w:val="20"/>
          <w:szCs w:val="20"/>
        </w:rPr>
      </w:pPr>
      <w:r w:rsidRPr="00D82D0B">
        <w:rPr>
          <w:rFonts w:ascii="Arial" w:hAnsi="Arial" w:cs="Arial"/>
          <w:sz w:val="20"/>
          <w:szCs w:val="20"/>
        </w:rPr>
        <w:t>43 Notices and 23 Directives</w:t>
      </w:r>
      <w:r w:rsidRPr="00D82D0B">
        <w:rPr>
          <w:rFonts w:ascii="Arial" w:hAnsi="Arial" w:cs="Arial"/>
          <w:sz w:val="20"/>
          <w:szCs w:val="20"/>
        </w:rPr>
        <w:br/>
      </w:r>
      <w:r w:rsidRPr="00D82D0B">
        <w:rPr>
          <w:rFonts w:ascii="Arial" w:hAnsi="Arial" w:cs="Arial"/>
          <w:sz w:val="20"/>
          <w:szCs w:val="20"/>
        </w:rPr>
        <w:br/>
        <w:t>(b) (Notices 31 L)</w:t>
      </w:r>
      <w:proofErr w:type="spellStart"/>
      <w:r w:rsidRPr="00D82D0B">
        <w:rPr>
          <w:rFonts w:ascii="Arial" w:hAnsi="Arial" w:cs="Arial"/>
          <w:sz w:val="20"/>
          <w:szCs w:val="20"/>
        </w:rPr>
        <w:t>ln</w:t>
      </w:r>
      <w:proofErr w:type="spellEnd"/>
      <w:r w:rsidRPr="00D82D0B">
        <w:rPr>
          <w:rFonts w:ascii="Arial" w:hAnsi="Arial" w:cs="Arial"/>
          <w:sz w:val="20"/>
          <w:szCs w:val="20"/>
        </w:rPr>
        <w:t xml:space="preserve"> most cases, the right holders have not revised their Financial Provision annually as per the regulations, and in some cases where they have not paid the determined shot fall in the Financial Provision. In cases of section 28 Directives, Right holders who were found to have potentially cost significant Environmental pollution and Degradation.</w:t>
      </w:r>
      <w:r w:rsidRPr="00D82D0B">
        <w:rPr>
          <w:rFonts w:ascii="Arial" w:hAnsi="Arial" w:cs="Arial"/>
          <w:sz w:val="20"/>
          <w:szCs w:val="20"/>
        </w:rPr>
        <w:br/>
      </w:r>
      <w:r w:rsidRPr="00D82D0B">
        <w:rPr>
          <w:rFonts w:ascii="Arial" w:hAnsi="Arial" w:cs="Arial"/>
          <w:sz w:val="20"/>
          <w:szCs w:val="20"/>
        </w:rPr>
        <w:br/>
        <w:t>(c) Holders were issued with instruction in terms of section 31 L of NEMA to make representation and further to revise and pay Financial Provision to address the shot fall. Where potential Pollution/Degradation was identified, the holder will be directed to submit a plan to prevent or minimise future Pollution/Degradation.</w:t>
      </w:r>
      <w:r w:rsidRPr="00D82D0B">
        <w:rPr>
          <w:rFonts w:ascii="Arial" w:hAnsi="Arial" w:cs="Arial"/>
          <w:sz w:val="20"/>
          <w:szCs w:val="20"/>
        </w:rPr>
        <w:br/>
      </w:r>
      <w:r w:rsidRPr="00D82D0B">
        <w:rPr>
          <w:rFonts w:ascii="Arial" w:hAnsi="Arial" w:cs="Arial"/>
          <w:sz w:val="20"/>
          <w:szCs w:val="20"/>
        </w:rPr>
        <w:br/>
        <w:t>(d)(</w:t>
      </w:r>
      <w:proofErr w:type="spellStart"/>
      <w:proofErr w:type="gramStart"/>
      <w:r w:rsidRPr="00D82D0B">
        <w:rPr>
          <w:rFonts w:ascii="Arial" w:hAnsi="Arial" w:cs="Arial"/>
          <w:sz w:val="20"/>
          <w:szCs w:val="20"/>
        </w:rPr>
        <w:t>i</w:t>
      </w:r>
      <w:proofErr w:type="spellEnd"/>
      <w:proofErr w:type="gramEnd"/>
      <w:r w:rsidRPr="00D82D0B">
        <w:rPr>
          <w:rFonts w:ascii="Arial" w:hAnsi="Arial" w:cs="Arial"/>
          <w:sz w:val="20"/>
          <w:szCs w:val="20"/>
        </w:rPr>
        <w:t>)(ii)Holders have since addressed the infringements and in some cases they have made arrangements to gradually address the infringements. The Department continues to monitor and enforce the level of compliance and where necessary take appropriate steps.</w:t>
      </w:r>
      <w:r w:rsidRPr="00D82D0B">
        <w:rPr>
          <w:rFonts w:ascii="Arial" w:hAnsi="Arial" w:cs="Arial"/>
          <w:sz w:val="20"/>
          <w:szCs w:val="20"/>
        </w:rPr>
        <w:br/>
      </w:r>
      <w:r w:rsidRPr="00D82D0B">
        <w:rPr>
          <w:rFonts w:ascii="Arial" w:hAnsi="Arial" w:cs="Arial"/>
          <w:sz w:val="20"/>
          <w:szCs w:val="20"/>
        </w:rPr>
        <w:br/>
        <w:t>Department continues to monitor and enforce the level of compliance and where necessary take appropriate steps.</w:t>
      </w:r>
      <w:r w:rsidRPr="00D82D0B">
        <w:rPr>
          <w:rFonts w:ascii="Arial" w:hAnsi="Arial" w:cs="Arial"/>
          <w:sz w:val="20"/>
          <w:szCs w:val="20"/>
        </w:rPr>
        <w:br/>
      </w:r>
      <w:r w:rsidRPr="00D82D0B">
        <w:rPr>
          <w:rFonts w:ascii="Arial" w:hAnsi="Arial" w:cs="Arial"/>
          <w:sz w:val="20"/>
          <w:szCs w:val="20"/>
        </w:rPr>
        <w:br/>
      </w:r>
      <w:r w:rsidRPr="00D82D0B">
        <w:rPr>
          <w:rFonts w:ascii="Arial" w:hAnsi="Arial" w:cs="Arial"/>
          <w:b/>
          <w:sz w:val="20"/>
          <w:szCs w:val="20"/>
        </w:rPr>
        <w:t xml:space="preserve">ACT DDG: </w:t>
      </w:r>
      <w:proofErr w:type="spellStart"/>
      <w:r w:rsidRPr="00D82D0B">
        <w:rPr>
          <w:rFonts w:ascii="Arial" w:hAnsi="Arial" w:cs="Arial"/>
          <w:b/>
          <w:sz w:val="20"/>
          <w:szCs w:val="20"/>
        </w:rPr>
        <w:t>Minereal</w:t>
      </w:r>
      <w:proofErr w:type="spellEnd"/>
      <w:r w:rsidRPr="00D82D0B">
        <w:rPr>
          <w:rFonts w:ascii="Arial" w:hAnsi="Arial" w:cs="Arial"/>
          <w:b/>
          <w:sz w:val="20"/>
          <w:szCs w:val="20"/>
        </w:rPr>
        <w:t xml:space="preserve"> Regulation</w:t>
      </w:r>
      <w:r w:rsidRPr="00D82D0B">
        <w:rPr>
          <w:rFonts w:ascii="Arial" w:hAnsi="Arial" w:cs="Arial"/>
          <w:b/>
          <w:sz w:val="20"/>
          <w:szCs w:val="20"/>
        </w:rPr>
        <w:br/>
        <w:t xml:space="preserve">Ms M </w:t>
      </w:r>
      <w:proofErr w:type="spellStart"/>
      <w:r w:rsidRPr="00D82D0B">
        <w:rPr>
          <w:rFonts w:ascii="Arial" w:hAnsi="Arial" w:cs="Arial"/>
          <w:b/>
          <w:sz w:val="20"/>
          <w:szCs w:val="20"/>
        </w:rPr>
        <w:t>Malapane</w:t>
      </w:r>
      <w:proofErr w:type="spellEnd"/>
      <w:r w:rsidRPr="00D82D0B">
        <w:rPr>
          <w:rFonts w:ascii="Arial" w:hAnsi="Arial" w:cs="Arial"/>
          <w:b/>
          <w:sz w:val="20"/>
          <w:szCs w:val="20"/>
        </w:rPr>
        <w:br/>
        <w:t>Date</w:t>
      </w:r>
      <w:r w:rsidRPr="00D82D0B">
        <w:rPr>
          <w:rFonts w:ascii="Arial" w:hAnsi="Arial" w:cs="Arial"/>
          <w:sz w:val="20"/>
          <w:szCs w:val="20"/>
        </w:rPr>
        <w:t>: 07//10/2019</w:t>
      </w:r>
      <w:r w:rsidRPr="00D82D0B">
        <w:rPr>
          <w:rFonts w:ascii="Arial" w:hAnsi="Arial" w:cs="Arial"/>
          <w:sz w:val="20"/>
          <w:szCs w:val="20"/>
        </w:rPr>
        <w:br/>
      </w:r>
      <w:r w:rsidRPr="00D82D0B">
        <w:rPr>
          <w:rFonts w:ascii="Arial" w:hAnsi="Arial" w:cs="Arial"/>
          <w:sz w:val="20"/>
          <w:szCs w:val="20"/>
        </w:rPr>
        <w:br/>
        <w:t>Recommended</w:t>
      </w:r>
      <w:r w:rsidRPr="00D82D0B">
        <w:rPr>
          <w:rFonts w:ascii="Arial" w:hAnsi="Arial" w:cs="Arial"/>
          <w:sz w:val="20"/>
          <w:szCs w:val="20"/>
        </w:rPr>
        <w:br/>
      </w:r>
      <w:r w:rsidRPr="00D82D0B">
        <w:rPr>
          <w:rFonts w:ascii="Arial" w:hAnsi="Arial" w:cs="Arial"/>
          <w:sz w:val="20"/>
          <w:szCs w:val="20"/>
        </w:rPr>
        <w:lastRenderedPageBreak/>
        <w:br/>
      </w:r>
      <w:r w:rsidRPr="00D82D0B">
        <w:rPr>
          <w:rFonts w:ascii="Arial" w:hAnsi="Arial" w:cs="Arial"/>
          <w:b/>
          <w:sz w:val="20"/>
          <w:szCs w:val="20"/>
        </w:rPr>
        <w:t>Advocate T Mokoena</w:t>
      </w:r>
      <w:r w:rsidRPr="00D82D0B">
        <w:rPr>
          <w:rFonts w:ascii="Arial" w:hAnsi="Arial" w:cs="Arial"/>
          <w:b/>
          <w:sz w:val="20"/>
          <w:szCs w:val="20"/>
        </w:rPr>
        <w:br/>
        <w:t>Director General: Department of Mineral Resources</w:t>
      </w:r>
      <w:r w:rsidRPr="00D82D0B">
        <w:rPr>
          <w:rFonts w:ascii="Arial" w:hAnsi="Arial" w:cs="Arial"/>
          <w:b/>
          <w:sz w:val="20"/>
          <w:szCs w:val="20"/>
        </w:rPr>
        <w:br/>
      </w:r>
      <w:r w:rsidRPr="00D82D0B">
        <w:rPr>
          <w:rFonts w:ascii="Arial" w:hAnsi="Arial" w:cs="Arial"/>
          <w:sz w:val="20"/>
          <w:szCs w:val="20"/>
        </w:rPr>
        <w:t>04//10/2019</w:t>
      </w:r>
      <w:r w:rsidRPr="00D82D0B">
        <w:rPr>
          <w:rFonts w:ascii="Arial" w:hAnsi="Arial" w:cs="Arial"/>
          <w:sz w:val="20"/>
          <w:szCs w:val="20"/>
        </w:rPr>
        <w:br/>
      </w:r>
      <w:r w:rsidRPr="00D82D0B">
        <w:rPr>
          <w:rFonts w:ascii="Arial" w:hAnsi="Arial" w:cs="Arial"/>
          <w:sz w:val="20"/>
          <w:szCs w:val="20"/>
        </w:rPr>
        <w:br/>
        <w:t>Approved</w:t>
      </w:r>
      <w:r w:rsidRPr="00D82D0B">
        <w:rPr>
          <w:rFonts w:ascii="Arial" w:hAnsi="Arial" w:cs="Arial"/>
          <w:sz w:val="20"/>
          <w:szCs w:val="20"/>
        </w:rPr>
        <w:br/>
      </w:r>
      <w:r w:rsidRPr="00D82D0B">
        <w:rPr>
          <w:rFonts w:ascii="Arial" w:hAnsi="Arial" w:cs="Arial"/>
          <w:sz w:val="20"/>
          <w:szCs w:val="20"/>
        </w:rPr>
        <w:br/>
      </w:r>
      <w:r w:rsidRPr="00D82D0B">
        <w:rPr>
          <w:rFonts w:ascii="Arial" w:hAnsi="Arial" w:cs="Arial"/>
          <w:b/>
          <w:sz w:val="20"/>
          <w:szCs w:val="20"/>
        </w:rPr>
        <w:t>Mr SG Mantashe</w:t>
      </w:r>
      <w:r w:rsidRPr="00D82D0B">
        <w:rPr>
          <w:rFonts w:ascii="Arial" w:hAnsi="Arial" w:cs="Arial"/>
          <w:b/>
          <w:sz w:val="20"/>
          <w:szCs w:val="20"/>
        </w:rPr>
        <w:br/>
        <w:t>Minister of Mineral Resources</w:t>
      </w:r>
      <w:r w:rsidRPr="00D82D0B">
        <w:rPr>
          <w:rFonts w:ascii="Arial" w:hAnsi="Arial" w:cs="Arial"/>
          <w:b/>
          <w:sz w:val="20"/>
          <w:szCs w:val="20"/>
        </w:rPr>
        <w:br/>
        <w:t>Date</w:t>
      </w:r>
      <w:r w:rsidRPr="00D82D0B">
        <w:rPr>
          <w:rFonts w:ascii="Arial" w:hAnsi="Arial" w:cs="Arial"/>
          <w:sz w:val="20"/>
          <w:szCs w:val="20"/>
        </w:rPr>
        <w:t>:</w:t>
      </w:r>
      <w:r w:rsidRPr="00D82D0B">
        <w:rPr>
          <w:rFonts w:ascii="Arial" w:hAnsi="Arial" w:cs="Arial"/>
          <w:b/>
          <w:sz w:val="20"/>
          <w:szCs w:val="20"/>
        </w:rPr>
        <w:t xml:space="preserve"> Submitted</w:t>
      </w:r>
      <w:r w:rsidRPr="00D82D0B">
        <w:rPr>
          <w:rFonts w:ascii="Arial" w:hAnsi="Arial" w:cs="Arial"/>
          <w:sz w:val="20"/>
          <w:szCs w:val="20"/>
        </w:rPr>
        <w:t>: 15/10/2019</w:t>
      </w:r>
      <w:r w:rsidRPr="00D82D0B">
        <w:rPr>
          <w:rFonts w:ascii="Arial" w:hAnsi="Arial" w:cs="Arial"/>
          <w:sz w:val="20"/>
          <w:szCs w:val="20"/>
        </w:rPr>
        <w:br/>
      </w:r>
      <w:r w:rsidRPr="00D82D0B">
        <w:rPr>
          <w:rFonts w:ascii="Arial" w:hAnsi="Arial" w:cs="Arial"/>
          <w:sz w:val="20"/>
          <w:szCs w:val="20"/>
        </w:rPr>
        <w:br/>
      </w:r>
    </w:p>
    <w:sectPr w:rsidR="00D82D0B" w:rsidRPr="00D82D0B" w:rsidSect="006722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D82D0B"/>
    <w:rsid w:val="00672221"/>
    <w:rsid w:val="00844E3E"/>
    <w:rsid w:val="008E4298"/>
    <w:rsid w:val="00C00DB2"/>
    <w:rsid w:val="00D82D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2451</Characters>
  <Application>Microsoft Office Word</Application>
  <DocSecurity>0</DocSecurity>
  <Lines>20</Lines>
  <Paragraphs>5</Paragraphs>
  <ScaleCrop>false</ScaleCrop>
  <Company>Proline</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2019-12-12T08:55:00Z</dcterms:created>
  <dcterms:modified xsi:type="dcterms:W3CDTF">2019-12-12T09:00:00Z</dcterms:modified>
</cp:coreProperties>
</file>