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D7131A" w:rsidRDefault="008960B2" w:rsidP="008960B2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960B2" w:rsidRPr="00987C9F" w:rsidRDefault="008960B2" w:rsidP="00A020D1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A020D1">
      <w:pPr>
        <w:ind w:left="-142" w:firstLine="426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A020D1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="006E59BE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3</w:t>
      </w:r>
      <w:r w:rsidR="00D7131A">
        <w:rPr>
          <w:rFonts w:ascii="Tahoma" w:hAnsi="Tahoma" w:cs="Tahoma"/>
          <w:b/>
          <w:bCs/>
          <w:sz w:val="22"/>
          <w:szCs w:val="22"/>
          <w:lang w:val="en-ZA"/>
        </w:rPr>
        <w:t>16</w:t>
      </w:r>
    </w:p>
    <w:p w:rsidR="008960B2" w:rsidRPr="00987C9F" w:rsidRDefault="008960B2" w:rsidP="006E59BE">
      <w:pPr>
        <w:ind w:left="-142" w:firstLine="426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D7131A" w:rsidRDefault="003042F7" w:rsidP="006E59BE">
      <w:pPr>
        <w:spacing w:line="360" w:lineRule="auto"/>
        <w:ind w:left="-142" w:firstLine="426"/>
        <w:jc w:val="both"/>
        <w:rPr>
          <w:rFonts w:ascii="Arial" w:hAnsi="Arial" w:cs="Arial"/>
          <w:b/>
          <w:sz w:val="20"/>
          <w:szCs w:val="20"/>
        </w:rPr>
      </w:pPr>
    </w:p>
    <w:p w:rsidR="003042F7" w:rsidRDefault="00CF2F1F" w:rsidP="00A020D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F2F1F"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D7131A" w:rsidRDefault="00D7131A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316. Mr S Tambo (EFF) </w:t>
      </w:r>
      <w:r w:rsidRPr="00EA17A6">
        <w:rPr>
          <w:rFonts w:ascii="Arial" w:eastAsia="Calibri" w:hAnsi="Arial" w:cs="Arial"/>
          <w:b/>
          <w:bCs/>
          <w:szCs w:val="22"/>
        </w:rPr>
        <w:t>to ask the Minister of Public Enterprises:</w:t>
      </w:r>
    </w:p>
    <w:p w:rsidR="00CF4D92" w:rsidRPr="00CF4D92" w:rsidRDefault="00CF4D92" w:rsidP="00CF4D92">
      <w:pPr>
        <w:pStyle w:val="ListParagraph"/>
        <w:spacing w:before="120" w:after="120" w:line="360" w:lineRule="auto"/>
        <w:ind w:hanging="720"/>
        <w:jc w:val="both"/>
        <w:rPr>
          <w:rFonts w:ascii="Arial" w:eastAsia="Calibri" w:hAnsi="Arial" w:cs="Arial"/>
          <w:szCs w:val="22"/>
        </w:rPr>
      </w:pPr>
      <w:r w:rsidRPr="00CF4D92">
        <w:rPr>
          <w:rFonts w:ascii="Arial" w:eastAsia="Calibri" w:hAnsi="Arial" w:cs="Arial"/>
          <w:szCs w:val="22"/>
        </w:rPr>
        <w:t>(1)</w:t>
      </w:r>
      <w:r w:rsidRPr="00CF4D92">
        <w:rPr>
          <w:rFonts w:ascii="Arial" w:eastAsia="Calibri" w:hAnsi="Arial" w:cs="Arial"/>
          <w:szCs w:val="22"/>
        </w:rPr>
        <w:tab/>
        <w:t>Whether his department and/or entities reporting to him procured services from three certain companies (details furnished) since the 2018-19 financial year; if not, what is the position in this regard; if so, what (a) services were procured in each case and (b) total amount was paid in each case;</w:t>
      </w:r>
    </w:p>
    <w:p w:rsidR="00CF4D92" w:rsidRPr="00CF4D92" w:rsidRDefault="00CF4D92" w:rsidP="00CF4D92">
      <w:pPr>
        <w:pStyle w:val="ListParagraph"/>
        <w:spacing w:before="120" w:after="120" w:line="360" w:lineRule="auto"/>
        <w:ind w:hanging="720"/>
        <w:jc w:val="both"/>
        <w:rPr>
          <w:rFonts w:ascii="Arial" w:eastAsia="Calibri" w:hAnsi="Arial" w:cs="Arial"/>
          <w:szCs w:val="22"/>
        </w:rPr>
      </w:pPr>
      <w:r w:rsidRPr="00CF4D92">
        <w:rPr>
          <w:rFonts w:ascii="Arial" w:eastAsia="Calibri" w:hAnsi="Arial" w:cs="Arial"/>
          <w:szCs w:val="22"/>
        </w:rPr>
        <w:t>(2)</w:t>
      </w:r>
      <w:r w:rsidRPr="00CF4D92">
        <w:rPr>
          <w:rFonts w:ascii="Arial" w:eastAsia="Calibri" w:hAnsi="Arial" w:cs="Arial"/>
          <w:szCs w:val="22"/>
        </w:rPr>
        <w:tab/>
        <w:t xml:space="preserve">whether the amounts paid to the three service providers were found to have resulted in irregular expenditure; if not, what is the position in this regard; if so, what total amount was declared and/or disclosed in each case; </w:t>
      </w:r>
    </w:p>
    <w:p w:rsidR="00CF4D92" w:rsidRPr="00CF4D92" w:rsidRDefault="00CF4D92" w:rsidP="00CF4D92">
      <w:pPr>
        <w:pStyle w:val="ListParagraph"/>
        <w:spacing w:before="120" w:after="120" w:line="360" w:lineRule="auto"/>
        <w:ind w:hanging="720"/>
        <w:jc w:val="both"/>
        <w:rPr>
          <w:rFonts w:ascii="Arial" w:eastAsia="Calibri" w:hAnsi="Arial" w:cs="Arial"/>
          <w:szCs w:val="22"/>
        </w:rPr>
      </w:pPr>
      <w:r w:rsidRPr="00CF4D92">
        <w:rPr>
          <w:rFonts w:ascii="Arial" w:eastAsia="Calibri" w:hAnsi="Arial" w:cs="Arial"/>
          <w:szCs w:val="22"/>
        </w:rPr>
        <w:t>(3)</w:t>
      </w:r>
      <w:r w:rsidRPr="00CF4D92">
        <w:rPr>
          <w:rFonts w:ascii="Arial" w:eastAsia="Calibri" w:hAnsi="Arial" w:cs="Arial"/>
          <w:szCs w:val="22"/>
        </w:rPr>
        <w:tab/>
      </w:r>
      <w:proofErr w:type="gramStart"/>
      <w:r w:rsidRPr="00CF4D92">
        <w:rPr>
          <w:rFonts w:ascii="Arial" w:eastAsia="Calibri" w:hAnsi="Arial" w:cs="Arial"/>
          <w:szCs w:val="22"/>
        </w:rPr>
        <w:t>whether</w:t>
      </w:r>
      <w:proofErr w:type="gramEnd"/>
      <w:r w:rsidRPr="00CF4D92">
        <w:rPr>
          <w:rFonts w:ascii="Arial" w:eastAsia="Calibri" w:hAnsi="Arial" w:cs="Arial"/>
          <w:szCs w:val="22"/>
        </w:rPr>
        <w:t xml:space="preserve"> any investigations were conducted to identify employees responsible for irregular expenditure; if not, why not; if so, what total number of times were the investigations conducted;</w:t>
      </w:r>
    </w:p>
    <w:p w:rsidR="00CF4D92" w:rsidRPr="00CF4D92" w:rsidRDefault="00CF4D92" w:rsidP="00CF4D92">
      <w:pPr>
        <w:pStyle w:val="ListParagraph"/>
        <w:spacing w:before="120" w:after="120" w:line="360" w:lineRule="auto"/>
        <w:ind w:hanging="720"/>
        <w:jc w:val="both"/>
        <w:rPr>
          <w:rFonts w:ascii="Arial" w:eastAsia="Calibri" w:hAnsi="Arial" w:cs="Arial"/>
          <w:szCs w:val="22"/>
        </w:rPr>
      </w:pPr>
      <w:r w:rsidRPr="00CF4D92">
        <w:rPr>
          <w:rFonts w:ascii="Arial" w:eastAsia="Calibri" w:hAnsi="Arial" w:cs="Arial"/>
          <w:szCs w:val="22"/>
        </w:rPr>
        <w:t>(4)</w:t>
      </w:r>
      <w:r w:rsidRPr="00CF4D92">
        <w:rPr>
          <w:rFonts w:ascii="Arial" w:eastAsia="Calibri" w:hAnsi="Arial" w:cs="Arial"/>
          <w:szCs w:val="22"/>
        </w:rPr>
        <w:tab/>
      </w:r>
      <w:proofErr w:type="gramStart"/>
      <w:r w:rsidRPr="00CF4D92">
        <w:rPr>
          <w:rFonts w:ascii="Arial" w:eastAsia="Calibri" w:hAnsi="Arial" w:cs="Arial"/>
          <w:szCs w:val="22"/>
        </w:rPr>
        <w:t>whether</w:t>
      </w:r>
      <w:proofErr w:type="gramEnd"/>
      <w:r w:rsidRPr="00CF4D92">
        <w:rPr>
          <w:rFonts w:ascii="Arial" w:eastAsia="Calibri" w:hAnsi="Arial" w:cs="Arial"/>
          <w:szCs w:val="22"/>
        </w:rPr>
        <w:t xml:space="preserve"> investigations were conducted in-house or outsourced; if outsourced, what total amount was paid in each case since the 2018-19 financial year; </w:t>
      </w:r>
    </w:p>
    <w:p w:rsidR="00D7131A" w:rsidRPr="00EF5304" w:rsidRDefault="00CF4D92" w:rsidP="00CF4D92">
      <w:pPr>
        <w:pStyle w:val="ListParagraph"/>
        <w:spacing w:before="120" w:after="120" w:line="360" w:lineRule="auto"/>
        <w:ind w:hanging="720"/>
        <w:jc w:val="both"/>
        <w:rPr>
          <w:rFonts w:ascii="Arial" w:eastAsia="Calibri" w:hAnsi="Arial" w:cs="Arial"/>
          <w:b/>
          <w:szCs w:val="22"/>
        </w:rPr>
      </w:pPr>
      <w:r w:rsidRPr="00CF4D92">
        <w:rPr>
          <w:rFonts w:ascii="Arial" w:eastAsia="Calibri" w:hAnsi="Arial" w:cs="Arial"/>
          <w:szCs w:val="22"/>
        </w:rPr>
        <w:t>(5)</w:t>
      </w:r>
      <w:r w:rsidRPr="00CF4D92">
        <w:rPr>
          <w:rFonts w:ascii="Arial" w:eastAsia="Calibri" w:hAnsi="Arial" w:cs="Arial"/>
          <w:szCs w:val="22"/>
        </w:rPr>
        <w:tab/>
      </w:r>
      <w:proofErr w:type="gramStart"/>
      <w:r w:rsidRPr="00CF4D92">
        <w:rPr>
          <w:rFonts w:ascii="Arial" w:eastAsia="Calibri" w:hAnsi="Arial" w:cs="Arial"/>
          <w:szCs w:val="22"/>
        </w:rPr>
        <w:t>whether</w:t>
      </w:r>
      <w:proofErr w:type="gramEnd"/>
      <w:r w:rsidRPr="00CF4D92">
        <w:rPr>
          <w:rFonts w:ascii="Arial" w:eastAsia="Calibri" w:hAnsi="Arial" w:cs="Arial"/>
          <w:szCs w:val="22"/>
        </w:rPr>
        <w:t xml:space="preserve"> any members of the board and/or executive were held accountable for irregular expenditure; if not, what is the position in this regard; if so, (a) what are the names of such members and (b) will he furnish Mr S Tambo with the investigation report with its recommendations?</w:t>
      </w:r>
      <w:r w:rsidRPr="00CF4D92">
        <w:rPr>
          <w:rFonts w:ascii="Arial" w:eastAsia="Calibri" w:hAnsi="Arial" w:cs="Arial"/>
          <w:szCs w:val="22"/>
        </w:rPr>
        <w:tab/>
      </w:r>
      <w:r w:rsidRPr="00CF4D92">
        <w:rPr>
          <w:rFonts w:ascii="Arial" w:eastAsia="Calibri" w:hAnsi="Arial" w:cs="Arial"/>
          <w:b/>
          <w:bCs/>
          <w:szCs w:val="22"/>
        </w:rPr>
        <w:tab/>
        <w:t>NW331E</w:t>
      </w:r>
    </w:p>
    <w:p w:rsidR="00A020D1" w:rsidRDefault="00A020D1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Cs w:val="22"/>
          <w:u w:val="single"/>
        </w:rPr>
      </w:pPr>
    </w:p>
    <w:p w:rsidR="00D7131A" w:rsidRPr="00A020D1" w:rsidRDefault="00D7131A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Cs w:val="22"/>
          <w:u w:val="single"/>
        </w:rPr>
      </w:pPr>
      <w:r w:rsidRPr="00A020D1">
        <w:rPr>
          <w:rFonts w:ascii="Arial" w:eastAsia="Calibri" w:hAnsi="Arial" w:cs="Arial"/>
          <w:b/>
          <w:szCs w:val="22"/>
          <w:u w:val="single"/>
        </w:rPr>
        <w:t>R</w:t>
      </w:r>
      <w:r w:rsidR="00624B6A" w:rsidRPr="00A020D1">
        <w:rPr>
          <w:rFonts w:ascii="Arial" w:eastAsia="Calibri" w:hAnsi="Arial" w:cs="Arial"/>
          <w:b/>
          <w:szCs w:val="22"/>
          <w:u w:val="single"/>
        </w:rPr>
        <w:t>EPLY</w:t>
      </w:r>
      <w:r w:rsidR="00A020D1">
        <w:rPr>
          <w:rFonts w:ascii="Arial" w:eastAsia="Calibri" w:hAnsi="Arial" w:cs="Arial"/>
          <w:b/>
          <w:szCs w:val="22"/>
          <w:u w:val="single"/>
        </w:rPr>
        <w:t>:</w:t>
      </w:r>
    </w:p>
    <w:p w:rsidR="008B08BA" w:rsidRDefault="008B08BA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Cs w:val="22"/>
        </w:rPr>
      </w:pPr>
    </w:p>
    <w:p w:rsidR="008B08BA" w:rsidRDefault="008B08BA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A020D1">
        <w:rPr>
          <w:rFonts w:ascii="Arial" w:eastAsia="Calibri" w:hAnsi="Arial" w:cs="Arial"/>
          <w:b/>
          <w:szCs w:val="22"/>
        </w:rPr>
        <w:t>epartment</w:t>
      </w:r>
      <w:r>
        <w:rPr>
          <w:rFonts w:ascii="Arial" w:eastAsia="Calibri" w:hAnsi="Arial" w:cs="Arial"/>
          <w:b/>
          <w:szCs w:val="22"/>
        </w:rPr>
        <w:t xml:space="preserve"> </w:t>
      </w:r>
    </w:p>
    <w:p w:rsidR="008B08BA" w:rsidRPr="000124D0" w:rsidRDefault="008B08BA" w:rsidP="006E59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were no services procured from </w:t>
      </w:r>
      <w:proofErr w:type="spellStart"/>
      <w:r>
        <w:rPr>
          <w:rFonts w:ascii="Arial" w:hAnsi="Arial" w:cs="Arial"/>
          <w:bCs/>
          <w:sz w:val="22"/>
          <w:szCs w:val="22"/>
        </w:rPr>
        <w:t>Sihlesive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Trading, Rally Business Consulting and </w:t>
      </w:r>
      <w:proofErr w:type="spellStart"/>
      <w:r>
        <w:rPr>
          <w:rFonts w:ascii="Arial" w:hAnsi="Arial" w:cs="Arial"/>
          <w:bCs/>
          <w:sz w:val="22"/>
          <w:szCs w:val="22"/>
        </w:rPr>
        <w:t>Siyakhula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Forestry Contractors JV </w:t>
      </w:r>
      <w:proofErr w:type="spellStart"/>
      <w:r>
        <w:rPr>
          <w:rFonts w:ascii="Arial" w:hAnsi="Arial" w:cs="Arial"/>
          <w:bCs/>
          <w:sz w:val="22"/>
          <w:szCs w:val="22"/>
        </w:rPr>
        <w:t>Zumda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Trading during the 2018/2019 to 2021/2022 financial year.</w:t>
      </w:r>
    </w:p>
    <w:p w:rsidR="00CF4D92" w:rsidRDefault="00CF4D92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CF4D92" w:rsidRDefault="00CF4D92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CF4D92" w:rsidRDefault="00CF4D92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DA4619" w:rsidRPr="008B08BA" w:rsidRDefault="00DA4619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8B08BA">
        <w:rPr>
          <w:rFonts w:ascii="Arial" w:eastAsia="Calibri" w:hAnsi="Arial" w:cs="Arial"/>
          <w:b/>
          <w:sz w:val="22"/>
          <w:szCs w:val="22"/>
        </w:rPr>
        <w:lastRenderedPageBreak/>
        <w:t xml:space="preserve">According to the information received from </w:t>
      </w:r>
      <w:proofErr w:type="spellStart"/>
      <w:r w:rsidRPr="008B08BA">
        <w:rPr>
          <w:rFonts w:ascii="Arial" w:eastAsia="Calibri" w:hAnsi="Arial" w:cs="Arial"/>
          <w:b/>
          <w:sz w:val="22"/>
          <w:szCs w:val="22"/>
        </w:rPr>
        <w:t>Alexkor</w:t>
      </w:r>
      <w:proofErr w:type="spellEnd"/>
      <w:r w:rsidRPr="008B08B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8B08BA" w:rsidRPr="008B08BA" w:rsidRDefault="008B08BA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DA4619" w:rsidRPr="008B08BA" w:rsidRDefault="00DA4619" w:rsidP="006E59BE">
      <w:pPr>
        <w:pStyle w:val="ListParagraph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eastAsia="Calibri" w:hAnsi="Arial" w:cs="Arial"/>
          <w:bCs/>
          <w:sz w:val="22"/>
          <w:szCs w:val="22"/>
        </w:rPr>
      </w:pPr>
      <w:r w:rsidRPr="008B08BA">
        <w:rPr>
          <w:rFonts w:ascii="Arial" w:eastAsia="Calibri" w:hAnsi="Arial" w:cs="Arial"/>
          <w:bCs/>
          <w:sz w:val="22"/>
          <w:szCs w:val="22"/>
        </w:rPr>
        <w:t xml:space="preserve">The service providers did not render any services to </w:t>
      </w:r>
      <w:proofErr w:type="spellStart"/>
      <w:r w:rsidRPr="008B08BA">
        <w:rPr>
          <w:rFonts w:ascii="Arial" w:eastAsia="Calibri" w:hAnsi="Arial" w:cs="Arial"/>
          <w:bCs/>
          <w:sz w:val="22"/>
          <w:szCs w:val="22"/>
        </w:rPr>
        <w:t>A</w:t>
      </w:r>
      <w:r w:rsidR="008B08BA" w:rsidRPr="008B08BA">
        <w:rPr>
          <w:rFonts w:ascii="Arial" w:eastAsia="Calibri" w:hAnsi="Arial" w:cs="Arial"/>
          <w:bCs/>
          <w:sz w:val="22"/>
          <w:szCs w:val="22"/>
        </w:rPr>
        <w:t>lexkor</w:t>
      </w:r>
      <w:proofErr w:type="spellEnd"/>
      <w:r w:rsidR="008B08BA" w:rsidRPr="008B08BA">
        <w:rPr>
          <w:rFonts w:ascii="Arial" w:eastAsia="Calibri" w:hAnsi="Arial" w:cs="Arial"/>
          <w:bCs/>
          <w:sz w:val="22"/>
          <w:szCs w:val="22"/>
        </w:rPr>
        <w:t xml:space="preserve"> SOC Limited </w:t>
      </w:r>
    </w:p>
    <w:p w:rsidR="008B08BA" w:rsidRDefault="008B08BA" w:rsidP="006E59BE">
      <w:pPr>
        <w:pStyle w:val="ListParagraph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eastAsia="Calibri" w:hAnsi="Arial" w:cs="Arial"/>
          <w:bCs/>
          <w:sz w:val="22"/>
          <w:szCs w:val="22"/>
        </w:rPr>
      </w:pPr>
      <w:r w:rsidRPr="008B08BA">
        <w:rPr>
          <w:rFonts w:ascii="Arial" w:eastAsia="Calibri" w:hAnsi="Arial" w:cs="Arial"/>
          <w:bCs/>
          <w:sz w:val="22"/>
          <w:szCs w:val="22"/>
        </w:rPr>
        <w:t xml:space="preserve">– (5) All subsequent questions are not applicable </w:t>
      </w:r>
    </w:p>
    <w:p w:rsidR="00DD176C" w:rsidRDefault="00DD176C" w:rsidP="003243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436D" w:rsidRDefault="0032436D" w:rsidP="003243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Denel  </w:t>
      </w:r>
    </w:p>
    <w:p w:rsidR="00DD176C" w:rsidRDefault="00DD176C" w:rsidP="003243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436D" w:rsidRPr="006E59BE" w:rsidRDefault="0032436D" w:rsidP="0032436D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Denel has not procured any services from the said companies since the 2018-19 financial </w:t>
      </w:r>
      <w:proofErr w:type="gramStart"/>
      <w:r>
        <w:rPr>
          <w:rFonts w:ascii="Arial" w:hAnsi="Arial" w:cs="Arial"/>
          <w:bCs/>
        </w:rPr>
        <w:t>year</w:t>
      </w:r>
      <w:proofErr w:type="gramEnd"/>
      <w:r>
        <w:rPr>
          <w:rFonts w:ascii="Arial" w:hAnsi="Arial" w:cs="Arial"/>
          <w:bCs/>
        </w:rPr>
        <w:t xml:space="preserve">. </w:t>
      </w:r>
    </w:p>
    <w:p w:rsidR="0032436D" w:rsidRDefault="0032436D" w:rsidP="0032436D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</w:rPr>
      </w:pPr>
      <w:r w:rsidRPr="006E59BE">
        <w:rPr>
          <w:rFonts w:ascii="Arial" w:hAnsi="Arial" w:cs="Arial"/>
          <w:bCs/>
        </w:rPr>
        <w:t>– (5) All subsequent questions are not applicable.</w:t>
      </w:r>
    </w:p>
    <w:p w:rsidR="00DD176C" w:rsidRDefault="00DD176C" w:rsidP="00DD176C">
      <w:pPr>
        <w:pStyle w:val="ListParagraph"/>
        <w:ind w:left="426"/>
        <w:jc w:val="both"/>
        <w:rPr>
          <w:rFonts w:ascii="Arial" w:hAnsi="Arial" w:cs="Arial"/>
          <w:bCs/>
        </w:rPr>
      </w:pPr>
    </w:p>
    <w:p w:rsidR="008B08BA" w:rsidRPr="008B08BA" w:rsidRDefault="008B08BA" w:rsidP="006E59BE">
      <w:pPr>
        <w:spacing w:before="120" w:after="12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B08BA">
        <w:rPr>
          <w:rFonts w:ascii="Arial" w:eastAsia="Calibri" w:hAnsi="Arial" w:cs="Arial"/>
          <w:b/>
          <w:sz w:val="22"/>
          <w:szCs w:val="22"/>
        </w:rPr>
        <w:t xml:space="preserve">According to the information received from Eskom </w:t>
      </w:r>
    </w:p>
    <w:p w:rsidR="008B08BA" w:rsidRPr="008B08BA" w:rsidRDefault="008B08BA" w:rsidP="00CF4D92">
      <w:pPr>
        <w:pStyle w:val="ListParagraph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8B08BA">
        <w:rPr>
          <w:rFonts w:ascii="Arial" w:eastAsia="Calibri" w:hAnsi="Arial" w:cs="Arial"/>
          <w:bCs/>
          <w:sz w:val="22"/>
          <w:szCs w:val="22"/>
        </w:rPr>
        <w:t xml:space="preserve">Eskom has never done any business with the companies in question. Should there be a need for Eskom to do business with them, then a proper procurement process will be followed which will be aligned with the principles of section 217 of the Constitution of the Republic of South Africa. </w:t>
      </w:r>
    </w:p>
    <w:p w:rsidR="008B08BA" w:rsidRPr="008B08BA" w:rsidRDefault="00CF4D92" w:rsidP="00CF4D92">
      <w:pPr>
        <w:pStyle w:val="ListParagraph"/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bookmarkStart w:id="1" w:name="_Hlk129345187"/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B08BA" w:rsidRPr="008B08BA">
        <w:rPr>
          <w:rFonts w:ascii="Arial" w:eastAsia="Calibri" w:hAnsi="Arial" w:cs="Arial"/>
          <w:bCs/>
          <w:sz w:val="22"/>
          <w:szCs w:val="22"/>
        </w:rPr>
        <w:t>– (5) All subsequent questions are not applicable.</w:t>
      </w:r>
    </w:p>
    <w:bookmarkEnd w:id="1"/>
    <w:p w:rsidR="00DA4619" w:rsidRPr="008B08BA" w:rsidRDefault="00DA4619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C92674" w:rsidRPr="008B08BA" w:rsidRDefault="00DA4619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8B08BA">
        <w:rPr>
          <w:rFonts w:ascii="Arial" w:eastAsia="Calibri" w:hAnsi="Arial" w:cs="Arial"/>
          <w:b/>
          <w:sz w:val="22"/>
          <w:szCs w:val="22"/>
        </w:rPr>
        <w:t xml:space="preserve">According to the information received from </w:t>
      </w:r>
      <w:r w:rsidR="00047450" w:rsidRPr="008B08BA">
        <w:rPr>
          <w:rFonts w:ascii="Arial" w:eastAsia="Calibri" w:hAnsi="Arial" w:cs="Arial"/>
          <w:b/>
          <w:sz w:val="22"/>
          <w:szCs w:val="22"/>
        </w:rPr>
        <w:t>SAFCOL</w:t>
      </w:r>
    </w:p>
    <w:p w:rsidR="00DA4619" w:rsidRPr="008B08BA" w:rsidRDefault="00DA4619" w:rsidP="006E59BE">
      <w:pPr>
        <w:pStyle w:val="ListParagraph"/>
        <w:spacing w:before="120" w:after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047450" w:rsidRPr="008B08BA" w:rsidRDefault="00047450" w:rsidP="006E59BE">
      <w:pPr>
        <w:pStyle w:val="ListParagraph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eastAsia="Calibri" w:hAnsi="Arial" w:cs="Arial"/>
          <w:b/>
          <w:sz w:val="22"/>
          <w:szCs w:val="22"/>
        </w:rPr>
      </w:pPr>
      <w:r w:rsidRPr="008B08BA">
        <w:rPr>
          <w:rFonts w:ascii="Arial" w:eastAsia="Calibri" w:hAnsi="Arial" w:cs="Arial"/>
          <w:b/>
          <w:sz w:val="22"/>
          <w:szCs w:val="22"/>
        </w:rPr>
        <w:t>Yes, SAFCOL procured services from the three companies:</w:t>
      </w:r>
    </w:p>
    <w:tbl>
      <w:tblPr>
        <w:tblStyle w:val="TableGrid"/>
        <w:tblW w:w="0" w:type="auto"/>
        <w:tblInd w:w="108" w:type="dxa"/>
        <w:tblLook w:val="04A0"/>
      </w:tblPr>
      <w:tblGrid>
        <w:gridCol w:w="5245"/>
        <w:gridCol w:w="4644"/>
      </w:tblGrid>
      <w:tr w:rsidR="00047450" w:rsidRPr="008B08BA" w:rsidTr="00047450">
        <w:tc>
          <w:tcPr>
            <w:tcW w:w="5245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BA">
              <w:rPr>
                <w:rFonts w:ascii="Arial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644" w:type="dxa"/>
          </w:tcPr>
          <w:p w:rsidR="00047450" w:rsidRPr="008B08BA" w:rsidRDefault="00047450" w:rsidP="006E59B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BA">
              <w:rPr>
                <w:rFonts w:ascii="Arial" w:hAnsi="Arial" w:cs="Arial"/>
                <w:b/>
                <w:sz w:val="22"/>
                <w:szCs w:val="22"/>
              </w:rPr>
              <w:t>Services Procured</w:t>
            </w:r>
          </w:p>
        </w:tc>
      </w:tr>
      <w:tr w:rsidR="00047450" w:rsidRPr="008B08BA" w:rsidTr="00047450">
        <w:tc>
          <w:tcPr>
            <w:tcW w:w="5245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Sihlesive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44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Provision of </w:t>
            </w: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silviculture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services</w:t>
            </w:r>
          </w:p>
        </w:tc>
      </w:tr>
      <w:tr w:rsidR="00047450" w:rsidRPr="008B08BA" w:rsidTr="00047450">
        <w:tc>
          <w:tcPr>
            <w:tcW w:w="5245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08BA">
              <w:rPr>
                <w:rFonts w:ascii="Arial" w:hAnsi="Arial" w:cs="Arial"/>
                <w:bCs/>
                <w:sz w:val="22"/>
                <w:szCs w:val="22"/>
              </w:rPr>
              <w:t>Rally Business Consulting</w:t>
            </w:r>
          </w:p>
        </w:tc>
        <w:tc>
          <w:tcPr>
            <w:tcW w:w="4644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Provision of </w:t>
            </w: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silviculture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services</w:t>
            </w:r>
          </w:p>
        </w:tc>
      </w:tr>
      <w:tr w:rsidR="00047450" w:rsidRPr="008B08BA" w:rsidTr="00047450">
        <w:tc>
          <w:tcPr>
            <w:tcW w:w="5245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Siyakhula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Forestry Contractors JV </w:t>
            </w: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Zumda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44" w:type="dxa"/>
          </w:tcPr>
          <w:p w:rsidR="00047450" w:rsidRPr="008B08BA" w:rsidRDefault="00047450" w:rsidP="006E59BE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Provision of </w:t>
            </w:r>
            <w:proofErr w:type="spellStart"/>
            <w:r w:rsidRPr="008B08BA">
              <w:rPr>
                <w:rFonts w:ascii="Arial" w:hAnsi="Arial" w:cs="Arial"/>
                <w:bCs/>
                <w:sz w:val="22"/>
                <w:szCs w:val="22"/>
              </w:rPr>
              <w:t>silviculture</w:t>
            </w:r>
            <w:proofErr w:type="spellEnd"/>
            <w:r w:rsidRPr="008B08BA">
              <w:rPr>
                <w:rFonts w:ascii="Arial" w:hAnsi="Arial" w:cs="Arial"/>
                <w:bCs/>
                <w:sz w:val="22"/>
                <w:szCs w:val="22"/>
              </w:rPr>
              <w:t xml:space="preserve"> services</w:t>
            </w:r>
          </w:p>
        </w:tc>
      </w:tr>
    </w:tbl>
    <w:p w:rsidR="00D7131A" w:rsidRPr="008B08BA" w:rsidRDefault="00D7131A" w:rsidP="006E59BE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ZA"/>
        </w:rPr>
      </w:pPr>
    </w:p>
    <w:p w:rsidR="00A11241" w:rsidRPr="008B08BA" w:rsidRDefault="00047450" w:rsidP="006E59B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8B08BA">
        <w:rPr>
          <w:rFonts w:ascii="Arial" w:hAnsi="Arial" w:cs="Arial"/>
          <w:b/>
          <w:bCs/>
          <w:sz w:val="22"/>
          <w:szCs w:val="22"/>
        </w:rPr>
        <w:t>Total Amount Paid</w:t>
      </w:r>
    </w:p>
    <w:tbl>
      <w:tblPr>
        <w:tblStyle w:val="TableGrid"/>
        <w:tblW w:w="0" w:type="auto"/>
        <w:tblInd w:w="108" w:type="dxa"/>
        <w:tblLook w:val="04A0"/>
      </w:tblPr>
      <w:tblGrid>
        <w:gridCol w:w="5257"/>
        <w:gridCol w:w="4632"/>
      </w:tblGrid>
      <w:tr w:rsidR="00047450" w:rsidRPr="008B08BA" w:rsidTr="00047450">
        <w:tc>
          <w:tcPr>
            <w:tcW w:w="5257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632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/>
                <w:sz w:val="22"/>
                <w:szCs w:val="22"/>
              </w:rPr>
              <w:t>Amount inclusive of VAT</w:t>
            </w:r>
          </w:p>
        </w:tc>
      </w:tr>
      <w:tr w:rsidR="00047450" w:rsidRPr="008B08BA" w:rsidTr="00047450">
        <w:tc>
          <w:tcPr>
            <w:tcW w:w="5257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Sihlesive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32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R73 434 659</w:t>
            </w:r>
          </w:p>
        </w:tc>
      </w:tr>
      <w:tr w:rsidR="00047450" w:rsidRPr="008B08BA" w:rsidTr="00047450">
        <w:tc>
          <w:tcPr>
            <w:tcW w:w="5257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Rally Business Consulting</w:t>
            </w:r>
          </w:p>
        </w:tc>
        <w:tc>
          <w:tcPr>
            <w:tcW w:w="4632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R76 294 287</w:t>
            </w:r>
          </w:p>
        </w:tc>
      </w:tr>
      <w:tr w:rsidR="00047450" w:rsidRPr="008B08BA" w:rsidTr="00047450">
        <w:tc>
          <w:tcPr>
            <w:tcW w:w="5257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Siyakhula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Forestry Contractors JV </w:t>
            </w: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Zumda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32" w:type="dxa"/>
          </w:tcPr>
          <w:p w:rsidR="00047450" w:rsidRPr="008B08BA" w:rsidRDefault="00047450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R101 795 895</w:t>
            </w:r>
          </w:p>
        </w:tc>
      </w:tr>
    </w:tbl>
    <w:p w:rsidR="00A11241" w:rsidRPr="008B08BA" w:rsidRDefault="00A11241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7450" w:rsidRPr="008B08BA" w:rsidRDefault="00047450" w:rsidP="006E59B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B08BA">
        <w:rPr>
          <w:rFonts w:ascii="Arial" w:hAnsi="Arial" w:cs="Arial"/>
          <w:b/>
          <w:sz w:val="22"/>
          <w:szCs w:val="22"/>
        </w:rPr>
        <w:t>Whether the amounts paid to the three service providers were found to have resulted in irregular expenditure; if not, what is the position in this regard; if so, what total amount was declared and/or disclosed in each case;</w:t>
      </w:r>
    </w:p>
    <w:p w:rsidR="00C8665A" w:rsidRPr="008B08BA" w:rsidRDefault="00C8665A" w:rsidP="006E59B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08BA">
        <w:rPr>
          <w:rFonts w:ascii="Arial" w:hAnsi="Arial" w:cs="Arial"/>
          <w:b/>
          <w:sz w:val="22"/>
          <w:szCs w:val="22"/>
        </w:rPr>
        <w:t>Yes</w:t>
      </w:r>
    </w:p>
    <w:p w:rsidR="00C8665A" w:rsidRPr="008B08BA" w:rsidRDefault="00C8665A" w:rsidP="006E59B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B08BA">
        <w:rPr>
          <w:rFonts w:ascii="Arial" w:hAnsi="Arial" w:cs="Arial"/>
          <w:b/>
          <w:sz w:val="22"/>
          <w:szCs w:val="22"/>
        </w:rPr>
        <w:t>Disclosed Irregular Expenditure Amounts: 2018-2019 to December 2021:</w:t>
      </w:r>
    </w:p>
    <w:tbl>
      <w:tblPr>
        <w:tblStyle w:val="TableGrid"/>
        <w:tblW w:w="0" w:type="auto"/>
        <w:tblInd w:w="108" w:type="dxa"/>
        <w:tblLook w:val="04A0"/>
      </w:tblPr>
      <w:tblGrid>
        <w:gridCol w:w="5257"/>
        <w:gridCol w:w="4632"/>
      </w:tblGrid>
      <w:tr w:rsidR="00C8665A" w:rsidRPr="008B08BA" w:rsidTr="00C8665A">
        <w:tc>
          <w:tcPr>
            <w:tcW w:w="5257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bookmarkStart w:id="2" w:name="_Hlk127867702"/>
            <w:r w:rsidRPr="008B08BA">
              <w:rPr>
                <w:rFonts w:ascii="Arial" w:eastAsiaTheme="minorHAnsi" w:hAnsi="Arial" w:cs="Arial"/>
                <w:b/>
                <w:sz w:val="22"/>
                <w:szCs w:val="22"/>
              </w:rPr>
              <w:t>Service Provider</w:t>
            </w:r>
          </w:p>
        </w:tc>
        <w:tc>
          <w:tcPr>
            <w:tcW w:w="4632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/>
                <w:sz w:val="22"/>
                <w:szCs w:val="22"/>
              </w:rPr>
              <w:t>Amount inclusive of VAT</w:t>
            </w:r>
          </w:p>
        </w:tc>
      </w:tr>
      <w:tr w:rsidR="00C8665A" w:rsidRPr="008B08BA" w:rsidTr="00C8665A">
        <w:tc>
          <w:tcPr>
            <w:tcW w:w="5257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Sihlesive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32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R73 434 659</w:t>
            </w:r>
          </w:p>
        </w:tc>
      </w:tr>
      <w:tr w:rsidR="00C8665A" w:rsidRPr="008B08BA" w:rsidTr="00C8665A">
        <w:tc>
          <w:tcPr>
            <w:tcW w:w="5257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Rally Business Consulting</w:t>
            </w:r>
          </w:p>
        </w:tc>
        <w:tc>
          <w:tcPr>
            <w:tcW w:w="4632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R76 294 287</w:t>
            </w:r>
          </w:p>
        </w:tc>
      </w:tr>
      <w:tr w:rsidR="00C8665A" w:rsidRPr="008B08BA" w:rsidTr="00C8665A">
        <w:tc>
          <w:tcPr>
            <w:tcW w:w="5257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Siyakhula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Forestry Contractors JV </w:t>
            </w:r>
            <w:proofErr w:type="spellStart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Zumda</w:t>
            </w:r>
            <w:proofErr w:type="spellEnd"/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Trading</w:t>
            </w:r>
          </w:p>
        </w:tc>
        <w:tc>
          <w:tcPr>
            <w:tcW w:w="4632" w:type="dxa"/>
          </w:tcPr>
          <w:p w:rsidR="00C8665A" w:rsidRPr="008B08BA" w:rsidRDefault="00C8665A" w:rsidP="006E59BE">
            <w:pPr>
              <w:pStyle w:val="ListParagraph"/>
              <w:spacing w:line="360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08BA">
              <w:rPr>
                <w:rFonts w:ascii="Arial" w:eastAsiaTheme="minorHAnsi" w:hAnsi="Arial" w:cs="Arial"/>
                <w:bCs/>
                <w:sz w:val="22"/>
                <w:szCs w:val="22"/>
              </w:rPr>
              <w:t>R101 795 895</w:t>
            </w:r>
          </w:p>
        </w:tc>
      </w:tr>
      <w:bookmarkEnd w:id="2"/>
    </w:tbl>
    <w:p w:rsidR="00C8665A" w:rsidRPr="008B08BA" w:rsidRDefault="00C8665A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1241" w:rsidRPr="008B08BA" w:rsidRDefault="006E59BE" w:rsidP="006E59B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8665A" w:rsidRPr="008B08BA">
        <w:rPr>
          <w:rFonts w:ascii="Arial" w:hAnsi="Arial" w:cs="Arial"/>
          <w:b/>
          <w:sz w:val="22"/>
          <w:szCs w:val="22"/>
        </w:rPr>
        <w:t>Whether any investigations were conducted to identify employees responsible for irregular expenditure; if not, why not; if so, what total number of times were the investigations conducted;</w:t>
      </w:r>
    </w:p>
    <w:p w:rsidR="00C8665A" w:rsidRPr="008B08BA" w:rsidRDefault="00C8665A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665A" w:rsidRPr="008B08BA" w:rsidRDefault="00C8665A" w:rsidP="006E59B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08BA">
        <w:rPr>
          <w:rFonts w:ascii="Arial" w:hAnsi="Arial" w:cs="Arial"/>
          <w:bCs/>
          <w:sz w:val="22"/>
          <w:szCs w:val="22"/>
        </w:rPr>
        <w:t>SAFCOL carried out and finalized an investigation in accordance with the prevailing irregular expenditure framework, in relation to the financial years 2015-16 up to and including 2021-22.</w:t>
      </w:r>
    </w:p>
    <w:p w:rsidR="00C8665A" w:rsidRPr="008B08BA" w:rsidRDefault="006E59BE" w:rsidP="006E59B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8665A" w:rsidRPr="008B08BA">
        <w:rPr>
          <w:rFonts w:ascii="Arial" w:hAnsi="Arial" w:cs="Arial"/>
          <w:b/>
          <w:sz w:val="22"/>
          <w:szCs w:val="22"/>
        </w:rPr>
        <w:t>Whether investigations were conducted in-house or outsourced; if outsourced, what total amount was paid in each case since the 2018-19 financial year;</w:t>
      </w:r>
    </w:p>
    <w:p w:rsidR="00C8665A" w:rsidRPr="008B08BA" w:rsidRDefault="00C8665A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8665A" w:rsidRDefault="00C8665A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B08BA">
        <w:rPr>
          <w:rFonts w:ascii="Arial" w:hAnsi="Arial" w:cs="Arial"/>
          <w:bCs/>
          <w:sz w:val="22"/>
          <w:szCs w:val="22"/>
        </w:rPr>
        <w:t>The investigation was outsourced to be carried out by an external service provider at a cost of R344, 850 inclusive of VAT.</w:t>
      </w:r>
    </w:p>
    <w:p w:rsidR="00CF4D92" w:rsidRPr="008B08BA" w:rsidRDefault="00CF4D92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C8665A" w:rsidRPr="008B08BA" w:rsidRDefault="006E59BE" w:rsidP="0032436D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8665A" w:rsidRPr="008B08BA">
        <w:rPr>
          <w:rFonts w:ascii="Arial" w:hAnsi="Arial" w:cs="Arial"/>
          <w:b/>
          <w:sz w:val="22"/>
          <w:szCs w:val="22"/>
        </w:rPr>
        <w:t>Whether any members of the board and/executive were held accountable for irregular expenditure; if not, what is the position in this regard; if so, (a) what are the names of such members and (b) will furnish Mr S Tambo with the investigation report with its recommendations?</w:t>
      </w:r>
    </w:p>
    <w:p w:rsidR="00C8665A" w:rsidRPr="008B08BA" w:rsidRDefault="00C8665A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8665A" w:rsidRDefault="0048600E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B08BA">
        <w:rPr>
          <w:rFonts w:ascii="Arial" w:hAnsi="Arial" w:cs="Arial"/>
          <w:bCs/>
          <w:sz w:val="22"/>
          <w:szCs w:val="22"/>
        </w:rPr>
        <w:t xml:space="preserve">The company is currently in the process of implementing consequence management based on the external service provider’s report in preparation for submission for </w:t>
      </w:r>
      <w:proofErr w:type="spellStart"/>
      <w:r w:rsidRPr="008B08BA">
        <w:rPr>
          <w:rFonts w:ascii="Arial" w:hAnsi="Arial" w:cs="Arial"/>
          <w:bCs/>
          <w:sz w:val="22"/>
          <w:szCs w:val="22"/>
        </w:rPr>
        <w:t>condonation</w:t>
      </w:r>
      <w:proofErr w:type="spellEnd"/>
      <w:r w:rsidRPr="008B08BA">
        <w:rPr>
          <w:rFonts w:ascii="Arial" w:hAnsi="Arial" w:cs="Arial"/>
          <w:bCs/>
          <w:sz w:val="22"/>
          <w:szCs w:val="22"/>
        </w:rPr>
        <w:t xml:space="preserve"> where applicable. None of the members of the Board and/or Executive were implicated in the irregular expenditure report.</w:t>
      </w:r>
    </w:p>
    <w:p w:rsidR="00CF4D92" w:rsidRDefault="00CF4D92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29345220"/>
    </w:p>
    <w:p w:rsidR="00A11241" w:rsidRDefault="006E59BE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SAA </w:t>
      </w:r>
    </w:p>
    <w:p w:rsidR="006E59BE" w:rsidRPr="008B08BA" w:rsidRDefault="006E59BE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3A0F" w:rsidRDefault="006E59BE" w:rsidP="006E59BE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South African Airways (SAA) have no record that the airline had any business relations with the three service providers mention, namely, </w:t>
      </w:r>
      <w:proofErr w:type="spellStart"/>
      <w:r>
        <w:rPr>
          <w:rFonts w:ascii="Arial" w:hAnsi="Arial" w:cs="Arial"/>
          <w:bCs/>
        </w:rPr>
        <w:t>Sihlesive</w:t>
      </w:r>
      <w:proofErr w:type="spellEnd"/>
      <w:r>
        <w:rPr>
          <w:rFonts w:ascii="Arial" w:hAnsi="Arial" w:cs="Arial"/>
          <w:bCs/>
        </w:rPr>
        <w:t xml:space="preserve"> Trading, Rally Business Consulting and </w:t>
      </w:r>
      <w:proofErr w:type="spellStart"/>
      <w:r>
        <w:rPr>
          <w:rFonts w:ascii="Arial" w:hAnsi="Arial" w:cs="Arial"/>
          <w:bCs/>
        </w:rPr>
        <w:t>Siyakhula</w:t>
      </w:r>
      <w:proofErr w:type="spellEnd"/>
      <w:r>
        <w:rPr>
          <w:rFonts w:ascii="Arial" w:hAnsi="Arial" w:cs="Arial"/>
          <w:bCs/>
        </w:rPr>
        <w:t xml:space="preserve"> Forestry Contractors JV </w:t>
      </w:r>
      <w:proofErr w:type="spellStart"/>
      <w:r>
        <w:rPr>
          <w:rFonts w:ascii="Arial" w:hAnsi="Arial" w:cs="Arial"/>
          <w:bCs/>
        </w:rPr>
        <w:t>Zumda</w:t>
      </w:r>
      <w:proofErr w:type="spellEnd"/>
      <w:r>
        <w:rPr>
          <w:rFonts w:ascii="Arial" w:hAnsi="Arial" w:cs="Arial"/>
          <w:bCs/>
        </w:rPr>
        <w:t xml:space="preserve"> Trading. </w:t>
      </w:r>
    </w:p>
    <w:p w:rsidR="006E59BE" w:rsidRPr="006E59BE" w:rsidRDefault="006E59BE" w:rsidP="0032436D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6E59BE">
        <w:rPr>
          <w:rFonts w:ascii="Arial" w:hAnsi="Arial" w:cs="Arial"/>
          <w:bCs/>
        </w:rPr>
        <w:t>– (5) All subsequent questions are not applicable.</w:t>
      </w:r>
    </w:p>
    <w:bookmarkEnd w:id="3"/>
    <w:p w:rsidR="006E59BE" w:rsidRPr="006E59BE" w:rsidRDefault="006E59BE" w:rsidP="006E59BE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:rsidR="006E59BE" w:rsidRDefault="006E59BE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Transnet  </w:t>
      </w:r>
    </w:p>
    <w:p w:rsidR="006E59BE" w:rsidRPr="008B08BA" w:rsidRDefault="006E59BE" w:rsidP="006E59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59BE" w:rsidRPr="00DD176C" w:rsidRDefault="006E59BE" w:rsidP="00DD176C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DD176C">
        <w:rPr>
          <w:rFonts w:ascii="Arial" w:hAnsi="Arial" w:cs="Arial"/>
          <w:bCs/>
        </w:rPr>
        <w:t xml:space="preserve">The identified business entities are not registered on Transnet’s database. Transnet cannot trace any procurement of services from the identified companies. </w:t>
      </w:r>
    </w:p>
    <w:p w:rsidR="006E59BE" w:rsidRPr="00DD176C" w:rsidRDefault="006E59BE" w:rsidP="00DD176C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</w:rPr>
      </w:pPr>
      <w:r w:rsidRPr="00DD176C">
        <w:rPr>
          <w:rFonts w:ascii="Arial" w:hAnsi="Arial" w:cs="Arial"/>
          <w:bCs/>
        </w:rPr>
        <w:t>– (5) All subsequent questions are not applicable.</w:t>
      </w:r>
    </w:p>
    <w:p w:rsidR="006E59BE" w:rsidRPr="006E59BE" w:rsidRDefault="006E59BE" w:rsidP="006E59BE">
      <w:pPr>
        <w:jc w:val="both"/>
        <w:rPr>
          <w:rFonts w:ascii="Arial" w:hAnsi="Arial" w:cs="Arial"/>
          <w:bCs/>
        </w:rPr>
      </w:pPr>
    </w:p>
    <w:p w:rsidR="00E575C0" w:rsidRPr="00522234" w:rsidRDefault="00C03A0F" w:rsidP="006E59BE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eastAsia="Arial Unicode MS" w:hAnsi="Arial" w:cs="Arial"/>
          <w:bCs/>
          <w:lang w:eastAsia="en-PH"/>
        </w:rPr>
        <w:t xml:space="preserve">  </w:t>
      </w:r>
      <w:r w:rsidR="00E575C0" w:rsidRPr="00522234">
        <w:rPr>
          <w:rFonts w:ascii="Arial" w:hAnsi="Arial" w:cs="Arial"/>
          <w:b/>
          <w:bCs/>
          <w:lang w:val="en-ZA"/>
        </w:rPr>
        <w:t xml:space="preserve">Remarks:  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</w:t>
      </w:r>
      <w:r w:rsidR="00DD176C">
        <w:rPr>
          <w:rFonts w:ascii="Arial" w:hAnsi="Arial" w:cs="Arial"/>
          <w:b/>
          <w:bCs/>
          <w:lang w:val="en-ZA"/>
        </w:rPr>
        <w:t xml:space="preserve">        </w:t>
      </w:r>
      <w:r w:rsidR="00DA4619">
        <w:rPr>
          <w:rFonts w:ascii="Arial" w:hAnsi="Arial" w:cs="Arial"/>
          <w:b/>
          <w:bCs/>
          <w:lang w:val="en-ZA"/>
        </w:rPr>
        <w:t xml:space="preserve">Reply: </w:t>
      </w:r>
      <w:r w:rsidR="00E575C0" w:rsidRPr="00220476">
        <w:rPr>
          <w:rFonts w:ascii="Arial" w:hAnsi="Arial" w:cs="Arial"/>
          <w:b/>
          <w:bCs/>
          <w:highlight w:val="yellow"/>
          <w:lang w:val="en-ZA"/>
        </w:rPr>
        <w:t>Approved</w:t>
      </w:r>
      <w:r w:rsidR="00E575C0"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8F1057" w:rsidRDefault="008F1057" w:rsidP="006E59BE">
      <w:pPr>
        <w:jc w:val="both"/>
        <w:rPr>
          <w:rFonts w:ascii="Arial" w:hAnsi="Arial" w:cs="Arial"/>
          <w:b/>
          <w:bCs/>
          <w:lang w:val="en-ZA"/>
        </w:rPr>
      </w:pPr>
    </w:p>
    <w:p w:rsidR="00192EAB" w:rsidRDefault="00192EAB" w:rsidP="006E59BE">
      <w:pPr>
        <w:jc w:val="both"/>
        <w:rPr>
          <w:rFonts w:ascii="Arial" w:hAnsi="Arial" w:cs="Arial"/>
          <w:b/>
          <w:bCs/>
          <w:lang w:val="en-ZA"/>
        </w:rPr>
      </w:pPr>
    </w:p>
    <w:p w:rsidR="00483D87" w:rsidRDefault="00483D87" w:rsidP="006E59BE">
      <w:pPr>
        <w:jc w:val="both"/>
        <w:rPr>
          <w:rFonts w:ascii="Arial" w:hAnsi="Arial" w:cs="Arial"/>
          <w:b/>
          <w:bCs/>
          <w:lang w:val="en-ZA"/>
        </w:rPr>
      </w:pPr>
    </w:p>
    <w:p w:rsidR="00483D87" w:rsidRPr="00522234" w:rsidRDefault="00483D87" w:rsidP="006E59BE">
      <w:pPr>
        <w:jc w:val="both"/>
        <w:rPr>
          <w:rFonts w:ascii="Arial" w:hAnsi="Arial" w:cs="Arial"/>
          <w:b/>
          <w:bCs/>
          <w:lang w:val="en-ZA"/>
        </w:rPr>
      </w:pPr>
    </w:p>
    <w:p w:rsidR="00E575C0" w:rsidRPr="00522234" w:rsidRDefault="007F0BBB" w:rsidP="006E59BE">
      <w:pPr>
        <w:contextualSpacing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 xml:space="preserve"> </w:t>
      </w:r>
      <w:r>
        <w:rPr>
          <w:rFonts w:ascii="Arial" w:hAnsi="Arial" w:cs="Arial"/>
          <w:b/>
          <w:bCs/>
          <w:lang w:val="en-ZA"/>
        </w:rPr>
        <w:tab/>
        <w:t xml:space="preserve">        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C03A0F">
        <w:rPr>
          <w:rFonts w:ascii="Arial" w:hAnsi="Arial" w:cs="Arial"/>
          <w:b/>
          <w:bCs/>
          <w:lang w:val="en-ZA"/>
        </w:rPr>
        <w:tab/>
      </w:r>
      <w:r w:rsidR="0048600E">
        <w:rPr>
          <w:rFonts w:ascii="Arial" w:hAnsi="Arial" w:cs="Arial"/>
          <w:b/>
          <w:bCs/>
          <w:lang w:val="en-ZA"/>
        </w:rPr>
        <w:t xml:space="preserve"> </w:t>
      </w:r>
      <w:r w:rsidR="00DA4619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DA4619">
        <w:rPr>
          <w:rFonts w:ascii="Arial" w:hAnsi="Arial" w:cs="Arial"/>
          <w:b/>
          <w:bCs/>
          <w:lang w:val="en-ZA"/>
        </w:rPr>
        <w:t>J</w:t>
      </w:r>
      <w:r w:rsidR="00E575C0">
        <w:rPr>
          <w:rFonts w:ascii="Arial" w:hAnsi="Arial" w:cs="Arial"/>
          <w:b/>
          <w:bCs/>
          <w:lang w:val="en-ZA"/>
        </w:rPr>
        <w:t xml:space="preserve">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7F0BBB" w:rsidP="006E59BE">
      <w:pPr>
        <w:contextualSpacing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</w:t>
      </w:r>
      <w:r w:rsidR="00DA4619">
        <w:rPr>
          <w:rFonts w:ascii="Arial" w:hAnsi="Arial" w:cs="Arial"/>
          <w:b/>
          <w:bCs/>
          <w:lang w:val="en-ZA"/>
        </w:rPr>
        <w:tab/>
      </w:r>
      <w:r w:rsidR="0032436D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9F4B23" w:rsidRDefault="00E575C0" w:rsidP="006E59BE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48600E">
        <w:rPr>
          <w:rFonts w:ascii="Arial" w:hAnsi="Arial" w:cs="Arial"/>
          <w:b/>
          <w:bCs/>
          <w:lang w:val="en-ZA"/>
        </w:rPr>
        <w:t xml:space="preserve">             </w:t>
      </w:r>
      <w:r w:rsidR="00DA4619">
        <w:rPr>
          <w:rFonts w:ascii="Arial" w:hAnsi="Arial" w:cs="Arial"/>
          <w:b/>
          <w:bCs/>
          <w:lang w:val="en-ZA"/>
        </w:rPr>
        <w:tab/>
      </w:r>
      <w:r w:rsidR="0032436D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sectPr w:rsidR="009F4B23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F5" w:rsidRDefault="00FB7BF5" w:rsidP="006A43DE">
      <w:r>
        <w:separator/>
      </w:r>
    </w:p>
  </w:endnote>
  <w:endnote w:type="continuationSeparator" w:id="0">
    <w:p w:rsidR="00FB7BF5" w:rsidRDefault="00FB7BF5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F5" w:rsidRDefault="00FB7BF5" w:rsidP="006A43DE">
      <w:r>
        <w:separator/>
      </w:r>
    </w:p>
  </w:footnote>
  <w:footnote w:type="continuationSeparator" w:id="0">
    <w:p w:rsidR="00FB7BF5" w:rsidRDefault="00FB7BF5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FD6"/>
    <w:multiLevelType w:val="hybridMultilevel"/>
    <w:tmpl w:val="FDE4AAE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17A"/>
    <w:multiLevelType w:val="hybridMultilevel"/>
    <w:tmpl w:val="58CC0E18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86D"/>
    <w:multiLevelType w:val="hybridMultilevel"/>
    <w:tmpl w:val="9DD0D8D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5CC4"/>
    <w:multiLevelType w:val="hybridMultilevel"/>
    <w:tmpl w:val="A2F8A792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55CB"/>
    <w:multiLevelType w:val="hybridMultilevel"/>
    <w:tmpl w:val="3204219E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7F2E"/>
    <w:multiLevelType w:val="hybridMultilevel"/>
    <w:tmpl w:val="E5D6C5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612"/>
    <w:multiLevelType w:val="hybridMultilevel"/>
    <w:tmpl w:val="7F509092"/>
    <w:lvl w:ilvl="0" w:tplc="2B6E5E30">
      <w:start w:val="1"/>
      <w:numFmt w:val="decimal"/>
      <w:lvlText w:val="(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92B90"/>
    <w:multiLevelType w:val="hybridMultilevel"/>
    <w:tmpl w:val="6C603224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177F1"/>
    <w:multiLevelType w:val="hybridMultilevel"/>
    <w:tmpl w:val="6C78B386"/>
    <w:lvl w:ilvl="0" w:tplc="BC68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32BC0"/>
    <w:multiLevelType w:val="hybridMultilevel"/>
    <w:tmpl w:val="9BFA6B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057C"/>
    <w:multiLevelType w:val="hybridMultilevel"/>
    <w:tmpl w:val="A61E5D7E"/>
    <w:lvl w:ilvl="0" w:tplc="0D10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1D38"/>
    <w:multiLevelType w:val="hybridMultilevel"/>
    <w:tmpl w:val="320421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E33"/>
    <w:multiLevelType w:val="hybridMultilevel"/>
    <w:tmpl w:val="734A7EB4"/>
    <w:lvl w:ilvl="0" w:tplc="BE9E4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B794C"/>
    <w:multiLevelType w:val="hybridMultilevel"/>
    <w:tmpl w:val="4ECC4474"/>
    <w:lvl w:ilvl="0" w:tplc="10B2D4C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7CD7"/>
    <w:rsid w:val="00047450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E1861"/>
    <w:rsid w:val="001F33B3"/>
    <w:rsid w:val="00203FBE"/>
    <w:rsid w:val="00204352"/>
    <w:rsid w:val="00210533"/>
    <w:rsid w:val="00220476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0387"/>
    <w:rsid w:val="002F1297"/>
    <w:rsid w:val="002F3790"/>
    <w:rsid w:val="002F5F24"/>
    <w:rsid w:val="003042F7"/>
    <w:rsid w:val="00307D62"/>
    <w:rsid w:val="0032436D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07E5"/>
    <w:rsid w:val="004653BA"/>
    <w:rsid w:val="0047791E"/>
    <w:rsid w:val="00483CAE"/>
    <w:rsid w:val="00483D87"/>
    <w:rsid w:val="0048600E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23EA1"/>
    <w:rsid w:val="00533F1A"/>
    <w:rsid w:val="00534DDF"/>
    <w:rsid w:val="0054518F"/>
    <w:rsid w:val="00563DAA"/>
    <w:rsid w:val="005703CE"/>
    <w:rsid w:val="0057420D"/>
    <w:rsid w:val="005843D2"/>
    <w:rsid w:val="005B2A1A"/>
    <w:rsid w:val="005C2884"/>
    <w:rsid w:val="005C28EA"/>
    <w:rsid w:val="005C408E"/>
    <w:rsid w:val="005D1885"/>
    <w:rsid w:val="005D4F0C"/>
    <w:rsid w:val="00601570"/>
    <w:rsid w:val="00603B95"/>
    <w:rsid w:val="00607F78"/>
    <w:rsid w:val="00612054"/>
    <w:rsid w:val="00612C27"/>
    <w:rsid w:val="00614DA3"/>
    <w:rsid w:val="00624B6A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E59BE"/>
    <w:rsid w:val="006F5FEE"/>
    <w:rsid w:val="00711E1F"/>
    <w:rsid w:val="007125C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3B34"/>
    <w:rsid w:val="00780828"/>
    <w:rsid w:val="00782018"/>
    <w:rsid w:val="007840BD"/>
    <w:rsid w:val="00784B7D"/>
    <w:rsid w:val="00793BF5"/>
    <w:rsid w:val="007A0FE4"/>
    <w:rsid w:val="007A77D7"/>
    <w:rsid w:val="007B1C58"/>
    <w:rsid w:val="007B2942"/>
    <w:rsid w:val="007C424F"/>
    <w:rsid w:val="007C43A8"/>
    <w:rsid w:val="007C48D9"/>
    <w:rsid w:val="007E6189"/>
    <w:rsid w:val="007F0BBB"/>
    <w:rsid w:val="007F26A6"/>
    <w:rsid w:val="007F2BDB"/>
    <w:rsid w:val="00817F1E"/>
    <w:rsid w:val="00821E1E"/>
    <w:rsid w:val="00824E8E"/>
    <w:rsid w:val="00837E6B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08BA"/>
    <w:rsid w:val="008B50CB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0F94"/>
    <w:rsid w:val="0090214F"/>
    <w:rsid w:val="0090365F"/>
    <w:rsid w:val="00903F84"/>
    <w:rsid w:val="00905B7B"/>
    <w:rsid w:val="00906ED3"/>
    <w:rsid w:val="009144BA"/>
    <w:rsid w:val="00916B81"/>
    <w:rsid w:val="009200EB"/>
    <w:rsid w:val="00920EC4"/>
    <w:rsid w:val="00921240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6C64"/>
    <w:rsid w:val="009F4B23"/>
    <w:rsid w:val="00A00E8D"/>
    <w:rsid w:val="00A020D1"/>
    <w:rsid w:val="00A11241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77EA7"/>
    <w:rsid w:val="00A83BB5"/>
    <w:rsid w:val="00A9377A"/>
    <w:rsid w:val="00A955B8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040F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140"/>
    <w:rsid w:val="00BF2510"/>
    <w:rsid w:val="00C037D2"/>
    <w:rsid w:val="00C03A0F"/>
    <w:rsid w:val="00C11460"/>
    <w:rsid w:val="00C12A29"/>
    <w:rsid w:val="00C154E7"/>
    <w:rsid w:val="00C200BC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85544"/>
    <w:rsid w:val="00C8665A"/>
    <w:rsid w:val="00C92674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CF2F1F"/>
    <w:rsid w:val="00CF4D92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131A"/>
    <w:rsid w:val="00D7252A"/>
    <w:rsid w:val="00D7334D"/>
    <w:rsid w:val="00D80F16"/>
    <w:rsid w:val="00D81315"/>
    <w:rsid w:val="00D959E2"/>
    <w:rsid w:val="00DA251F"/>
    <w:rsid w:val="00DA4619"/>
    <w:rsid w:val="00DB1776"/>
    <w:rsid w:val="00DB6521"/>
    <w:rsid w:val="00DD176C"/>
    <w:rsid w:val="00DD3D30"/>
    <w:rsid w:val="00DD5878"/>
    <w:rsid w:val="00DE22B4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0766"/>
    <w:rsid w:val="00FB5183"/>
    <w:rsid w:val="00FB525C"/>
    <w:rsid w:val="00FB7BF5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F1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F2F1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F2F1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F2F1F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F2F1F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B40-9FBD-4FBC-B914-04654E6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5380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2023-03-10T11:50:00Z</cp:lastPrinted>
  <dcterms:created xsi:type="dcterms:W3CDTF">2023-03-27T07:44:00Z</dcterms:created>
  <dcterms:modified xsi:type="dcterms:W3CDTF">2023-03-27T07:44:00Z</dcterms:modified>
</cp:coreProperties>
</file>