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Pr="00983460" w:rsidRDefault="009B7D7C" w:rsidP="009B7D7C">
      <w:pPr>
        <w:spacing w:after="0" w:line="360" w:lineRule="auto"/>
        <w:ind w:right="851"/>
        <w:contextualSpacing/>
        <w:jc w:val="center"/>
        <w:outlineLvl w:val="0"/>
        <w:rPr>
          <w:rFonts w:ascii="Arial" w:hAnsi="Arial" w:cs="Arial"/>
          <w:b/>
          <w:sz w:val="24"/>
          <w:szCs w:val="24"/>
        </w:rPr>
      </w:pPr>
    </w:p>
    <w:p w:rsidR="00D359A3" w:rsidRPr="00983460" w:rsidRDefault="00D359A3" w:rsidP="009B7D7C">
      <w:pPr>
        <w:spacing w:after="0" w:line="360" w:lineRule="auto"/>
        <w:ind w:right="-46"/>
        <w:contextualSpacing/>
        <w:jc w:val="center"/>
        <w:outlineLvl w:val="0"/>
        <w:rPr>
          <w:rFonts w:ascii="Arial" w:hAnsi="Arial" w:cs="Arial"/>
          <w:b/>
          <w:sz w:val="24"/>
          <w:szCs w:val="24"/>
        </w:rPr>
      </w:pPr>
      <w:r w:rsidRPr="00983460">
        <w:rPr>
          <w:rFonts w:ascii="Times New Roman" w:eastAsia="Times New Roman" w:hAnsi="Times New Roman" w:cs="Times New Roman"/>
          <w:noProof/>
          <w:sz w:val="20"/>
          <w:szCs w:val="20"/>
          <w:lang w:eastAsia="en-ZA"/>
        </w:rPr>
        <w:drawing>
          <wp:inline distT="0" distB="0" distL="0" distR="0">
            <wp:extent cx="1964690" cy="1534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690" cy="1534795"/>
                    </a:xfrm>
                    <a:prstGeom prst="rect">
                      <a:avLst/>
                    </a:prstGeom>
                    <a:noFill/>
                    <a:ln>
                      <a:noFill/>
                    </a:ln>
                  </pic:spPr>
                </pic:pic>
              </a:graphicData>
            </a:graphic>
          </wp:inline>
        </w:drawing>
      </w:r>
    </w:p>
    <w:p w:rsidR="000F6851" w:rsidRPr="00983460" w:rsidRDefault="000F6851" w:rsidP="009B7D7C">
      <w:pPr>
        <w:spacing w:after="0" w:line="360" w:lineRule="auto"/>
        <w:ind w:right="-46"/>
        <w:contextualSpacing/>
        <w:jc w:val="center"/>
        <w:outlineLvl w:val="0"/>
        <w:rPr>
          <w:rFonts w:ascii="Arial" w:hAnsi="Arial" w:cs="Arial"/>
          <w:b/>
          <w:sz w:val="24"/>
          <w:szCs w:val="24"/>
        </w:rPr>
      </w:pPr>
      <w:r w:rsidRPr="00983460">
        <w:rPr>
          <w:rFonts w:ascii="Arial" w:hAnsi="Arial" w:cs="Arial"/>
          <w:b/>
          <w:sz w:val="24"/>
          <w:szCs w:val="24"/>
        </w:rPr>
        <w:t>PARLIAMENT OF THE REPUBLIC OF SOUTH AFRICA</w:t>
      </w:r>
    </w:p>
    <w:p w:rsidR="000F6851" w:rsidRPr="00983460" w:rsidRDefault="000F6851" w:rsidP="009B7D7C">
      <w:pPr>
        <w:spacing w:after="0" w:line="360" w:lineRule="auto"/>
        <w:ind w:right="-46"/>
        <w:contextualSpacing/>
        <w:jc w:val="center"/>
        <w:outlineLvl w:val="0"/>
        <w:rPr>
          <w:rFonts w:ascii="Arial" w:hAnsi="Arial" w:cs="Arial"/>
          <w:b/>
          <w:sz w:val="24"/>
          <w:szCs w:val="24"/>
        </w:rPr>
      </w:pPr>
      <w:r w:rsidRPr="00983460">
        <w:rPr>
          <w:rFonts w:ascii="Arial" w:hAnsi="Arial" w:cs="Arial"/>
          <w:b/>
          <w:sz w:val="24"/>
          <w:szCs w:val="24"/>
        </w:rPr>
        <w:t>NATIONAL ASSEMBLY</w:t>
      </w:r>
    </w:p>
    <w:p w:rsidR="000F6851" w:rsidRPr="00983460" w:rsidRDefault="000F6851" w:rsidP="009B7D7C">
      <w:pPr>
        <w:spacing w:after="0" w:line="360" w:lineRule="auto"/>
        <w:ind w:right="-46"/>
        <w:contextualSpacing/>
        <w:jc w:val="center"/>
        <w:outlineLvl w:val="0"/>
        <w:rPr>
          <w:rFonts w:ascii="Arial" w:hAnsi="Arial" w:cs="Arial"/>
          <w:b/>
          <w:sz w:val="24"/>
          <w:szCs w:val="24"/>
        </w:rPr>
      </w:pPr>
      <w:r w:rsidRPr="00983460">
        <w:rPr>
          <w:rFonts w:ascii="Arial" w:hAnsi="Arial" w:cs="Arial"/>
          <w:b/>
          <w:sz w:val="24"/>
          <w:szCs w:val="24"/>
        </w:rPr>
        <w:t>WRITTEN REPLY</w:t>
      </w:r>
    </w:p>
    <w:p w:rsidR="000F6851" w:rsidRPr="00983460" w:rsidRDefault="000F6851" w:rsidP="000F6851">
      <w:pPr>
        <w:ind w:right="849"/>
        <w:contextualSpacing/>
        <w:outlineLvl w:val="0"/>
        <w:rPr>
          <w:rFonts w:ascii="Arial" w:hAnsi="Arial" w:cs="Arial"/>
          <w:b/>
          <w:sz w:val="24"/>
          <w:szCs w:val="24"/>
        </w:rPr>
      </w:pPr>
    </w:p>
    <w:p w:rsidR="009B7D7C" w:rsidRPr="00983460" w:rsidRDefault="00905006" w:rsidP="00F00A91">
      <w:pPr>
        <w:spacing w:after="0" w:line="360" w:lineRule="auto"/>
        <w:ind w:right="849"/>
        <w:contextualSpacing/>
        <w:outlineLvl w:val="0"/>
        <w:rPr>
          <w:rFonts w:ascii="Arial" w:hAnsi="Arial" w:cs="Arial"/>
          <w:b/>
          <w:sz w:val="24"/>
          <w:szCs w:val="24"/>
        </w:rPr>
      </w:pPr>
      <w:r w:rsidRPr="00983460">
        <w:rPr>
          <w:rFonts w:ascii="Arial" w:hAnsi="Arial" w:cs="Arial"/>
          <w:b/>
          <w:sz w:val="24"/>
          <w:szCs w:val="24"/>
        </w:rPr>
        <w:t>QUESTION:</w:t>
      </w:r>
      <w:r w:rsidR="00840908" w:rsidRPr="00983460">
        <w:rPr>
          <w:rFonts w:ascii="Arial" w:hAnsi="Arial" w:cs="Arial"/>
          <w:b/>
          <w:sz w:val="24"/>
          <w:szCs w:val="24"/>
        </w:rPr>
        <w:t xml:space="preserve"> </w:t>
      </w:r>
      <w:r w:rsidR="004A492D" w:rsidRPr="004335A0">
        <w:rPr>
          <w:rFonts w:ascii="Arial" w:hAnsi="Arial"/>
          <w:b/>
          <w:sz w:val="24"/>
        </w:rPr>
        <w:t>3153</w:t>
      </w:r>
    </w:p>
    <w:p w:rsidR="009B7D7C" w:rsidRPr="004335A0" w:rsidRDefault="009B7D7C" w:rsidP="00F00A91">
      <w:pPr>
        <w:spacing w:after="0" w:line="360" w:lineRule="auto"/>
        <w:ind w:right="849"/>
        <w:contextualSpacing/>
        <w:outlineLvl w:val="0"/>
        <w:rPr>
          <w:rFonts w:ascii="Arial" w:hAnsi="Arial"/>
          <w:b/>
          <w:sz w:val="24"/>
        </w:rPr>
      </w:pPr>
      <w:r w:rsidRPr="004335A0">
        <w:rPr>
          <w:rFonts w:ascii="Arial" w:hAnsi="Arial"/>
          <w:b/>
          <w:sz w:val="24"/>
        </w:rPr>
        <w:t>DATE OF PUBLICATION:</w:t>
      </w:r>
      <w:r w:rsidR="00487C40" w:rsidRPr="004335A0">
        <w:rPr>
          <w:rFonts w:ascii="Arial" w:hAnsi="Arial"/>
          <w:b/>
          <w:sz w:val="24"/>
        </w:rPr>
        <w:t xml:space="preserve"> </w:t>
      </w:r>
      <w:r w:rsidR="00D359A3" w:rsidRPr="004335A0">
        <w:rPr>
          <w:rFonts w:ascii="Arial" w:hAnsi="Arial"/>
          <w:b/>
          <w:sz w:val="24"/>
        </w:rPr>
        <w:t>16 SEPTEMBER 2022</w:t>
      </w:r>
    </w:p>
    <w:p w:rsidR="00507EAD" w:rsidRPr="004335A0" w:rsidRDefault="009B7D7C" w:rsidP="007166F3">
      <w:pPr>
        <w:tabs>
          <w:tab w:val="left" w:pos="7020"/>
        </w:tabs>
        <w:spacing w:after="0" w:line="360" w:lineRule="auto"/>
        <w:rPr>
          <w:rFonts w:ascii="Arial" w:hAnsi="Arial"/>
          <w:b/>
          <w:sz w:val="24"/>
        </w:rPr>
      </w:pPr>
      <w:r w:rsidRPr="004335A0">
        <w:rPr>
          <w:rFonts w:ascii="Arial" w:hAnsi="Arial"/>
          <w:b/>
          <w:sz w:val="24"/>
        </w:rPr>
        <w:t xml:space="preserve">QUESTION PAPER NO: </w:t>
      </w:r>
      <w:r w:rsidR="00D359A3" w:rsidRPr="004335A0">
        <w:rPr>
          <w:rFonts w:ascii="Arial" w:hAnsi="Arial"/>
          <w:b/>
          <w:sz w:val="24"/>
        </w:rPr>
        <w:t>33</w:t>
      </w:r>
    </w:p>
    <w:p w:rsidR="004A492D" w:rsidRPr="00983460" w:rsidRDefault="004A492D" w:rsidP="00D359A3">
      <w:pPr>
        <w:spacing w:before="100" w:beforeAutospacing="1" w:after="100" w:afterAutospacing="1"/>
        <w:jc w:val="both"/>
        <w:rPr>
          <w:rFonts w:ascii="Arial" w:hAnsi="Arial" w:cs="Arial"/>
          <w:b/>
          <w:bCs/>
          <w:sz w:val="24"/>
          <w:szCs w:val="24"/>
        </w:rPr>
      </w:pPr>
      <w:r w:rsidRPr="00983460">
        <w:rPr>
          <w:rFonts w:ascii="Arial" w:hAnsi="Arial" w:cs="Arial"/>
          <w:b/>
          <w:bCs/>
          <w:sz w:val="24"/>
          <w:szCs w:val="24"/>
        </w:rPr>
        <w:t xml:space="preserve">Ms T </w:t>
      </w:r>
      <w:proofErr w:type="spellStart"/>
      <w:r w:rsidRPr="00983460">
        <w:rPr>
          <w:rFonts w:ascii="Arial" w:hAnsi="Arial" w:cs="Arial"/>
          <w:b/>
          <w:bCs/>
          <w:sz w:val="24"/>
          <w:szCs w:val="24"/>
        </w:rPr>
        <w:t>Bodlani</w:t>
      </w:r>
      <w:proofErr w:type="spellEnd"/>
      <w:r w:rsidRPr="00983460">
        <w:rPr>
          <w:rFonts w:ascii="Arial" w:hAnsi="Arial" w:cs="Arial"/>
          <w:b/>
          <w:bCs/>
          <w:sz w:val="24"/>
          <w:szCs w:val="24"/>
        </w:rPr>
        <w:t xml:space="preserve"> (DA) to ask the Minister of Communications and Digital Technologies:</w:t>
      </w:r>
    </w:p>
    <w:p w:rsidR="004A492D" w:rsidRPr="00983460" w:rsidRDefault="004A492D">
      <w:pPr>
        <w:pStyle w:val="ListParagraph"/>
        <w:numPr>
          <w:ilvl w:val="0"/>
          <w:numId w:val="2"/>
        </w:numPr>
        <w:spacing w:before="100" w:beforeAutospacing="1" w:after="100" w:afterAutospacing="1"/>
        <w:jc w:val="both"/>
        <w:rPr>
          <w:rFonts w:cs="Arial"/>
          <w:bCs/>
          <w:szCs w:val="24"/>
        </w:rPr>
      </w:pPr>
      <w:r w:rsidRPr="00983460">
        <w:rPr>
          <w:rFonts w:cs="Arial"/>
          <w:bCs/>
          <w:szCs w:val="24"/>
        </w:rPr>
        <w:t>What are the details of the amounts that are still owed to the SA Post Office creditors in the past five financial years;</w:t>
      </w:r>
      <w:r w:rsidRPr="00983460">
        <w:rPr>
          <w:rFonts w:cs="Arial"/>
          <w:bCs/>
          <w:szCs w:val="24"/>
        </w:rPr>
        <w:tab/>
      </w:r>
      <w:r w:rsidRPr="00983460">
        <w:rPr>
          <w:rFonts w:cs="Arial"/>
          <w:bCs/>
          <w:szCs w:val="24"/>
        </w:rPr>
        <w:br/>
      </w:r>
    </w:p>
    <w:p w:rsidR="00D359A3" w:rsidRPr="00983460" w:rsidRDefault="004A492D" w:rsidP="002110CA">
      <w:pPr>
        <w:pStyle w:val="ListParagraph"/>
        <w:numPr>
          <w:ilvl w:val="0"/>
          <w:numId w:val="2"/>
        </w:numPr>
        <w:spacing w:before="100" w:beforeAutospacing="1" w:after="100" w:afterAutospacing="1"/>
        <w:jc w:val="both"/>
        <w:rPr>
          <w:rFonts w:cs="Arial"/>
          <w:bCs/>
          <w:szCs w:val="24"/>
        </w:rPr>
      </w:pPr>
      <w:r w:rsidRPr="00983460">
        <w:rPr>
          <w:rFonts w:cs="Arial"/>
          <w:bCs/>
          <w:szCs w:val="24"/>
        </w:rPr>
        <w:t>Whether the SA Post Office has been dealing with any court actions in the past five financial years; if not, what is the position in this regard; if so, what are the relevant details?</w:t>
      </w:r>
    </w:p>
    <w:p w:rsidR="004A492D" w:rsidRPr="00983460" w:rsidRDefault="004A492D" w:rsidP="000B272A">
      <w:pPr>
        <w:spacing w:before="100" w:beforeAutospacing="1" w:after="100" w:afterAutospacing="1"/>
        <w:jc w:val="right"/>
        <w:rPr>
          <w:rFonts w:ascii="Arial" w:hAnsi="Arial" w:cs="Arial"/>
          <w:b/>
          <w:szCs w:val="24"/>
        </w:rPr>
      </w:pPr>
      <w:r w:rsidRPr="00983460">
        <w:rPr>
          <w:rFonts w:ascii="Arial" w:hAnsi="Arial" w:cs="Arial"/>
          <w:b/>
          <w:bCs/>
          <w:szCs w:val="24"/>
        </w:rPr>
        <w:t xml:space="preserve"> </w:t>
      </w:r>
      <w:r w:rsidR="002110CA" w:rsidRPr="00983460">
        <w:rPr>
          <w:rFonts w:ascii="Arial" w:hAnsi="Arial" w:cs="Arial"/>
          <w:b/>
          <w:bCs/>
          <w:szCs w:val="24"/>
        </w:rPr>
        <w:t>NW3863E</w:t>
      </w:r>
    </w:p>
    <w:p w:rsidR="00646B12" w:rsidRPr="00983460" w:rsidRDefault="00646B12" w:rsidP="00646B12">
      <w:pPr>
        <w:spacing w:before="100" w:beforeAutospacing="1" w:after="100" w:afterAutospacing="1"/>
        <w:jc w:val="both"/>
        <w:rPr>
          <w:rFonts w:ascii="Arial" w:hAnsi="Arial" w:cs="Arial"/>
          <w:b/>
          <w:sz w:val="24"/>
          <w:szCs w:val="24"/>
        </w:rPr>
      </w:pPr>
      <w:r w:rsidRPr="00983460">
        <w:rPr>
          <w:rFonts w:ascii="Arial" w:hAnsi="Arial" w:cs="Arial"/>
          <w:b/>
          <w:bCs/>
          <w:sz w:val="24"/>
          <w:szCs w:val="24"/>
        </w:rPr>
        <w:t>REPLY</w:t>
      </w:r>
    </w:p>
    <w:p w:rsidR="00646B12" w:rsidRPr="00983460" w:rsidRDefault="002110CA" w:rsidP="00D359A3">
      <w:pPr>
        <w:pStyle w:val="ListParagraph"/>
        <w:ind w:left="0"/>
        <w:rPr>
          <w:rFonts w:cs="Arial"/>
          <w:b/>
          <w:szCs w:val="24"/>
        </w:rPr>
      </w:pPr>
      <w:r w:rsidRPr="00983460">
        <w:rPr>
          <w:rFonts w:cs="Arial"/>
          <w:b/>
          <w:szCs w:val="24"/>
        </w:rPr>
        <w:t>I have been informed by SAPO as follows:</w:t>
      </w:r>
    </w:p>
    <w:p w:rsidR="002110CA" w:rsidRPr="00983460" w:rsidRDefault="002110CA" w:rsidP="00D359A3">
      <w:pPr>
        <w:pStyle w:val="ListParagraph"/>
        <w:ind w:left="0"/>
        <w:rPr>
          <w:rFonts w:cs="Arial"/>
          <w:b/>
          <w:szCs w:val="24"/>
        </w:rPr>
      </w:pPr>
    </w:p>
    <w:tbl>
      <w:tblPr>
        <w:tblpPr w:leftFromText="180" w:rightFromText="180" w:vertAnchor="text" w:horzAnchor="margin" w:tblpXSpec="right" w:tblpY="232"/>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993"/>
        <w:gridCol w:w="992"/>
        <w:gridCol w:w="992"/>
        <w:gridCol w:w="992"/>
        <w:gridCol w:w="1249"/>
      </w:tblGrid>
      <w:tr w:rsidR="00646B12" w:rsidRPr="00983460" w:rsidTr="002110CA">
        <w:trPr>
          <w:trHeight w:val="300"/>
        </w:trPr>
        <w:tc>
          <w:tcPr>
            <w:tcW w:w="2830" w:type="dxa"/>
            <w:shd w:val="clear" w:color="auto" w:fill="ED7D31" w:themeFill="accent2"/>
            <w:noWrap/>
            <w:vAlign w:val="bottom"/>
            <w:hideMark/>
          </w:tcPr>
          <w:p w:rsidR="00646B12" w:rsidRPr="00983460" w:rsidRDefault="00646B12" w:rsidP="00D359A3">
            <w:pPr>
              <w:spacing w:after="0" w:line="240" w:lineRule="auto"/>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Liabilities in 'R million</w:t>
            </w:r>
          </w:p>
        </w:tc>
        <w:tc>
          <w:tcPr>
            <w:tcW w:w="993" w:type="dxa"/>
            <w:shd w:val="clear" w:color="auto" w:fill="ED7D31" w:themeFill="accent2"/>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Mar-18</w:t>
            </w:r>
          </w:p>
        </w:tc>
        <w:tc>
          <w:tcPr>
            <w:tcW w:w="992" w:type="dxa"/>
            <w:shd w:val="clear" w:color="auto" w:fill="ED7D31" w:themeFill="accent2"/>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Mar-19</w:t>
            </w:r>
          </w:p>
        </w:tc>
        <w:tc>
          <w:tcPr>
            <w:tcW w:w="992" w:type="dxa"/>
            <w:shd w:val="clear" w:color="auto" w:fill="ED7D31" w:themeFill="accent2"/>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Mar-20</w:t>
            </w:r>
          </w:p>
        </w:tc>
        <w:tc>
          <w:tcPr>
            <w:tcW w:w="992" w:type="dxa"/>
            <w:shd w:val="clear" w:color="auto" w:fill="ED7D31" w:themeFill="accent2"/>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Mar-21</w:t>
            </w:r>
          </w:p>
        </w:tc>
        <w:tc>
          <w:tcPr>
            <w:tcW w:w="1249" w:type="dxa"/>
            <w:shd w:val="clear" w:color="auto" w:fill="ED7D31" w:themeFill="accent2"/>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Mar-22</w:t>
            </w:r>
          </w:p>
        </w:tc>
      </w:tr>
      <w:tr w:rsidR="00646B12" w:rsidRPr="00983460" w:rsidTr="002110CA">
        <w:trPr>
          <w:trHeight w:val="300"/>
        </w:trPr>
        <w:tc>
          <w:tcPr>
            <w:tcW w:w="2830"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p>
        </w:tc>
        <w:tc>
          <w:tcPr>
            <w:tcW w:w="993"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c>
          <w:tcPr>
            <w:tcW w:w="992"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c>
          <w:tcPr>
            <w:tcW w:w="992"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c>
          <w:tcPr>
            <w:tcW w:w="992"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c>
          <w:tcPr>
            <w:tcW w:w="1249"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r>
      <w:tr w:rsidR="00646B12" w:rsidRPr="00983460" w:rsidTr="002110CA">
        <w:trPr>
          <w:trHeight w:val="300"/>
        </w:trPr>
        <w:tc>
          <w:tcPr>
            <w:tcW w:w="2830" w:type="dxa"/>
            <w:shd w:val="clear" w:color="auto" w:fill="auto"/>
            <w:noWrap/>
            <w:vAlign w:val="bottom"/>
            <w:hideMark/>
          </w:tcPr>
          <w:p w:rsidR="00646B12" w:rsidRPr="00983460" w:rsidRDefault="00646B12" w:rsidP="00D359A3">
            <w:pPr>
              <w:spacing w:after="0" w:line="240" w:lineRule="auto"/>
              <w:rPr>
                <w:rFonts w:ascii="Arial" w:eastAsia="Times New Roman" w:hAnsi="Arial" w:cs="Arial"/>
                <w:color w:val="000000"/>
                <w:sz w:val="24"/>
                <w:szCs w:val="24"/>
              </w:rPr>
            </w:pPr>
            <w:r w:rsidRPr="00983460">
              <w:rPr>
                <w:rFonts w:ascii="Arial" w:eastAsia="Times New Roman" w:hAnsi="Arial" w:cs="Arial"/>
                <w:color w:val="000000"/>
                <w:sz w:val="24"/>
                <w:szCs w:val="24"/>
              </w:rPr>
              <w:t>Trade Creditors and accruals</w:t>
            </w:r>
          </w:p>
        </w:tc>
        <w:tc>
          <w:tcPr>
            <w:tcW w:w="993"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577</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669</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692</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1,088</w:t>
            </w:r>
          </w:p>
        </w:tc>
        <w:tc>
          <w:tcPr>
            <w:tcW w:w="1249"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1,422</w:t>
            </w:r>
          </w:p>
        </w:tc>
      </w:tr>
      <w:tr w:rsidR="00646B12" w:rsidRPr="00983460" w:rsidTr="002110CA">
        <w:trPr>
          <w:trHeight w:val="300"/>
        </w:trPr>
        <w:tc>
          <w:tcPr>
            <w:tcW w:w="2830" w:type="dxa"/>
            <w:shd w:val="clear" w:color="auto" w:fill="auto"/>
            <w:noWrap/>
            <w:vAlign w:val="bottom"/>
            <w:hideMark/>
          </w:tcPr>
          <w:p w:rsidR="00646B12" w:rsidRPr="00983460" w:rsidRDefault="00646B12" w:rsidP="00D359A3">
            <w:pPr>
              <w:spacing w:after="0" w:line="240" w:lineRule="auto"/>
              <w:rPr>
                <w:rFonts w:ascii="Arial" w:eastAsia="Times New Roman" w:hAnsi="Arial" w:cs="Arial"/>
                <w:color w:val="000000"/>
                <w:sz w:val="24"/>
                <w:szCs w:val="24"/>
              </w:rPr>
            </w:pPr>
            <w:r w:rsidRPr="00983460">
              <w:rPr>
                <w:rFonts w:ascii="Arial" w:eastAsia="Times New Roman" w:hAnsi="Arial" w:cs="Arial"/>
                <w:color w:val="000000"/>
                <w:sz w:val="24"/>
                <w:szCs w:val="24"/>
              </w:rPr>
              <w:t>Rental</w:t>
            </w:r>
          </w:p>
        </w:tc>
        <w:tc>
          <w:tcPr>
            <w:tcW w:w="993"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190</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124</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89</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243</w:t>
            </w:r>
          </w:p>
        </w:tc>
        <w:tc>
          <w:tcPr>
            <w:tcW w:w="1249"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364</w:t>
            </w:r>
          </w:p>
        </w:tc>
      </w:tr>
      <w:tr w:rsidR="00646B12" w:rsidRPr="00983460" w:rsidTr="002110CA">
        <w:trPr>
          <w:trHeight w:val="300"/>
        </w:trPr>
        <w:tc>
          <w:tcPr>
            <w:tcW w:w="2830" w:type="dxa"/>
            <w:shd w:val="clear" w:color="auto" w:fill="auto"/>
            <w:noWrap/>
            <w:vAlign w:val="bottom"/>
            <w:hideMark/>
          </w:tcPr>
          <w:p w:rsidR="00646B12" w:rsidRPr="00983460" w:rsidRDefault="00646B12" w:rsidP="00D359A3">
            <w:pPr>
              <w:spacing w:after="0" w:line="240" w:lineRule="auto"/>
              <w:rPr>
                <w:rFonts w:ascii="Arial" w:eastAsia="Times New Roman" w:hAnsi="Arial" w:cs="Arial"/>
                <w:color w:val="000000"/>
                <w:sz w:val="24"/>
                <w:szCs w:val="24"/>
              </w:rPr>
            </w:pPr>
            <w:r w:rsidRPr="00983460">
              <w:rPr>
                <w:rFonts w:ascii="Arial" w:eastAsia="Times New Roman" w:hAnsi="Arial" w:cs="Arial"/>
                <w:color w:val="000000"/>
                <w:sz w:val="24"/>
                <w:szCs w:val="24"/>
              </w:rPr>
              <w:t>Statutory</w:t>
            </w:r>
          </w:p>
        </w:tc>
        <w:tc>
          <w:tcPr>
            <w:tcW w:w="993"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102</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150</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108</w:t>
            </w: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1,396</w:t>
            </w:r>
          </w:p>
        </w:tc>
        <w:tc>
          <w:tcPr>
            <w:tcW w:w="1249"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2,443</w:t>
            </w:r>
          </w:p>
        </w:tc>
      </w:tr>
      <w:tr w:rsidR="00646B12" w:rsidRPr="00983460" w:rsidTr="002110CA">
        <w:trPr>
          <w:trHeight w:val="300"/>
        </w:trPr>
        <w:tc>
          <w:tcPr>
            <w:tcW w:w="2830" w:type="dxa"/>
            <w:shd w:val="clear" w:color="auto" w:fill="auto"/>
            <w:noWrap/>
            <w:vAlign w:val="bottom"/>
            <w:hideMark/>
          </w:tcPr>
          <w:p w:rsidR="00646B12" w:rsidRPr="00983460" w:rsidRDefault="00646B12" w:rsidP="00D359A3">
            <w:pPr>
              <w:spacing w:after="0" w:line="240" w:lineRule="auto"/>
              <w:rPr>
                <w:rFonts w:ascii="Arial" w:eastAsia="Times New Roman" w:hAnsi="Arial" w:cs="Arial"/>
                <w:color w:val="000000"/>
                <w:sz w:val="24"/>
                <w:szCs w:val="24"/>
              </w:rPr>
            </w:pPr>
            <w:r w:rsidRPr="00983460">
              <w:rPr>
                <w:rFonts w:ascii="Arial" w:eastAsia="Times New Roman" w:hAnsi="Arial" w:cs="Arial"/>
                <w:color w:val="000000"/>
                <w:sz w:val="24"/>
                <w:szCs w:val="24"/>
              </w:rPr>
              <w:t>Salary Debt</w:t>
            </w:r>
          </w:p>
        </w:tc>
        <w:tc>
          <w:tcPr>
            <w:tcW w:w="993" w:type="dxa"/>
            <w:shd w:val="clear" w:color="auto" w:fill="auto"/>
            <w:noWrap/>
            <w:vAlign w:val="bottom"/>
            <w:hideMark/>
          </w:tcPr>
          <w:p w:rsidR="00646B12" w:rsidRPr="00983460" w:rsidRDefault="00646B12" w:rsidP="00D359A3">
            <w:pPr>
              <w:spacing w:after="0" w:line="240" w:lineRule="auto"/>
              <w:rPr>
                <w:rFonts w:ascii="Arial" w:eastAsia="Times New Roman" w:hAnsi="Arial" w:cs="Arial"/>
                <w:color w:val="000000"/>
                <w:sz w:val="24"/>
                <w:szCs w:val="24"/>
              </w:rPr>
            </w:pPr>
          </w:p>
        </w:tc>
        <w:tc>
          <w:tcPr>
            <w:tcW w:w="992"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c>
          <w:tcPr>
            <w:tcW w:w="992" w:type="dxa"/>
            <w:shd w:val="clear" w:color="auto" w:fill="auto"/>
            <w:noWrap/>
            <w:vAlign w:val="bottom"/>
            <w:hideMark/>
          </w:tcPr>
          <w:p w:rsidR="00646B12" w:rsidRPr="00983460" w:rsidRDefault="00646B12" w:rsidP="00D359A3">
            <w:pPr>
              <w:spacing w:after="0" w:line="240" w:lineRule="auto"/>
              <w:rPr>
                <w:rFonts w:ascii="Arial" w:eastAsia="Times New Roman" w:hAnsi="Arial" w:cs="Arial"/>
                <w:sz w:val="24"/>
                <w:szCs w:val="24"/>
              </w:rPr>
            </w:pPr>
          </w:p>
        </w:tc>
        <w:tc>
          <w:tcPr>
            <w:tcW w:w="992"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150</w:t>
            </w:r>
          </w:p>
        </w:tc>
        <w:tc>
          <w:tcPr>
            <w:tcW w:w="1249" w:type="dxa"/>
            <w:shd w:val="clear" w:color="auto" w:fill="auto"/>
            <w:noWrap/>
            <w:vAlign w:val="bottom"/>
            <w:hideMark/>
          </w:tcPr>
          <w:p w:rsidR="00646B12" w:rsidRPr="00983460" w:rsidRDefault="00646B12" w:rsidP="00D359A3">
            <w:pPr>
              <w:spacing w:after="0" w:line="240" w:lineRule="auto"/>
              <w:jc w:val="right"/>
              <w:rPr>
                <w:rFonts w:ascii="Arial" w:eastAsia="Times New Roman" w:hAnsi="Arial" w:cs="Arial"/>
                <w:color w:val="000000"/>
                <w:sz w:val="24"/>
                <w:szCs w:val="24"/>
              </w:rPr>
            </w:pPr>
            <w:r w:rsidRPr="00983460">
              <w:rPr>
                <w:rFonts w:ascii="Arial" w:eastAsia="Times New Roman" w:hAnsi="Arial" w:cs="Arial"/>
                <w:color w:val="000000"/>
                <w:sz w:val="24"/>
                <w:szCs w:val="24"/>
              </w:rPr>
              <w:t>150</w:t>
            </w:r>
          </w:p>
        </w:tc>
      </w:tr>
      <w:tr w:rsidR="00646B12" w:rsidRPr="00983460" w:rsidTr="002110CA">
        <w:trPr>
          <w:trHeight w:val="377"/>
        </w:trPr>
        <w:tc>
          <w:tcPr>
            <w:tcW w:w="2830" w:type="dxa"/>
            <w:shd w:val="clear" w:color="auto" w:fill="FFE599" w:themeFill="accent4" w:themeFillTint="66"/>
            <w:noWrap/>
            <w:vAlign w:val="bottom"/>
            <w:hideMark/>
          </w:tcPr>
          <w:p w:rsidR="00646B12" w:rsidRPr="00983460" w:rsidRDefault="00646B12" w:rsidP="00D359A3">
            <w:pPr>
              <w:spacing w:after="0" w:line="240" w:lineRule="auto"/>
              <w:jc w:val="both"/>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Total</w:t>
            </w:r>
          </w:p>
        </w:tc>
        <w:tc>
          <w:tcPr>
            <w:tcW w:w="993" w:type="dxa"/>
            <w:shd w:val="clear" w:color="auto" w:fill="FFE599" w:themeFill="accent4" w:themeFillTint="66"/>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869</w:t>
            </w:r>
          </w:p>
        </w:tc>
        <w:tc>
          <w:tcPr>
            <w:tcW w:w="992" w:type="dxa"/>
            <w:shd w:val="clear" w:color="auto" w:fill="FFE599" w:themeFill="accent4" w:themeFillTint="66"/>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943</w:t>
            </w:r>
          </w:p>
        </w:tc>
        <w:tc>
          <w:tcPr>
            <w:tcW w:w="992" w:type="dxa"/>
            <w:shd w:val="clear" w:color="auto" w:fill="FFE599" w:themeFill="accent4" w:themeFillTint="66"/>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889</w:t>
            </w:r>
          </w:p>
        </w:tc>
        <w:tc>
          <w:tcPr>
            <w:tcW w:w="992" w:type="dxa"/>
            <w:shd w:val="clear" w:color="auto" w:fill="FFE599" w:themeFill="accent4" w:themeFillTint="66"/>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 xml:space="preserve">           2,877 </w:t>
            </w:r>
          </w:p>
        </w:tc>
        <w:tc>
          <w:tcPr>
            <w:tcW w:w="1249" w:type="dxa"/>
            <w:shd w:val="clear" w:color="auto" w:fill="FFE599" w:themeFill="accent4" w:themeFillTint="66"/>
            <w:noWrap/>
            <w:vAlign w:val="bottom"/>
            <w:hideMark/>
          </w:tcPr>
          <w:p w:rsidR="00646B12" w:rsidRPr="00983460" w:rsidRDefault="00646B12" w:rsidP="00D359A3">
            <w:pPr>
              <w:spacing w:after="0" w:line="240" w:lineRule="auto"/>
              <w:jc w:val="right"/>
              <w:rPr>
                <w:rFonts w:ascii="Arial" w:eastAsia="Times New Roman" w:hAnsi="Arial" w:cs="Arial"/>
                <w:b/>
                <w:bCs/>
                <w:color w:val="000000"/>
                <w:sz w:val="24"/>
                <w:szCs w:val="24"/>
              </w:rPr>
            </w:pPr>
            <w:r w:rsidRPr="00983460">
              <w:rPr>
                <w:rFonts w:ascii="Arial" w:eastAsia="Times New Roman" w:hAnsi="Arial" w:cs="Arial"/>
                <w:b/>
                <w:bCs/>
                <w:color w:val="000000"/>
                <w:sz w:val="24"/>
                <w:szCs w:val="24"/>
              </w:rPr>
              <w:t xml:space="preserve">         4,379 </w:t>
            </w:r>
          </w:p>
        </w:tc>
      </w:tr>
    </w:tbl>
    <w:p w:rsidR="00646B12" w:rsidRPr="00983460" w:rsidRDefault="00646B12" w:rsidP="00D359A3">
      <w:pPr>
        <w:pStyle w:val="ListParagraph"/>
        <w:numPr>
          <w:ilvl w:val="0"/>
          <w:numId w:val="3"/>
        </w:numPr>
        <w:spacing w:before="100" w:beforeAutospacing="1" w:after="100" w:afterAutospacing="1"/>
        <w:ind w:left="0" w:firstLine="0"/>
        <w:jc w:val="both"/>
        <w:rPr>
          <w:rFonts w:cs="Arial"/>
          <w:b/>
          <w:szCs w:val="24"/>
        </w:rPr>
      </w:pPr>
    </w:p>
    <w:p w:rsidR="004A492D" w:rsidRPr="004335A0" w:rsidRDefault="004A492D" w:rsidP="00D359A3">
      <w:pPr>
        <w:tabs>
          <w:tab w:val="left" w:pos="7020"/>
        </w:tabs>
        <w:spacing w:after="0" w:line="360" w:lineRule="auto"/>
        <w:rPr>
          <w:rFonts w:ascii="Arial" w:hAnsi="Arial"/>
          <w:b/>
          <w:sz w:val="24"/>
        </w:rPr>
      </w:pPr>
    </w:p>
    <w:p w:rsidR="00646B12" w:rsidRPr="004335A0" w:rsidRDefault="00646B12" w:rsidP="00D359A3">
      <w:pPr>
        <w:tabs>
          <w:tab w:val="left" w:pos="7020"/>
        </w:tabs>
        <w:spacing w:line="360" w:lineRule="auto"/>
        <w:rPr>
          <w:rFonts w:ascii="Arial" w:hAnsi="Arial"/>
          <w:b/>
          <w:sz w:val="24"/>
        </w:rPr>
      </w:pPr>
    </w:p>
    <w:p w:rsidR="00646B12" w:rsidRPr="004335A0" w:rsidRDefault="00646B12" w:rsidP="00D359A3">
      <w:pPr>
        <w:tabs>
          <w:tab w:val="left" w:pos="7020"/>
        </w:tabs>
        <w:spacing w:line="360" w:lineRule="auto"/>
        <w:rPr>
          <w:rFonts w:ascii="Arial" w:hAnsi="Arial"/>
          <w:b/>
          <w:sz w:val="24"/>
        </w:rPr>
      </w:pPr>
    </w:p>
    <w:p w:rsidR="00646B12" w:rsidRPr="004335A0" w:rsidRDefault="00646B12" w:rsidP="00D359A3">
      <w:pPr>
        <w:tabs>
          <w:tab w:val="left" w:pos="7020"/>
        </w:tabs>
        <w:spacing w:line="360" w:lineRule="auto"/>
        <w:rPr>
          <w:rFonts w:ascii="Arial" w:hAnsi="Arial"/>
          <w:b/>
          <w:sz w:val="24"/>
        </w:rPr>
      </w:pPr>
    </w:p>
    <w:p w:rsidR="00646B12" w:rsidRPr="004335A0" w:rsidRDefault="00646B12" w:rsidP="00D359A3">
      <w:pPr>
        <w:tabs>
          <w:tab w:val="left" w:pos="7020"/>
        </w:tabs>
        <w:spacing w:line="360" w:lineRule="auto"/>
        <w:rPr>
          <w:rFonts w:ascii="Arial" w:hAnsi="Arial"/>
          <w:b/>
          <w:sz w:val="24"/>
        </w:rPr>
      </w:pPr>
    </w:p>
    <w:p w:rsidR="00646B12" w:rsidRPr="004335A0" w:rsidRDefault="00646B12" w:rsidP="00D359A3">
      <w:pPr>
        <w:tabs>
          <w:tab w:val="left" w:pos="7020"/>
        </w:tabs>
        <w:spacing w:line="360" w:lineRule="auto"/>
        <w:rPr>
          <w:rFonts w:ascii="Arial" w:hAnsi="Arial"/>
          <w:b/>
          <w:sz w:val="24"/>
        </w:rPr>
      </w:pPr>
    </w:p>
    <w:p w:rsidR="00AD7114" w:rsidRPr="004335A0" w:rsidRDefault="00A51F8F">
      <w:pPr>
        <w:pStyle w:val="ListParagraph"/>
        <w:numPr>
          <w:ilvl w:val="0"/>
          <w:numId w:val="3"/>
        </w:numPr>
        <w:tabs>
          <w:tab w:val="left" w:pos="7020"/>
        </w:tabs>
        <w:spacing w:line="360" w:lineRule="auto"/>
        <w:ind w:hanging="1260"/>
      </w:pPr>
      <w:r w:rsidRPr="004335A0">
        <w:lastRenderedPageBreak/>
        <w:t xml:space="preserve">In the past five years (2018/2019 to 2021/2022) SAPO has been dealing with the </w:t>
      </w:r>
      <w:r w:rsidR="00E40ADD" w:rsidRPr="004335A0">
        <w:t xml:space="preserve">following, ongoing, </w:t>
      </w:r>
      <w:r w:rsidRPr="004335A0">
        <w:t>court actions:</w:t>
      </w:r>
    </w:p>
    <w:tbl>
      <w:tblPr>
        <w:tblStyle w:val="TableGrid"/>
        <w:tblW w:w="9536" w:type="dxa"/>
        <w:tblInd w:w="-185" w:type="dxa"/>
        <w:tblLook w:val="04A0"/>
      </w:tblPr>
      <w:tblGrid>
        <w:gridCol w:w="1525"/>
        <w:gridCol w:w="5255"/>
        <w:gridCol w:w="2756"/>
      </w:tblGrid>
      <w:tr w:rsidR="00257468" w:rsidRPr="00983460" w:rsidTr="00FD0B3B">
        <w:tc>
          <w:tcPr>
            <w:tcW w:w="1260" w:type="dxa"/>
            <w:shd w:val="clear" w:color="auto" w:fill="C45911" w:themeFill="accent2" w:themeFillShade="BF"/>
          </w:tcPr>
          <w:p w:rsidR="00C83C04" w:rsidRPr="004335A0" w:rsidRDefault="00C83C04" w:rsidP="00C83C04">
            <w:pPr>
              <w:pStyle w:val="ListParagraph"/>
              <w:tabs>
                <w:tab w:val="left" w:pos="7020"/>
              </w:tabs>
              <w:spacing w:line="360" w:lineRule="auto"/>
              <w:ind w:left="0"/>
            </w:pPr>
            <w:r w:rsidRPr="004335A0">
              <w:t>MATTER</w:t>
            </w:r>
          </w:p>
        </w:tc>
        <w:tc>
          <w:tcPr>
            <w:tcW w:w="5458" w:type="dxa"/>
            <w:shd w:val="clear" w:color="auto" w:fill="C45911" w:themeFill="accent2" w:themeFillShade="BF"/>
          </w:tcPr>
          <w:p w:rsidR="00C83C04" w:rsidRPr="004335A0" w:rsidRDefault="00C83C04" w:rsidP="00C83C04">
            <w:pPr>
              <w:pStyle w:val="ListParagraph"/>
              <w:tabs>
                <w:tab w:val="left" w:pos="7020"/>
              </w:tabs>
              <w:spacing w:line="360" w:lineRule="auto"/>
              <w:ind w:left="0"/>
            </w:pPr>
            <w:r w:rsidRPr="004335A0">
              <w:t>BRIEF DESCRIPTION</w:t>
            </w:r>
          </w:p>
        </w:tc>
        <w:tc>
          <w:tcPr>
            <w:tcW w:w="2818" w:type="dxa"/>
            <w:shd w:val="clear" w:color="auto" w:fill="C45911" w:themeFill="accent2" w:themeFillShade="BF"/>
          </w:tcPr>
          <w:p w:rsidR="00C83C04" w:rsidRPr="004335A0" w:rsidRDefault="00C83C04" w:rsidP="00C83C04">
            <w:pPr>
              <w:pStyle w:val="ListParagraph"/>
              <w:tabs>
                <w:tab w:val="left" w:pos="7020"/>
              </w:tabs>
              <w:spacing w:line="360" w:lineRule="auto"/>
              <w:ind w:left="0"/>
            </w:pPr>
            <w:r w:rsidRPr="004335A0">
              <w:t>STATUS</w:t>
            </w:r>
          </w:p>
        </w:tc>
      </w:tr>
      <w:tr w:rsidR="00303E72" w:rsidRPr="00983460" w:rsidTr="004335A0">
        <w:tc>
          <w:tcPr>
            <w:tcW w:w="1260" w:type="dxa"/>
          </w:tcPr>
          <w:p w:rsidR="00000ACF" w:rsidRPr="00983460" w:rsidRDefault="00000ACF" w:rsidP="000B272A">
            <w:pPr>
              <w:jc w:val="both"/>
              <w:rPr>
                <w:rFonts w:ascii="Arial" w:eastAsia="Times New Roman" w:hAnsi="Arial" w:cs="Arial"/>
                <w:snapToGrid w:val="0"/>
              </w:rPr>
            </w:pPr>
            <w:proofErr w:type="spellStart"/>
            <w:r w:rsidRPr="00983460">
              <w:rPr>
                <w:rFonts w:ascii="Arial" w:eastAsia="Times New Roman" w:hAnsi="Arial" w:cs="Arial"/>
                <w:snapToGrid w:val="0"/>
              </w:rPr>
              <w:t>Mrwetyana</w:t>
            </w:r>
            <w:proofErr w:type="spellEnd"/>
            <w:r w:rsidRPr="00983460">
              <w:rPr>
                <w:rFonts w:ascii="Arial" w:eastAsia="Times New Roman" w:hAnsi="Arial" w:cs="Arial"/>
                <w:snapToGrid w:val="0"/>
              </w:rPr>
              <w:t xml:space="preserve"> Family</w:t>
            </w:r>
          </w:p>
          <w:p w:rsidR="00000ACF" w:rsidRPr="004335A0" w:rsidRDefault="00000ACF" w:rsidP="004335A0">
            <w:pPr>
              <w:pStyle w:val="ListParagraph"/>
              <w:tabs>
                <w:tab w:val="left" w:pos="7020"/>
              </w:tabs>
              <w:spacing w:line="360" w:lineRule="auto"/>
              <w:ind w:left="0"/>
              <w:jc w:val="both"/>
              <w:rPr>
                <w:sz w:val="22"/>
              </w:rPr>
            </w:pPr>
            <w:r w:rsidRPr="00983460">
              <w:rPr>
                <w:rFonts w:cs="Arial"/>
                <w:snapToGrid w:val="0"/>
                <w:sz w:val="22"/>
                <w:szCs w:val="22"/>
              </w:rPr>
              <w:t>(</w:t>
            </w:r>
            <w:proofErr w:type="spellStart"/>
            <w:r w:rsidRPr="00983460">
              <w:rPr>
                <w:rFonts w:cs="Arial"/>
                <w:snapToGrid w:val="0"/>
                <w:sz w:val="22"/>
                <w:szCs w:val="22"/>
              </w:rPr>
              <w:t>Uyinene</w:t>
            </w:r>
            <w:proofErr w:type="spellEnd"/>
            <w:r w:rsidRPr="00983460">
              <w:rPr>
                <w:rFonts w:cs="Arial"/>
                <w:snapToGrid w:val="0"/>
                <w:sz w:val="22"/>
                <w:szCs w:val="22"/>
              </w:rPr>
              <w:t xml:space="preserve"> </w:t>
            </w:r>
            <w:proofErr w:type="spellStart"/>
            <w:r w:rsidRPr="00983460">
              <w:rPr>
                <w:rFonts w:cs="Arial"/>
                <w:snapToGrid w:val="0"/>
                <w:sz w:val="22"/>
                <w:szCs w:val="22"/>
              </w:rPr>
              <w:t>Mrwetyana</w:t>
            </w:r>
            <w:proofErr w:type="spellEnd"/>
            <w:r w:rsidRPr="00983460">
              <w:rPr>
                <w:rFonts w:cs="Arial"/>
                <w:snapToGrid w:val="0"/>
                <w:sz w:val="22"/>
                <w:szCs w:val="22"/>
              </w:rPr>
              <w:t>)</w:t>
            </w:r>
          </w:p>
        </w:tc>
        <w:tc>
          <w:tcPr>
            <w:tcW w:w="5458" w:type="dxa"/>
          </w:tcPr>
          <w:p w:rsidR="00000ACF" w:rsidRPr="004335A0" w:rsidRDefault="00000ACF" w:rsidP="004335A0">
            <w:pPr>
              <w:pStyle w:val="ListParagraph"/>
              <w:tabs>
                <w:tab w:val="left" w:pos="7020"/>
              </w:tabs>
              <w:spacing w:line="360" w:lineRule="auto"/>
              <w:ind w:left="0"/>
              <w:jc w:val="both"/>
              <w:rPr>
                <w:sz w:val="22"/>
              </w:rPr>
            </w:pPr>
            <w:r w:rsidRPr="00983460">
              <w:rPr>
                <w:rFonts w:cs="Arial"/>
                <w:snapToGrid w:val="0"/>
                <w:sz w:val="22"/>
                <w:szCs w:val="22"/>
              </w:rPr>
              <w:t xml:space="preserve">The </w:t>
            </w:r>
            <w:proofErr w:type="spellStart"/>
            <w:r w:rsidRPr="00983460">
              <w:rPr>
                <w:rFonts w:cs="Arial"/>
                <w:snapToGrid w:val="0"/>
                <w:sz w:val="22"/>
                <w:szCs w:val="22"/>
              </w:rPr>
              <w:t>Mrwetyana</w:t>
            </w:r>
            <w:proofErr w:type="spellEnd"/>
            <w:r w:rsidRPr="00983460">
              <w:rPr>
                <w:rFonts w:cs="Arial"/>
                <w:snapToGrid w:val="0"/>
                <w:sz w:val="22"/>
                <w:szCs w:val="22"/>
              </w:rPr>
              <w:t xml:space="preserve"> </w:t>
            </w:r>
            <w:r w:rsidR="00E67488" w:rsidRPr="00983460">
              <w:rPr>
                <w:rFonts w:cs="Arial"/>
                <w:snapToGrid w:val="0"/>
                <w:sz w:val="22"/>
                <w:szCs w:val="22"/>
              </w:rPr>
              <w:t>f</w:t>
            </w:r>
            <w:r w:rsidRPr="00983460">
              <w:rPr>
                <w:rFonts w:cs="Arial"/>
                <w:snapToGrid w:val="0"/>
                <w:sz w:val="22"/>
                <w:szCs w:val="22"/>
              </w:rPr>
              <w:t>amily i</w:t>
            </w:r>
            <w:r w:rsidR="00E67488" w:rsidRPr="00983460">
              <w:rPr>
                <w:rFonts w:cs="Arial"/>
                <w:snapToGrid w:val="0"/>
                <w:sz w:val="22"/>
                <w:szCs w:val="22"/>
              </w:rPr>
              <w:t>ssued a</w:t>
            </w:r>
            <w:r w:rsidRPr="00983460">
              <w:rPr>
                <w:rFonts w:cs="Arial"/>
                <w:snapToGrid w:val="0"/>
                <w:sz w:val="22"/>
                <w:szCs w:val="22"/>
              </w:rPr>
              <w:t xml:space="preserve"> </w:t>
            </w:r>
            <w:r w:rsidR="00D77D2B" w:rsidRPr="00983460">
              <w:rPr>
                <w:rFonts w:cs="Arial"/>
                <w:snapToGrid w:val="0"/>
                <w:sz w:val="22"/>
                <w:szCs w:val="22"/>
              </w:rPr>
              <w:t>s</w:t>
            </w:r>
            <w:r w:rsidRPr="00983460">
              <w:rPr>
                <w:rFonts w:cs="Arial"/>
                <w:snapToGrid w:val="0"/>
                <w:sz w:val="22"/>
                <w:szCs w:val="22"/>
              </w:rPr>
              <w:t>ummons in November 2020 against SAPO a</w:t>
            </w:r>
            <w:r w:rsidR="00E40ADD" w:rsidRPr="00983460">
              <w:rPr>
                <w:rFonts w:cs="Arial"/>
                <w:snapToGrid w:val="0"/>
                <w:sz w:val="22"/>
                <w:szCs w:val="22"/>
              </w:rPr>
              <w:t>nd Others fo</w:t>
            </w:r>
            <w:r w:rsidR="00E67488" w:rsidRPr="00983460">
              <w:rPr>
                <w:rFonts w:cs="Arial"/>
                <w:snapToGrid w:val="0"/>
                <w:sz w:val="22"/>
                <w:szCs w:val="22"/>
              </w:rPr>
              <w:t xml:space="preserve">llowing the </w:t>
            </w:r>
            <w:r w:rsidR="00983460" w:rsidRPr="00983460">
              <w:rPr>
                <w:rFonts w:cs="Arial"/>
                <w:snapToGrid w:val="0"/>
                <w:sz w:val="22"/>
                <w:szCs w:val="22"/>
              </w:rPr>
              <w:t>murder</w:t>
            </w:r>
            <w:r w:rsidR="00E67488" w:rsidRPr="00983460">
              <w:rPr>
                <w:rFonts w:cs="Arial"/>
                <w:snapToGrid w:val="0"/>
                <w:sz w:val="22"/>
                <w:szCs w:val="22"/>
              </w:rPr>
              <w:t xml:space="preserve"> of </w:t>
            </w:r>
            <w:proofErr w:type="spellStart"/>
            <w:r w:rsidRPr="00983460">
              <w:rPr>
                <w:rFonts w:cs="Arial"/>
                <w:snapToGrid w:val="0"/>
                <w:sz w:val="22"/>
                <w:szCs w:val="22"/>
              </w:rPr>
              <w:t>Uyinene</w:t>
            </w:r>
            <w:proofErr w:type="spellEnd"/>
            <w:r w:rsidRPr="00983460">
              <w:rPr>
                <w:rFonts w:cs="Arial"/>
                <w:snapToGrid w:val="0"/>
                <w:sz w:val="22"/>
                <w:szCs w:val="22"/>
              </w:rPr>
              <w:t xml:space="preserve"> </w:t>
            </w:r>
            <w:proofErr w:type="spellStart"/>
            <w:r w:rsidRPr="00983460">
              <w:rPr>
                <w:rFonts w:cs="Arial"/>
                <w:snapToGrid w:val="0"/>
                <w:sz w:val="22"/>
                <w:szCs w:val="22"/>
              </w:rPr>
              <w:t>Mrwetyana</w:t>
            </w:r>
            <w:proofErr w:type="spellEnd"/>
            <w:r w:rsidRPr="00983460">
              <w:rPr>
                <w:rFonts w:cs="Arial"/>
                <w:snapToGrid w:val="0"/>
                <w:sz w:val="22"/>
                <w:szCs w:val="22"/>
              </w:rPr>
              <w:t xml:space="preserve"> </w:t>
            </w:r>
            <w:r w:rsidR="00983460" w:rsidRPr="00983460">
              <w:rPr>
                <w:rFonts w:cs="Arial"/>
                <w:snapToGrid w:val="0"/>
                <w:sz w:val="22"/>
                <w:szCs w:val="22"/>
              </w:rPr>
              <w:t xml:space="preserve">allegedly </w:t>
            </w:r>
            <w:r w:rsidRPr="00983460">
              <w:rPr>
                <w:rFonts w:cs="Arial"/>
                <w:snapToGrid w:val="0"/>
                <w:sz w:val="22"/>
                <w:szCs w:val="22"/>
              </w:rPr>
              <w:t xml:space="preserve">by an employee of SAPO at </w:t>
            </w:r>
            <w:proofErr w:type="spellStart"/>
            <w:r w:rsidRPr="00983460">
              <w:rPr>
                <w:rFonts w:cs="Arial"/>
                <w:snapToGrid w:val="0"/>
                <w:sz w:val="22"/>
                <w:szCs w:val="22"/>
              </w:rPr>
              <w:t>Clareinch</w:t>
            </w:r>
            <w:proofErr w:type="spellEnd"/>
            <w:r w:rsidRPr="00983460">
              <w:rPr>
                <w:rFonts w:cs="Arial"/>
                <w:snapToGrid w:val="0"/>
                <w:sz w:val="22"/>
                <w:szCs w:val="22"/>
              </w:rPr>
              <w:t xml:space="preserve"> Post Office, Cape Town. The claim is for </w:t>
            </w:r>
            <w:proofErr w:type="spellStart"/>
            <w:r w:rsidRPr="00983460">
              <w:rPr>
                <w:rFonts w:cs="Arial"/>
                <w:snapToGrid w:val="0"/>
                <w:sz w:val="22"/>
                <w:szCs w:val="22"/>
              </w:rPr>
              <w:t>delictual</w:t>
            </w:r>
            <w:proofErr w:type="spellEnd"/>
            <w:r w:rsidRPr="00983460">
              <w:rPr>
                <w:rFonts w:cs="Arial"/>
                <w:snapToGrid w:val="0"/>
                <w:sz w:val="22"/>
                <w:szCs w:val="22"/>
              </w:rPr>
              <w:t xml:space="preserve"> and </w:t>
            </w:r>
            <w:r w:rsidR="00E40ADD" w:rsidRPr="00983460">
              <w:rPr>
                <w:rFonts w:cs="Arial"/>
                <w:snapToGrid w:val="0"/>
                <w:sz w:val="22"/>
                <w:szCs w:val="22"/>
              </w:rPr>
              <w:t xml:space="preserve">consequential </w:t>
            </w:r>
            <w:r w:rsidRPr="00983460">
              <w:rPr>
                <w:rFonts w:cs="Arial"/>
                <w:snapToGrid w:val="0"/>
                <w:sz w:val="22"/>
                <w:szCs w:val="22"/>
              </w:rPr>
              <w:t>damages.</w:t>
            </w:r>
          </w:p>
        </w:tc>
        <w:tc>
          <w:tcPr>
            <w:tcW w:w="2818" w:type="dxa"/>
          </w:tcPr>
          <w:p w:rsidR="00000ACF" w:rsidRPr="004335A0" w:rsidRDefault="00000ACF" w:rsidP="004335A0">
            <w:pPr>
              <w:spacing w:line="257" w:lineRule="auto"/>
              <w:jc w:val="both"/>
              <w:rPr>
                <w:rFonts w:ascii="Arial" w:hAnsi="Arial"/>
              </w:rPr>
            </w:pPr>
            <w:r w:rsidRPr="00983460">
              <w:rPr>
                <w:rFonts w:ascii="Arial" w:eastAsia="Times New Roman" w:hAnsi="Arial" w:cs="Arial"/>
                <w:snapToGrid w:val="0"/>
              </w:rPr>
              <w:t xml:space="preserve">Matter </w:t>
            </w:r>
            <w:r w:rsidR="00E67488" w:rsidRPr="00983460">
              <w:rPr>
                <w:rFonts w:ascii="Arial" w:eastAsia="Times New Roman" w:hAnsi="Arial" w:cs="Arial"/>
                <w:snapToGrid w:val="0"/>
              </w:rPr>
              <w:t xml:space="preserve">is </w:t>
            </w:r>
            <w:r w:rsidRPr="00983460">
              <w:rPr>
                <w:rFonts w:ascii="Arial" w:eastAsia="Times New Roman" w:hAnsi="Arial" w:cs="Arial"/>
                <w:snapToGrid w:val="0"/>
              </w:rPr>
              <w:t>still in progress</w:t>
            </w:r>
            <w:r w:rsidR="00E67488" w:rsidRPr="00983460">
              <w:rPr>
                <w:rFonts w:ascii="Arial" w:eastAsia="Times New Roman" w:hAnsi="Arial" w:cs="Arial"/>
                <w:snapToGrid w:val="0"/>
              </w:rPr>
              <w:t xml:space="preserve"> with s</w:t>
            </w:r>
            <w:r w:rsidRPr="00983460">
              <w:rPr>
                <w:rFonts w:ascii="Arial" w:eastAsia="Times New Roman" w:hAnsi="Arial" w:cs="Arial"/>
                <w:snapToGrid w:val="0"/>
              </w:rPr>
              <w:t>ettlement negotiations</w:t>
            </w:r>
            <w:r w:rsidR="006A2E75" w:rsidRPr="00983460">
              <w:rPr>
                <w:rFonts w:ascii="Arial" w:eastAsia="Times New Roman" w:hAnsi="Arial" w:cs="Arial"/>
                <w:snapToGrid w:val="0"/>
              </w:rPr>
              <w:t xml:space="preserve"> </w:t>
            </w:r>
            <w:r w:rsidR="00E67488" w:rsidRPr="00983460">
              <w:rPr>
                <w:rFonts w:ascii="Arial" w:eastAsia="Times New Roman" w:hAnsi="Arial" w:cs="Arial"/>
                <w:snapToGrid w:val="0"/>
              </w:rPr>
              <w:t>underway. The i</w:t>
            </w:r>
            <w:r w:rsidR="006A2E75" w:rsidRPr="00983460">
              <w:rPr>
                <w:rFonts w:ascii="Arial" w:eastAsia="Times New Roman" w:hAnsi="Arial" w:cs="Arial"/>
                <w:snapToGrid w:val="0"/>
              </w:rPr>
              <w:t xml:space="preserve">nitial settlement </w:t>
            </w:r>
            <w:r w:rsidR="00E67488" w:rsidRPr="00983460">
              <w:rPr>
                <w:rFonts w:ascii="Arial" w:eastAsia="Times New Roman" w:hAnsi="Arial" w:cs="Arial"/>
                <w:snapToGrid w:val="0"/>
              </w:rPr>
              <w:t>o</w:t>
            </w:r>
            <w:r w:rsidR="006A2E75" w:rsidRPr="00983460">
              <w:rPr>
                <w:rFonts w:ascii="Arial" w:eastAsia="Times New Roman" w:hAnsi="Arial" w:cs="Arial"/>
                <w:snapToGrid w:val="0"/>
              </w:rPr>
              <w:t xml:space="preserve">ffer was </w:t>
            </w:r>
            <w:r w:rsidR="00E67488" w:rsidRPr="00983460">
              <w:rPr>
                <w:rFonts w:ascii="Arial" w:eastAsia="Times New Roman" w:hAnsi="Arial" w:cs="Arial"/>
                <w:snapToGrid w:val="0"/>
              </w:rPr>
              <w:t>rejected.</w:t>
            </w:r>
          </w:p>
        </w:tc>
      </w:tr>
      <w:tr w:rsidR="00303E72" w:rsidRPr="00983460" w:rsidTr="004335A0">
        <w:tc>
          <w:tcPr>
            <w:tcW w:w="1260" w:type="dxa"/>
          </w:tcPr>
          <w:p w:rsidR="00000ACF" w:rsidRPr="004335A0" w:rsidRDefault="00000ACF" w:rsidP="004335A0">
            <w:pPr>
              <w:pStyle w:val="ListParagraph"/>
              <w:tabs>
                <w:tab w:val="left" w:pos="7020"/>
              </w:tabs>
              <w:spacing w:line="360" w:lineRule="auto"/>
              <w:ind w:left="0"/>
              <w:jc w:val="both"/>
              <w:rPr>
                <w:sz w:val="22"/>
              </w:rPr>
            </w:pPr>
            <w:proofErr w:type="spellStart"/>
            <w:r w:rsidRPr="00983460">
              <w:rPr>
                <w:rFonts w:cs="Arial"/>
                <w:snapToGrid w:val="0"/>
                <w:sz w:val="22"/>
                <w:szCs w:val="22"/>
              </w:rPr>
              <w:t>Postnet</w:t>
            </w:r>
            <w:proofErr w:type="spellEnd"/>
            <w:r w:rsidRPr="00983460">
              <w:rPr>
                <w:rFonts w:cs="Arial"/>
                <w:snapToGrid w:val="0"/>
                <w:sz w:val="22"/>
                <w:szCs w:val="22"/>
              </w:rPr>
              <w:t xml:space="preserve"> (PN)</w:t>
            </w:r>
          </w:p>
        </w:tc>
        <w:tc>
          <w:tcPr>
            <w:tcW w:w="5458" w:type="dxa"/>
          </w:tcPr>
          <w:p w:rsidR="00000ACF" w:rsidRPr="004335A0" w:rsidRDefault="00000ACF" w:rsidP="004335A0">
            <w:pPr>
              <w:pStyle w:val="ListParagraph"/>
              <w:tabs>
                <w:tab w:val="left" w:pos="7020"/>
              </w:tabs>
              <w:spacing w:line="360" w:lineRule="auto"/>
              <w:ind w:left="0"/>
              <w:jc w:val="both"/>
              <w:rPr>
                <w:sz w:val="22"/>
              </w:rPr>
            </w:pPr>
            <w:r w:rsidRPr="004335A0">
              <w:rPr>
                <w:sz w:val="22"/>
              </w:rPr>
              <w:t xml:space="preserve">SAPO lodged a complaint with ICASA </w:t>
            </w:r>
            <w:r w:rsidR="002110CA" w:rsidRPr="004335A0">
              <w:rPr>
                <w:sz w:val="22"/>
              </w:rPr>
              <w:t xml:space="preserve">around </w:t>
            </w:r>
            <w:r w:rsidRPr="004335A0">
              <w:rPr>
                <w:sz w:val="22"/>
              </w:rPr>
              <w:t xml:space="preserve">2019 to challenge unlawful competition contrary to the Postal Services Act for doing business in </w:t>
            </w:r>
            <w:r w:rsidR="008369D1" w:rsidRPr="00983460">
              <w:rPr>
                <w:rFonts w:cs="Arial"/>
                <w:snapToGrid w:val="0"/>
                <w:sz w:val="22"/>
                <w:szCs w:val="22"/>
              </w:rPr>
              <w:t xml:space="preserve">the </w:t>
            </w:r>
            <w:r w:rsidRPr="004335A0">
              <w:rPr>
                <w:sz w:val="22"/>
              </w:rPr>
              <w:t xml:space="preserve">reserved area of under 1kg. SAPO was successful and the ICASA tribunal (Complaints </w:t>
            </w:r>
            <w:r w:rsidR="00983460">
              <w:rPr>
                <w:rFonts w:cs="Arial"/>
                <w:snapToGrid w:val="0"/>
                <w:sz w:val="22"/>
                <w:szCs w:val="22"/>
              </w:rPr>
              <w:t xml:space="preserve">and </w:t>
            </w:r>
            <w:r w:rsidRPr="004335A0">
              <w:rPr>
                <w:sz w:val="22"/>
              </w:rPr>
              <w:t xml:space="preserve">Compliance </w:t>
            </w:r>
            <w:r w:rsidR="00FC4B08" w:rsidRPr="00983460">
              <w:rPr>
                <w:rFonts w:cs="Arial"/>
                <w:snapToGrid w:val="0"/>
                <w:sz w:val="22"/>
                <w:szCs w:val="22"/>
              </w:rPr>
              <w:t>Commi</w:t>
            </w:r>
            <w:r w:rsidR="00FC4B08">
              <w:rPr>
                <w:rFonts w:cs="Arial"/>
                <w:snapToGrid w:val="0"/>
                <w:sz w:val="22"/>
                <w:szCs w:val="22"/>
              </w:rPr>
              <w:t>ttee</w:t>
            </w:r>
            <w:r w:rsidRPr="004335A0">
              <w:rPr>
                <w:sz w:val="22"/>
              </w:rPr>
              <w:t xml:space="preserve"> – “CCC”) recommended a ruling against PN, which ICASA endorsed for PN to stop its unlawful competition. But PN and their professional association, SAEPA, is challenging the ruling/order, by having it reviewed. They also lodged an </w:t>
            </w:r>
            <w:r w:rsidR="00281325">
              <w:rPr>
                <w:rFonts w:cs="Arial"/>
                <w:snapToGrid w:val="0"/>
                <w:sz w:val="22"/>
                <w:szCs w:val="22"/>
              </w:rPr>
              <w:t xml:space="preserve">High Court </w:t>
            </w:r>
            <w:r w:rsidRPr="004335A0">
              <w:rPr>
                <w:sz w:val="22"/>
              </w:rPr>
              <w:t xml:space="preserve">application to interdict SAPO from implementing the ruling/order, and not allowing PN to do business whilst the matter is continuing. </w:t>
            </w:r>
            <w:r w:rsidR="008369D1" w:rsidRPr="00983460">
              <w:rPr>
                <w:rFonts w:cs="Arial"/>
                <w:snapToGrid w:val="0"/>
                <w:sz w:val="22"/>
                <w:szCs w:val="22"/>
              </w:rPr>
              <w:t>There are c</w:t>
            </w:r>
            <w:r w:rsidRPr="00983460">
              <w:rPr>
                <w:rFonts w:cs="Arial"/>
                <w:snapToGrid w:val="0"/>
                <w:sz w:val="22"/>
                <w:szCs w:val="22"/>
              </w:rPr>
              <w:t>urrently</w:t>
            </w:r>
            <w:r w:rsidRPr="004335A0">
              <w:rPr>
                <w:sz w:val="22"/>
              </w:rPr>
              <w:t xml:space="preserve"> interlocutory and counter-applications between ICASA, PN and SAEPA. </w:t>
            </w:r>
          </w:p>
        </w:tc>
        <w:tc>
          <w:tcPr>
            <w:tcW w:w="2818" w:type="dxa"/>
          </w:tcPr>
          <w:p w:rsidR="0032711A" w:rsidRPr="00983460" w:rsidRDefault="00AF01F4" w:rsidP="000B272A">
            <w:pPr>
              <w:pStyle w:val="ListParagraph"/>
              <w:tabs>
                <w:tab w:val="left" w:pos="7020"/>
              </w:tabs>
              <w:spacing w:line="360" w:lineRule="auto"/>
              <w:ind w:left="0"/>
              <w:jc w:val="both"/>
              <w:rPr>
                <w:rFonts w:cs="Arial"/>
                <w:snapToGrid w:val="0"/>
                <w:sz w:val="22"/>
                <w:szCs w:val="22"/>
              </w:rPr>
            </w:pPr>
            <w:r w:rsidRPr="00983460">
              <w:rPr>
                <w:rFonts w:cs="Arial"/>
                <w:snapToGrid w:val="0"/>
                <w:sz w:val="22"/>
                <w:szCs w:val="22"/>
              </w:rPr>
              <w:t>Matter</w:t>
            </w:r>
            <w:r w:rsidR="008369D1" w:rsidRPr="00983460">
              <w:rPr>
                <w:rFonts w:cs="Arial"/>
                <w:snapToGrid w:val="0"/>
                <w:sz w:val="22"/>
                <w:szCs w:val="22"/>
              </w:rPr>
              <w:t>s are</w:t>
            </w:r>
            <w:r w:rsidRPr="004335A0">
              <w:rPr>
                <w:sz w:val="22"/>
              </w:rPr>
              <w:t xml:space="preserve"> still in progress</w:t>
            </w:r>
            <w:r w:rsidR="0032711A" w:rsidRPr="00983460">
              <w:rPr>
                <w:rFonts w:cs="Arial"/>
                <w:snapToGrid w:val="0"/>
                <w:sz w:val="22"/>
                <w:szCs w:val="22"/>
              </w:rPr>
              <w:t>.</w:t>
            </w:r>
            <w:r w:rsidR="00E40ADD" w:rsidRPr="00983460">
              <w:rPr>
                <w:rFonts w:cs="Arial"/>
                <w:snapToGrid w:val="0"/>
                <w:sz w:val="22"/>
                <w:szCs w:val="22"/>
              </w:rPr>
              <w:t xml:space="preserve"> </w:t>
            </w:r>
          </w:p>
          <w:p w:rsidR="00000ACF" w:rsidRPr="004335A0" w:rsidRDefault="00E40ADD" w:rsidP="004335A0">
            <w:pPr>
              <w:pStyle w:val="ListParagraph"/>
              <w:tabs>
                <w:tab w:val="left" w:pos="7020"/>
              </w:tabs>
              <w:spacing w:line="360" w:lineRule="auto"/>
              <w:ind w:left="0"/>
              <w:jc w:val="both"/>
              <w:rPr>
                <w:sz w:val="22"/>
              </w:rPr>
            </w:pPr>
            <w:r w:rsidRPr="004335A0">
              <w:rPr>
                <w:sz w:val="22"/>
              </w:rPr>
              <w:t>The Interdict against S</w:t>
            </w:r>
            <w:r w:rsidR="002110CA" w:rsidRPr="004335A0">
              <w:rPr>
                <w:sz w:val="22"/>
              </w:rPr>
              <w:t>APO</w:t>
            </w:r>
            <w:r w:rsidRPr="004335A0">
              <w:rPr>
                <w:sz w:val="22"/>
              </w:rPr>
              <w:t xml:space="preserve"> is still in place.</w:t>
            </w:r>
          </w:p>
        </w:tc>
      </w:tr>
      <w:tr w:rsidR="00303E72" w:rsidRPr="00983460" w:rsidTr="004335A0">
        <w:tc>
          <w:tcPr>
            <w:tcW w:w="1260" w:type="dxa"/>
          </w:tcPr>
          <w:p w:rsidR="00AF01F4" w:rsidRPr="00983460" w:rsidRDefault="00AF01F4" w:rsidP="000B272A">
            <w:pPr>
              <w:jc w:val="both"/>
              <w:rPr>
                <w:rFonts w:ascii="Arial" w:eastAsia="Times New Roman" w:hAnsi="Arial" w:cs="Arial"/>
                <w:snapToGrid w:val="0"/>
              </w:rPr>
            </w:pPr>
            <w:r w:rsidRPr="004335A0">
              <w:rPr>
                <w:rFonts w:ascii="Arial" w:hAnsi="Arial"/>
              </w:rPr>
              <w:t>VC IT Insight  (VCII) (BMC Management Tools &amp; CHM Vuwani)</w:t>
            </w:r>
          </w:p>
          <w:p w:rsidR="00AF01F4" w:rsidRPr="004335A0" w:rsidRDefault="00AF01F4" w:rsidP="004335A0">
            <w:pPr>
              <w:pStyle w:val="ListParagraph"/>
              <w:tabs>
                <w:tab w:val="left" w:pos="7020"/>
              </w:tabs>
              <w:spacing w:line="360" w:lineRule="auto"/>
              <w:ind w:left="0"/>
              <w:jc w:val="both"/>
              <w:rPr>
                <w:sz w:val="22"/>
              </w:rPr>
            </w:pPr>
          </w:p>
        </w:tc>
        <w:tc>
          <w:tcPr>
            <w:tcW w:w="5458" w:type="dxa"/>
          </w:tcPr>
          <w:p w:rsidR="00AF01F4" w:rsidRPr="004335A0" w:rsidRDefault="00B80F9E" w:rsidP="004335A0">
            <w:pPr>
              <w:pStyle w:val="ListParagraph"/>
              <w:tabs>
                <w:tab w:val="left" w:pos="7020"/>
              </w:tabs>
              <w:spacing w:line="360" w:lineRule="auto"/>
              <w:ind w:left="0"/>
              <w:jc w:val="both"/>
              <w:rPr>
                <w:sz w:val="22"/>
              </w:rPr>
            </w:pPr>
            <w:r w:rsidRPr="004335A0">
              <w:rPr>
                <w:rFonts w:eastAsia="Calibri"/>
                <w:kern w:val="24"/>
                <w:sz w:val="22"/>
              </w:rPr>
              <w:t xml:space="preserve">VCII sued SAPO in 2017 for approximately R14.9 million, for purchasing BMC Management Tools. It was not indicated that the actual purchase was from VCII instead of CHM VUWANI, whom was a BMC Partner. SAPO applied to </w:t>
            </w:r>
            <w:r w:rsidR="0032711A" w:rsidRPr="00983460">
              <w:rPr>
                <w:rFonts w:eastAsia="Calibri" w:cs="Arial"/>
                <w:kern w:val="24"/>
                <w:sz w:val="22"/>
                <w:szCs w:val="22"/>
              </w:rPr>
              <w:t xml:space="preserve">the </w:t>
            </w:r>
            <w:r w:rsidRPr="004335A0">
              <w:rPr>
                <w:rFonts w:eastAsia="Calibri"/>
                <w:kern w:val="24"/>
                <w:sz w:val="22"/>
              </w:rPr>
              <w:t>High Court to have the “contract” set aside, declared invalid, reviewed and to reclaim R10.38m from VCII, which has been paid. SAPO did not pay the balance of R14.9 million</w:t>
            </w:r>
            <w:r w:rsidR="0032711A" w:rsidRPr="004335A0">
              <w:rPr>
                <w:rFonts w:eastAsia="Calibri"/>
                <w:kern w:val="24"/>
                <w:sz w:val="22"/>
              </w:rPr>
              <w:t xml:space="preserve"> </w:t>
            </w:r>
            <w:r w:rsidRPr="004335A0">
              <w:rPr>
                <w:rFonts w:eastAsia="Calibri"/>
                <w:kern w:val="24"/>
                <w:sz w:val="22"/>
              </w:rPr>
              <w:t xml:space="preserve">pending </w:t>
            </w:r>
            <w:r w:rsidR="0032711A" w:rsidRPr="00983460">
              <w:rPr>
                <w:rFonts w:eastAsia="Calibri" w:cs="Arial"/>
                <w:kern w:val="24"/>
                <w:sz w:val="22"/>
                <w:szCs w:val="22"/>
              </w:rPr>
              <w:t xml:space="preserve">the </w:t>
            </w:r>
            <w:r w:rsidRPr="004335A0">
              <w:rPr>
                <w:rFonts w:eastAsia="Calibri"/>
                <w:kern w:val="24"/>
                <w:sz w:val="22"/>
              </w:rPr>
              <w:t xml:space="preserve">outcome of investigations and the Court’s </w:t>
            </w:r>
            <w:r w:rsidR="0032711A" w:rsidRPr="00983460">
              <w:rPr>
                <w:rFonts w:eastAsia="Calibri" w:cs="Arial"/>
                <w:kern w:val="24"/>
                <w:sz w:val="22"/>
                <w:szCs w:val="22"/>
              </w:rPr>
              <w:t>decision</w:t>
            </w:r>
            <w:r w:rsidR="0032711A" w:rsidRPr="004335A0">
              <w:rPr>
                <w:rFonts w:eastAsia="Calibri"/>
                <w:kern w:val="24"/>
                <w:sz w:val="22"/>
              </w:rPr>
              <w:t xml:space="preserve"> </w:t>
            </w:r>
            <w:r w:rsidRPr="004335A0">
              <w:rPr>
                <w:rFonts w:eastAsia="Calibri"/>
                <w:kern w:val="24"/>
                <w:sz w:val="22"/>
              </w:rPr>
              <w:t>as to</w:t>
            </w:r>
            <w:r w:rsidR="0032711A" w:rsidRPr="004335A0">
              <w:rPr>
                <w:rFonts w:eastAsia="Calibri"/>
                <w:kern w:val="24"/>
                <w:sz w:val="22"/>
              </w:rPr>
              <w:t xml:space="preserve"> </w:t>
            </w:r>
            <w:r w:rsidR="0032711A" w:rsidRPr="00983460">
              <w:rPr>
                <w:rFonts w:eastAsia="Calibri" w:cs="Arial"/>
                <w:kern w:val="24"/>
                <w:sz w:val="22"/>
                <w:szCs w:val="22"/>
              </w:rPr>
              <w:t>the</w:t>
            </w:r>
            <w:r w:rsidRPr="00983460">
              <w:rPr>
                <w:rFonts w:eastAsia="Calibri" w:cs="Arial"/>
                <w:kern w:val="24"/>
                <w:sz w:val="22"/>
                <w:szCs w:val="22"/>
              </w:rPr>
              <w:t xml:space="preserve"> </w:t>
            </w:r>
            <w:r w:rsidRPr="004335A0">
              <w:rPr>
                <w:rFonts w:eastAsia="Calibri"/>
                <w:kern w:val="24"/>
                <w:sz w:val="22"/>
              </w:rPr>
              <w:t xml:space="preserve">validity of the contract. </w:t>
            </w:r>
          </w:p>
        </w:tc>
        <w:tc>
          <w:tcPr>
            <w:tcW w:w="2818" w:type="dxa"/>
          </w:tcPr>
          <w:p w:rsidR="00AF01F4" w:rsidRPr="004335A0" w:rsidRDefault="00B80F9E" w:rsidP="004335A0">
            <w:pPr>
              <w:pStyle w:val="ListParagraph"/>
              <w:tabs>
                <w:tab w:val="left" w:pos="7020"/>
              </w:tabs>
              <w:spacing w:line="360" w:lineRule="auto"/>
              <w:ind w:left="0"/>
              <w:jc w:val="both"/>
              <w:rPr>
                <w:sz w:val="22"/>
              </w:rPr>
            </w:pPr>
            <w:r w:rsidRPr="004335A0">
              <w:rPr>
                <w:kern w:val="24"/>
                <w:sz w:val="22"/>
              </w:rPr>
              <w:t>Matter still in progress</w:t>
            </w:r>
            <w:r w:rsidR="0032711A" w:rsidRPr="00983460">
              <w:rPr>
                <w:rFonts w:cs="Arial"/>
                <w:bCs/>
                <w:kern w:val="24"/>
                <w:sz w:val="22"/>
                <w:szCs w:val="22"/>
              </w:rPr>
              <w:t>.</w:t>
            </w:r>
            <w:r w:rsidR="0032711A" w:rsidRPr="004335A0">
              <w:rPr>
                <w:kern w:val="24"/>
                <w:sz w:val="22"/>
              </w:rPr>
              <w:t xml:space="preserve"> </w:t>
            </w:r>
            <w:r w:rsidRPr="004335A0">
              <w:rPr>
                <w:rFonts w:eastAsia="Calibri"/>
                <w:kern w:val="24"/>
                <w:sz w:val="22"/>
              </w:rPr>
              <w:t xml:space="preserve">The judicial review application by SAPO will be heard in </w:t>
            </w:r>
            <w:r w:rsidR="0032711A" w:rsidRPr="00983460">
              <w:rPr>
                <w:rFonts w:eastAsia="Calibri" w:cs="Arial"/>
                <w:kern w:val="24"/>
                <w:sz w:val="22"/>
                <w:szCs w:val="22"/>
              </w:rPr>
              <w:t xml:space="preserve">the </w:t>
            </w:r>
            <w:r w:rsidRPr="004335A0">
              <w:rPr>
                <w:rFonts w:eastAsia="Calibri"/>
                <w:kern w:val="24"/>
                <w:sz w:val="22"/>
              </w:rPr>
              <w:t>High Court when a date has been set for trial.</w:t>
            </w:r>
          </w:p>
        </w:tc>
      </w:tr>
      <w:tr w:rsidR="00303E72" w:rsidRPr="00983460" w:rsidTr="004335A0">
        <w:tc>
          <w:tcPr>
            <w:tcW w:w="1260" w:type="dxa"/>
          </w:tcPr>
          <w:p w:rsidR="00AF01F4" w:rsidRPr="004335A0" w:rsidRDefault="00AF01F4" w:rsidP="004335A0">
            <w:pPr>
              <w:pStyle w:val="ListParagraph"/>
              <w:tabs>
                <w:tab w:val="left" w:pos="7020"/>
              </w:tabs>
              <w:spacing w:line="360" w:lineRule="auto"/>
              <w:ind w:left="0"/>
              <w:jc w:val="both"/>
              <w:rPr>
                <w:sz w:val="22"/>
              </w:rPr>
            </w:pPr>
            <w:proofErr w:type="spellStart"/>
            <w:r w:rsidRPr="00983460">
              <w:rPr>
                <w:rFonts w:cs="Arial"/>
                <w:bCs/>
                <w:kern w:val="24"/>
                <w:sz w:val="22"/>
                <w:szCs w:val="22"/>
              </w:rPr>
              <w:t>Koninklijke</w:t>
            </w:r>
            <w:proofErr w:type="spellEnd"/>
            <w:r w:rsidRPr="00983460">
              <w:rPr>
                <w:rFonts w:cs="Arial"/>
                <w:bCs/>
                <w:kern w:val="24"/>
                <w:sz w:val="22"/>
                <w:szCs w:val="22"/>
              </w:rPr>
              <w:t xml:space="preserve"> JOH </w:t>
            </w:r>
            <w:proofErr w:type="spellStart"/>
            <w:r w:rsidRPr="00983460">
              <w:rPr>
                <w:rFonts w:cs="Arial"/>
                <w:bCs/>
                <w:kern w:val="24"/>
                <w:sz w:val="22"/>
                <w:szCs w:val="22"/>
              </w:rPr>
              <w:t>Enschede</w:t>
            </w:r>
            <w:proofErr w:type="spellEnd"/>
            <w:r w:rsidRPr="00983460">
              <w:rPr>
                <w:rFonts w:cs="Arial"/>
                <w:bCs/>
                <w:kern w:val="24"/>
                <w:sz w:val="22"/>
                <w:szCs w:val="22"/>
              </w:rPr>
              <w:t xml:space="preserve"> B.V</w:t>
            </w:r>
          </w:p>
        </w:tc>
        <w:tc>
          <w:tcPr>
            <w:tcW w:w="5458" w:type="dxa"/>
          </w:tcPr>
          <w:p w:rsidR="00AF01F4" w:rsidRPr="004335A0" w:rsidRDefault="00AF01F4" w:rsidP="000B272A">
            <w:pPr>
              <w:pStyle w:val="NormalWeb"/>
              <w:spacing w:before="0" w:beforeAutospacing="0" w:after="0" w:afterAutospacing="0" w:line="360" w:lineRule="auto"/>
              <w:jc w:val="both"/>
              <w:rPr>
                <w:rFonts w:ascii="Arial" w:eastAsia="Calibri" w:hAnsi="Arial"/>
                <w:kern w:val="24"/>
                <w:sz w:val="22"/>
              </w:rPr>
            </w:pPr>
            <w:r w:rsidRPr="004335A0">
              <w:rPr>
                <w:rFonts w:ascii="Arial" w:eastAsia="Calibri" w:hAnsi="Arial"/>
                <w:kern w:val="24"/>
                <w:sz w:val="22"/>
              </w:rPr>
              <w:t xml:space="preserve">SAPO was </w:t>
            </w:r>
            <w:r w:rsidR="004335A0">
              <w:rPr>
                <w:rFonts w:ascii="Arial" w:eastAsia="Calibri" w:hAnsi="Arial"/>
                <w:kern w:val="24"/>
                <w:sz w:val="22"/>
              </w:rPr>
              <w:t>is</w:t>
            </w:r>
            <w:r w:rsidRPr="004335A0">
              <w:rPr>
                <w:rFonts w:ascii="Arial" w:eastAsia="Calibri" w:hAnsi="Arial"/>
                <w:kern w:val="24"/>
                <w:sz w:val="22"/>
              </w:rPr>
              <w:t xml:space="preserve">sued </w:t>
            </w:r>
            <w:r w:rsidR="00E40ADD" w:rsidRPr="004335A0">
              <w:rPr>
                <w:rFonts w:ascii="Arial" w:eastAsia="Calibri" w:hAnsi="Arial"/>
                <w:kern w:val="24"/>
                <w:sz w:val="22"/>
              </w:rPr>
              <w:t xml:space="preserve">with </w:t>
            </w:r>
            <w:r w:rsidR="00713BB7">
              <w:rPr>
                <w:rFonts w:ascii="Arial" w:eastAsia="Calibri" w:hAnsi="Arial"/>
                <w:kern w:val="24"/>
                <w:sz w:val="22"/>
              </w:rPr>
              <w:t xml:space="preserve">a </w:t>
            </w:r>
            <w:r w:rsidR="00D77D2B" w:rsidRPr="00983460">
              <w:rPr>
                <w:rFonts w:ascii="Arial" w:eastAsia="Calibri" w:hAnsi="Arial" w:cs="Arial"/>
                <w:kern w:val="24"/>
                <w:sz w:val="22"/>
                <w:szCs w:val="22"/>
              </w:rPr>
              <w:t>s</w:t>
            </w:r>
            <w:r w:rsidR="00E40ADD" w:rsidRPr="00983460">
              <w:rPr>
                <w:rFonts w:ascii="Arial" w:eastAsia="Calibri" w:hAnsi="Arial" w:cs="Arial"/>
                <w:kern w:val="24"/>
                <w:sz w:val="22"/>
                <w:szCs w:val="22"/>
              </w:rPr>
              <w:t>ummons</w:t>
            </w:r>
            <w:r w:rsidR="00E40ADD" w:rsidRPr="004335A0">
              <w:rPr>
                <w:rFonts w:ascii="Arial" w:eastAsia="Calibri" w:hAnsi="Arial"/>
                <w:kern w:val="24"/>
                <w:sz w:val="22"/>
              </w:rPr>
              <w:t xml:space="preserve"> </w:t>
            </w:r>
            <w:r w:rsidR="00F4528D" w:rsidRPr="004335A0">
              <w:rPr>
                <w:rFonts w:ascii="Arial" w:eastAsia="Calibri" w:hAnsi="Arial"/>
                <w:kern w:val="24"/>
                <w:sz w:val="22"/>
              </w:rPr>
              <w:t xml:space="preserve">in </w:t>
            </w:r>
            <w:r w:rsidRPr="004335A0">
              <w:rPr>
                <w:rFonts w:ascii="Arial" w:eastAsia="Calibri" w:hAnsi="Arial"/>
                <w:kern w:val="24"/>
                <w:sz w:val="22"/>
              </w:rPr>
              <w:t xml:space="preserve">2015 for </w:t>
            </w:r>
            <w:r w:rsidR="00872F70">
              <w:rPr>
                <w:rFonts w:ascii="Arial" w:eastAsia="Calibri" w:hAnsi="Arial"/>
                <w:kern w:val="24"/>
                <w:sz w:val="22"/>
              </w:rPr>
              <w:t xml:space="preserve">non-payment </w:t>
            </w:r>
            <w:r w:rsidRPr="004335A0">
              <w:rPr>
                <w:rFonts w:ascii="Arial" w:eastAsia="Calibri" w:hAnsi="Arial"/>
                <w:kern w:val="24"/>
                <w:sz w:val="22"/>
              </w:rPr>
              <w:t xml:space="preserve">in respect of Madiba Stamps and Folders under a verbal agreement. SAPO made </w:t>
            </w:r>
            <w:r w:rsidR="00872F70">
              <w:rPr>
                <w:rFonts w:ascii="Arial" w:eastAsia="Calibri" w:hAnsi="Arial"/>
                <w:kern w:val="24"/>
                <w:sz w:val="22"/>
              </w:rPr>
              <w:t xml:space="preserve">some partial payment in this regard. </w:t>
            </w:r>
            <w:r w:rsidRPr="004335A0">
              <w:rPr>
                <w:rFonts w:ascii="Arial" w:eastAsia="Calibri" w:hAnsi="Arial"/>
                <w:kern w:val="24"/>
                <w:sz w:val="22"/>
              </w:rPr>
              <w:t>There were staff members disciplined and dismissed for this. SAPO had issued a judicial review to review and set aside the “agreement”. SAPO  file</w:t>
            </w:r>
            <w:r w:rsidR="00CD468F">
              <w:rPr>
                <w:rFonts w:ascii="Arial" w:eastAsia="Calibri" w:hAnsi="Arial"/>
                <w:kern w:val="24"/>
                <w:sz w:val="22"/>
              </w:rPr>
              <w:t>d</w:t>
            </w:r>
            <w:r w:rsidRPr="004335A0">
              <w:rPr>
                <w:rFonts w:ascii="Arial" w:eastAsia="Calibri" w:hAnsi="Arial"/>
                <w:kern w:val="24"/>
                <w:sz w:val="22"/>
              </w:rPr>
              <w:t xml:space="preserve"> its founding affidavit</w:t>
            </w:r>
            <w:r w:rsidR="00CD468F">
              <w:rPr>
                <w:rFonts w:ascii="Arial" w:eastAsia="Calibri" w:hAnsi="Arial"/>
                <w:kern w:val="24"/>
                <w:sz w:val="22"/>
              </w:rPr>
              <w:t xml:space="preserve">, </w:t>
            </w:r>
            <w:r w:rsidRPr="004335A0">
              <w:rPr>
                <w:rFonts w:ascii="Arial" w:eastAsia="Calibri" w:hAnsi="Arial"/>
                <w:kern w:val="24"/>
                <w:sz w:val="22"/>
              </w:rPr>
              <w:t>the plaintiff filed its answering affidavit</w:t>
            </w:r>
            <w:r w:rsidR="00CD468F">
              <w:rPr>
                <w:rFonts w:ascii="Arial" w:eastAsia="Calibri" w:hAnsi="Arial"/>
                <w:kern w:val="24"/>
                <w:sz w:val="22"/>
              </w:rPr>
              <w:t xml:space="preserve"> and</w:t>
            </w:r>
            <w:r w:rsidRPr="004335A0">
              <w:rPr>
                <w:rFonts w:ascii="Arial" w:eastAsia="Calibri" w:hAnsi="Arial"/>
                <w:kern w:val="24"/>
                <w:sz w:val="22"/>
              </w:rPr>
              <w:t xml:space="preserve"> SAPO </w:t>
            </w:r>
            <w:r w:rsidR="00CD468F">
              <w:rPr>
                <w:rFonts w:ascii="Arial" w:eastAsia="Calibri" w:hAnsi="Arial"/>
                <w:kern w:val="24"/>
                <w:sz w:val="22"/>
              </w:rPr>
              <w:t xml:space="preserve">thereafter </w:t>
            </w:r>
            <w:r w:rsidRPr="004335A0">
              <w:rPr>
                <w:rFonts w:ascii="Arial" w:eastAsia="Calibri" w:hAnsi="Arial"/>
                <w:kern w:val="24"/>
                <w:sz w:val="22"/>
              </w:rPr>
              <w:t xml:space="preserve">filed its replying affidavit. </w:t>
            </w:r>
            <w:r w:rsidR="0043473C">
              <w:rPr>
                <w:rFonts w:ascii="Arial" w:eastAsia="Calibri" w:hAnsi="Arial"/>
                <w:kern w:val="24"/>
                <w:sz w:val="22"/>
              </w:rPr>
              <w:t xml:space="preserve">A </w:t>
            </w:r>
            <w:r w:rsidR="008C56FE">
              <w:rPr>
                <w:rFonts w:ascii="Arial" w:eastAsia="Calibri" w:hAnsi="Arial"/>
                <w:kern w:val="24"/>
                <w:sz w:val="22"/>
              </w:rPr>
              <w:t>t</w:t>
            </w:r>
            <w:r w:rsidRPr="004335A0">
              <w:rPr>
                <w:rFonts w:ascii="Arial" w:eastAsia="Calibri" w:hAnsi="Arial"/>
                <w:kern w:val="24"/>
                <w:sz w:val="22"/>
              </w:rPr>
              <w:t xml:space="preserve">rial date </w:t>
            </w:r>
            <w:r w:rsidR="0043473C">
              <w:rPr>
                <w:rFonts w:ascii="Arial" w:eastAsia="Calibri" w:hAnsi="Arial"/>
                <w:kern w:val="24"/>
                <w:sz w:val="22"/>
              </w:rPr>
              <w:t xml:space="preserve">will be </w:t>
            </w:r>
            <w:r w:rsidRPr="004335A0">
              <w:rPr>
                <w:rFonts w:ascii="Arial" w:eastAsia="Calibri" w:hAnsi="Arial"/>
                <w:kern w:val="24"/>
                <w:sz w:val="22"/>
              </w:rPr>
              <w:t xml:space="preserve">applied for at </w:t>
            </w:r>
            <w:r w:rsidR="00713BB7">
              <w:rPr>
                <w:rFonts w:ascii="Arial" w:eastAsia="Calibri" w:hAnsi="Arial"/>
                <w:kern w:val="24"/>
                <w:sz w:val="22"/>
              </w:rPr>
              <w:t xml:space="preserve">the </w:t>
            </w:r>
            <w:r w:rsidRPr="004335A0">
              <w:rPr>
                <w:rFonts w:ascii="Arial" w:eastAsia="Calibri" w:hAnsi="Arial"/>
                <w:kern w:val="24"/>
                <w:sz w:val="22"/>
              </w:rPr>
              <w:t xml:space="preserve">Registrar of High Court, South Gauteng. SAPO is also claiming back </w:t>
            </w:r>
            <w:r w:rsidR="00872F70">
              <w:rPr>
                <w:rFonts w:ascii="Arial" w:eastAsia="Calibri" w:hAnsi="Arial"/>
                <w:kern w:val="24"/>
                <w:sz w:val="22"/>
              </w:rPr>
              <w:t>the partial payment which was made previously.</w:t>
            </w:r>
            <w:r w:rsidRPr="004335A0">
              <w:rPr>
                <w:rFonts w:ascii="Arial" w:eastAsia="Calibri" w:hAnsi="Arial"/>
                <w:kern w:val="24"/>
                <w:sz w:val="22"/>
              </w:rPr>
              <w:t xml:space="preserve"> Delays </w:t>
            </w:r>
            <w:r w:rsidR="00872F70">
              <w:rPr>
                <w:rFonts w:ascii="Arial" w:eastAsia="Calibri" w:hAnsi="Arial"/>
                <w:kern w:val="24"/>
                <w:sz w:val="22"/>
              </w:rPr>
              <w:t xml:space="preserve">in concluding the legal matters </w:t>
            </w:r>
            <w:r w:rsidRPr="004335A0">
              <w:rPr>
                <w:rFonts w:ascii="Arial" w:eastAsia="Calibri" w:hAnsi="Arial"/>
                <w:kern w:val="24"/>
                <w:sz w:val="22"/>
              </w:rPr>
              <w:t>were mainly caused by SAPO being unable to pay its Attorneys in due time.</w:t>
            </w:r>
          </w:p>
          <w:p w:rsidR="00F4528D" w:rsidRPr="004335A0" w:rsidRDefault="00F4528D" w:rsidP="000B272A">
            <w:pPr>
              <w:pStyle w:val="NormalWeb"/>
              <w:spacing w:before="0" w:beforeAutospacing="0" w:after="0" w:afterAutospacing="0"/>
              <w:jc w:val="both"/>
              <w:rPr>
                <w:rFonts w:ascii="Arial" w:eastAsia="Calibri" w:hAnsi="Arial"/>
                <w:kern w:val="24"/>
                <w:sz w:val="22"/>
              </w:rPr>
            </w:pPr>
          </w:p>
        </w:tc>
        <w:tc>
          <w:tcPr>
            <w:tcW w:w="2818" w:type="dxa"/>
          </w:tcPr>
          <w:p w:rsidR="00AF01F4" w:rsidRPr="004335A0" w:rsidRDefault="00B80F9E" w:rsidP="004335A0">
            <w:pPr>
              <w:pStyle w:val="ListParagraph"/>
              <w:tabs>
                <w:tab w:val="left" w:pos="7020"/>
              </w:tabs>
              <w:spacing w:line="360" w:lineRule="auto"/>
              <w:ind w:left="0"/>
              <w:jc w:val="both"/>
              <w:rPr>
                <w:sz w:val="22"/>
              </w:rPr>
            </w:pPr>
            <w:r w:rsidRPr="004335A0">
              <w:rPr>
                <w:kern w:val="24"/>
                <w:sz w:val="22"/>
              </w:rPr>
              <w:t xml:space="preserve">Matters still in progress </w:t>
            </w:r>
            <w:r w:rsidR="00F4528D" w:rsidRPr="004335A0">
              <w:rPr>
                <w:kern w:val="24"/>
                <w:sz w:val="22"/>
              </w:rPr>
              <w:t>in the High Court.</w:t>
            </w:r>
          </w:p>
        </w:tc>
      </w:tr>
      <w:tr w:rsidR="00303E72" w:rsidRPr="00983460" w:rsidTr="004335A0">
        <w:tc>
          <w:tcPr>
            <w:tcW w:w="1260" w:type="dxa"/>
          </w:tcPr>
          <w:p w:rsidR="00000ACF" w:rsidRPr="004335A0" w:rsidRDefault="00000ACF" w:rsidP="004335A0">
            <w:pPr>
              <w:pStyle w:val="ListParagraph"/>
              <w:tabs>
                <w:tab w:val="left" w:pos="7020"/>
              </w:tabs>
              <w:spacing w:line="360" w:lineRule="auto"/>
              <w:ind w:left="0"/>
              <w:jc w:val="both"/>
              <w:rPr>
                <w:sz w:val="22"/>
              </w:rPr>
            </w:pPr>
            <w:proofErr w:type="spellStart"/>
            <w:r w:rsidRPr="00983460">
              <w:rPr>
                <w:rFonts w:cs="Arial"/>
                <w:bCs/>
                <w:kern w:val="24"/>
                <w:sz w:val="22"/>
                <w:szCs w:val="22"/>
              </w:rPr>
              <w:t>Medipos</w:t>
            </w:r>
            <w:proofErr w:type="spellEnd"/>
          </w:p>
        </w:tc>
        <w:tc>
          <w:tcPr>
            <w:tcW w:w="5458" w:type="dxa"/>
          </w:tcPr>
          <w:p w:rsidR="00000ACF" w:rsidRPr="004335A0" w:rsidRDefault="00550E63" w:rsidP="004335A0">
            <w:pPr>
              <w:pStyle w:val="ListParagraph"/>
              <w:tabs>
                <w:tab w:val="left" w:pos="7020"/>
              </w:tabs>
              <w:spacing w:line="360" w:lineRule="auto"/>
              <w:ind w:left="0"/>
              <w:jc w:val="both"/>
              <w:rPr>
                <w:sz w:val="22"/>
              </w:rPr>
            </w:pPr>
            <w:r w:rsidRPr="00983460">
              <w:rPr>
                <w:rFonts w:eastAsia="Calibri" w:cs="Arial"/>
                <w:kern w:val="24"/>
                <w:sz w:val="22"/>
                <w:szCs w:val="22"/>
              </w:rPr>
              <w:t>A</w:t>
            </w:r>
            <w:r w:rsidRPr="004335A0">
              <w:rPr>
                <w:rFonts w:eastAsia="Calibri"/>
                <w:kern w:val="24"/>
                <w:sz w:val="22"/>
              </w:rPr>
              <w:t xml:space="preserve"> </w:t>
            </w:r>
            <w:r w:rsidR="00000ACF" w:rsidRPr="004335A0">
              <w:rPr>
                <w:rFonts w:eastAsia="Calibri"/>
                <w:kern w:val="24"/>
                <w:sz w:val="22"/>
              </w:rPr>
              <w:t>Settlement Agreement involving post-retirement medical aid benefits was ma</w:t>
            </w:r>
            <w:r w:rsidR="00FD0B3B" w:rsidRPr="004335A0">
              <w:rPr>
                <w:rFonts w:eastAsia="Calibri"/>
                <w:kern w:val="24"/>
                <w:sz w:val="22"/>
              </w:rPr>
              <w:t>de</w:t>
            </w:r>
            <w:r w:rsidRPr="004335A0">
              <w:rPr>
                <w:rFonts w:eastAsia="Calibri"/>
                <w:kern w:val="24"/>
                <w:sz w:val="22"/>
              </w:rPr>
              <w:t xml:space="preserve"> an Order of Court by the Supreme Court of Appeal</w:t>
            </w:r>
            <w:r w:rsidR="00000ACF" w:rsidRPr="004335A0">
              <w:rPr>
                <w:rFonts w:eastAsia="Calibri"/>
                <w:kern w:val="24"/>
                <w:sz w:val="22"/>
              </w:rPr>
              <w:t>.</w:t>
            </w:r>
            <w:r w:rsidR="00F4528D" w:rsidRPr="004335A0">
              <w:rPr>
                <w:rFonts w:eastAsia="Calibri"/>
                <w:kern w:val="24"/>
                <w:sz w:val="22"/>
              </w:rPr>
              <w:t xml:space="preserve"> On </w:t>
            </w:r>
            <w:r w:rsidR="00F4528D" w:rsidRPr="00983460">
              <w:rPr>
                <w:rFonts w:eastAsia="Calibri" w:cs="Arial"/>
                <w:kern w:val="24"/>
                <w:sz w:val="22"/>
                <w:szCs w:val="22"/>
              </w:rPr>
              <w:t>25</w:t>
            </w:r>
            <w:r w:rsidR="00F4528D" w:rsidRPr="004335A0">
              <w:rPr>
                <w:rFonts w:eastAsia="Calibri"/>
                <w:kern w:val="24"/>
                <w:sz w:val="22"/>
              </w:rPr>
              <w:t xml:space="preserve"> August 2022 the Constitutional Court reaffirmed the decision and declined to grant S</w:t>
            </w:r>
            <w:r w:rsidR="002110CA" w:rsidRPr="004335A0">
              <w:rPr>
                <w:rFonts w:eastAsia="Calibri"/>
                <w:kern w:val="24"/>
                <w:sz w:val="22"/>
              </w:rPr>
              <w:t>APO</w:t>
            </w:r>
            <w:r w:rsidR="00F4528D" w:rsidRPr="004335A0">
              <w:rPr>
                <w:rFonts w:eastAsia="Calibri"/>
                <w:kern w:val="24"/>
                <w:sz w:val="22"/>
              </w:rPr>
              <w:t xml:space="preserve"> leave to </w:t>
            </w:r>
            <w:r w:rsidRPr="00983460">
              <w:rPr>
                <w:rFonts w:eastAsia="Calibri" w:cs="Arial"/>
                <w:kern w:val="24"/>
                <w:sz w:val="22"/>
                <w:szCs w:val="22"/>
              </w:rPr>
              <w:t>a</w:t>
            </w:r>
            <w:r w:rsidR="00F4528D" w:rsidRPr="00983460">
              <w:rPr>
                <w:rFonts w:eastAsia="Calibri" w:cs="Arial"/>
                <w:kern w:val="24"/>
                <w:sz w:val="22"/>
                <w:szCs w:val="22"/>
              </w:rPr>
              <w:t>ppeal</w:t>
            </w:r>
            <w:r w:rsidR="00F4528D" w:rsidRPr="004335A0">
              <w:rPr>
                <w:rFonts w:eastAsia="Calibri"/>
                <w:kern w:val="24"/>
                <w:sz w:val="22"/>
              </w:rPr>
              <w:t xml:space="preserve"> the Supreme Court </w:t>
            </w:r>
            <w:r w:rsidR="00B84FE5" w:rsidRPr="00983460">
              <w:rPr>
                <w:rFonts w:eastAsia="Calibri" w:cs="Arial"/>
                <w:kern w:val="24"/>
                <w:sz w:val="22"/>
                <w:szCs w:val="22"/>
              </w:rPr>
              <w:t>j</w:t>
            </w:r>
            <w:r w:rsidR="00F4528D" w:rsidRPr="00983460">
              <w:rPr>
                <w:rFonts w:eastAsia="Calibri" w:cs="Arial"/>
                <w:kern w:val="24"/>
                <w:sz w:val="22"/>
                <w:szCs w:val="22"/>
              </w:rPr>
              <w:t>udgement</w:t>
            </w:r>
            <w:r w:rsidR="00F4528D" w:rsidRPr="004335A0">
              <w:rPr>
                <w:rFonts w:eastAsia="Calibri"/>
                <w:kern w:val="24"/>
                <w:sz w:val="22"/>
              </w:rPr>
              <w:t>.</w:t>
            </w:r>
            <w:r w:rsidR="00016462">
              <w:rPr>
                <w:kern w:val="24"/>
                <w:sz w:val="22"/>
              </w:rPr>
              <w:t xml:space="preserve"> </w:t>
            </w:r>
            <w:r w:rsidR="00000ACF" w:rsidRPr="004335A0">
              <w:rPr>
                <w:kern w:val="24"/>
                <w:sz w:val="22"/>
              </w:rPr>
              <w:t xml:space="preserve">On </w:t>
            </w:r>
            <w:r w:rsidR="00000ACF" w:rsidRPr="00983460">
              <w:rPr>
                <w:rFonts w:cs="Arial"/>
                <w:bCs/>
                <w:kern w:val="24"/>
                <w:sz w:val="22"/>
                <w:szCs w:val="22"/>
              </w:rPr>
              <w:t>6</w:t>
            </w:r>
            <w:r w:rsidR="002110CA" w:rsidRPr="004335A0">
              <w:rPr>
                <w:kern w:val="24"/>
                <w:sz w:val="22"/>
              </w:rPr>
              <w:t xml:space="preserve"> </w:t>
            </w:r>
            <w:r w:rsidR="00000ACF" w:rsidRPr="004335A0">
              <w:rPr>
                <w:kern w:val="24"/>
                <w:sz w:val="22"/>
              </w:rPr>
              <w:t xml:space="preserve">September 2022, </w:t>
            </w:r>
            <w:proofErr w:type="spellStart"/>
            <w:r w:rsidR="00000ACF" w:rsidRPr="004335A0">
              <w:rPr>
                <w:kern w:val="24"/>
                <w:sz w:val="22"/>
              </w:rPr>
              <w:t>Medipos</w:t>
            </w:r>
            <w:proofErr w:type="spellEnd"/>
            <w:r w:rsidR="00000ACF" w:rsidRPr="004335A0">
              <w:rPr>
                <w:kern w:val="24"/>
                <w:sz w:val="22"/>
              </w:rPr>
              <w:t xml:space="preserve"> brought an application in terms of Rule 8 </w:t>
            </w:r>
            <w:r w:rsidR="00B84FE5" w:rsidRPr="00983460">
              <w:rPr>
                <w:rFonts w:cs="Arial"/>
                <w:bCs/>
                <w:kern w:val="24"/>
                <w:sz w:val="22"/>
                <w:szCs w:val="22"/>
              </w:rPr>
              <w:t>seeking</w:t>
            </w:r>
            <w:r w:rsidR="00000ACF" w:rsidRPr="004335A0">
              <w:rPr>
                <w:kern w:val="24"/>
                <w:sz w:val="22"/>
              </w:rPr>
              <w:t xml:space="preserve"> urgent relief to enforce the original Court </w:t>
            </w:r>
            <w:r w:rsidR="00B84FE5" w:rsidRPr="00983460">
              <w:rPr>
                <w:rFonts w:cs="Arial"/>
                <w:bCs/>
                <w:kern w:val="24"/>
                <w:sz w:val="22"/>
                <w:szCs w:val="22"/>
              </w:rPr>
              <w:t>j</w:t>
            </w:r>
            <w:r w:rsidR="00000ACF" w:rsidRPr="00983460">
              <w:rPr>
                <w:rFonts w:cs="Arial"/>
                <w:bCs/>
                <w:kern w:val="24"/>
                <w:sz w:val="22"/>
                <w:szCs w:val="22"/>
              </w:rPr>
              <w:t>udg</w:t>
            </w:r>
            <w:r w:rsidR="00B84FE5" w:rsidRPr="00983460">
              <w:rPr>
                <w:rFonts w:cs="Arial"/>
                <w:bCs/>
                <w:kern w:val="24"/>
                <w:sz w:val="22"/>
                <w:szCs w:val="22"/>
              </w:rPr>
              <w:t>e</w:t>
            </w:r>
            <w:r w:rsidR="00000ACF" w:rsidRPr="00983460">
              <w:rPr>
                <w:rFonts w:cs="Arial"/>
                <w:bCs/>
                <w:kern w:val="24"/>
                <w:sz w:val="22"/>
                <w:szCs w:val="22"/>
              </w:rPr>
              <w:t>ment</w:t>
            </w:r>
            <w:r w:rsidR="00000ACF" w:rsidRPr="004335A0">
              <w:rPr>
                <w:kern w:val="24"/>
                <w:sz w:val="22"/>
              </w:rPr>
              <w:t>.</w:t>
            </w:r>
          </w:p>
        </w:tc>
        <w:tc>
          <w:tcPr>
            <w:tcW w:w="2818" w:type="dxa"/>
          </w:tcPr>
          <w:p w:rsidR="00000ACF" w:rsidRPr="004335A0" w:rsidRDefault="00605927" w:rsidP="004335A0">
            <w:pPr>
              <w:pStyle w:val="ListParagraph"/>
              <w:tabs>
                <w:tab w:val="left" w:pos="7020"/>
              </w:tabs>
              <w:spacing w:line="360" w:lineRule="auto"/>
              <w:ind w:left="0"/>
              <w:jc w:val="both"/>
              <w:rPr>
                <w:sz w:val="22"/>
              </w:rPr>
            </w:pPr>
            <w:r w:rsidRPr="004335A0">
              <w:rPr>
                <w:kern w:val="24"/>
                <w:sz w:val="22"/>
              </w:rPr>
              <w:t xml:space="preserve">On </w:t>
            </w:r>
            <w:r w:rsidRPr="00983460">
              <w:rPr>
                <w:rFonts w:cs="Arial"/>
                <w:bCs/>
                <w:kern w:val="24"/>
                <w:sz w:val="22"/>
                <w:szCs w:val="22"/>
              </w:rPr>
              <w:t>11</w:t>
            </w:r>
            <w:r w:rsidRPr="004335A0">
              <w:rPr>
                <w:kern w:val="24"/>
                <w:sz w:val="22"/>
              </w:rPr>
              <w:t xml:space="preserve"> September 2022, the S</w:t>
            </w:r>
            <w:r w:rsidR="002110CA" w:rsidRPr="004335A0">
              <w:rPr>
                <w:kern w:val="24"/>
                <w:sz w:val="22"/>
              </w:rPr>
              <w:t>APO</w:t>
            </w:r>
            <w:r w:rsidRPr="004335A0">
              <w:rPr>
                <w:kern w:val="24"/>
                <w:sz w:val="22"/>
              </w:rPr>
              <w:t xml:space="preserve"> Board reached out to </w:t>
            </w:r>
            <w:r w:rsidR="00B84FE5" w:rsidRPr="004335A0">
              <w:rPr>
                <w:kern w:val="24"/>
                <w:sz w:val="22"/>
              </w:rPr>
              <w:t xml:space="preserve">the </w:t>
            </w:r>
            <w:proofErr w:type="spellStart"/>
            <w:r w:rsidR="00B84FE5" w:rsidRPr="004335A0">
              <w:rPr>
                <w:kern w:val="24"/>
                <w:sz w:val="22"/>
              </w:rPr>
              <w:t>Medipos</w:t>
            </w:r>
            <w:proofErr w:type="spellEnd"/>
            <w:r w:rsidR="00B84FE5" w:rsidRPr="004335A0">
              <w:rPr>
                <w:kern w:val="24"/>
                <w:sz w:val="22"/>
              </w:rPr>
              <w:t xml:space="preserve"> Board of Trustees </w:t>
            </w:r>
            <w:r w:rsidR="00B84FE5" w:rsidRPr="00983460">
              <w:rPr>
                <w:rFonts w:cs="Arial"/>
                <w:bCs/>
                <w:kern w:val="24"/>
                <w:sz w:val="22"/>
                <w:szCs w:val="22"/>
              </w:rPr>
              <w:t>regarding</w:t>
            </w:r>
            <w:r w:rsidR="00B84FE5" w:rsidRPr="004335A0">
              <w:rPr>
                <w:kern w:val="24"/>
                <w:sz w:val="22"/>
              </w:rPr>
              <w:t xml:space="preserve"> the</w:t>
            </w:r>
            <w:r w:rsidRPr="004335A0">
              <w:rPr>
                <w:kern w:val="24"/>
                <w:sz w:val="22"/>
              </w:rPr>
              <w:t xml:space="preserve"> implementation of the Constitutional Court </w:t>
            </w:r>
            <w:r w:rsidR="00B84FE5" w:rsidRPr="00983460">
              <w:rPr>
                <w:rFonts w:cs="Arial"/>
                <w:bCs/>
                <w:kern w:val="24"/>
                <w:sz w:val="22"/>
                <w:szCs w:val="22"/>
              </w:rPr>
              <w:t>j</w:t>
            </w:r>
            <w:r w:rsidRPr="00983460">
              <w:rPr>
                <w:rFonts w:cs="Arial"/>
                <w:bCs/>
                <w:kern w:val="24"/>
                <w:sz w:val="22"/>
                <w:szCs w:val="22"/>
              </w:rPr>
              <w:t xml:space="preserve">udgement. </w:t>
            </w:r>
            <w:r w:rsidR="00B84FE5" w:rsidRPr="00983460">
              <w:rPr>
                <w:rFonts w:cs="Arial"/>
                <w:bCs/>
                <w:kern w:val="24"/>
                <w:sz w:val="22"/>
                <w:szCs w:val="22"/>
              </w:rPr>
              <w:t>E</w:t>
            </w:r>
            <w:r w:rsidRPr="00983460">
              <w:rPr>
                <w:rFonts w:cs="Arial"/>
                <w:bCs/>
                <w:kern w:val="24"/>
                <w:sz w:val="22"/>
                <w:szCs w:val="22"/>
              </w:rPr>
              <w:t>ngagements</w:t>
            </w:r>
            <w:r w:rsidRPr="004335A0">
              <w:rPr>
                <w:kern w:val="24"/>
                <w:sz w:val="22"/>
              </w:rPr>
              <w:t xml:space="preserve"> are still ongoing.</w:t>
            </w:r>
          </w:p>
        </w:tc>
      </w:tr>
      <w:tr w:rsidR="00303E72" w:rsidRPr="00983460" w:rsidTr="004335A0">
        <w:tc>
          <w:tcPr>
            <w:tcW w:w="1260" w:type="dxa"/>
          </w:tcPr>
          <w:p w:rsidR="00000ACF" w:rsidRPr="004335A0" w:rsidRDefault="00000ACF" w:rsidP="004335A0">
            <w:pPr>
              <w:pStyle w:val="ListParagraph"/>
              <w:tabs>
                <w:tab w:val="left" w:pos="7020"/>
              </w:tabs>
              <w:spacing w:line="360" w:lineRule="auto"/>
              <w:ind w:left="0"/>
              <w:jc w:val="both"/>
              <w:rPr>
                <w:sz w:val="22"/>
              </w:rPr>
            </w:pPr>
            <w:r w:rsidRPr="004335A0">
              <w:rPr>
                <w:rFonts w:eastAsia="Calibri"/>
                <w:kern w:val="24"/>
                <w:sz w:val="22"/>
              </w:rPr>
              <w:t>Redefine Properties Limited</w:t>
            </w:r>
          </w:p>
        </w:tc>
        <w:tc>
          <w:tcPr>
            <w:tcW w:w="5458" w:type="dxa"/>
          </w:tcPr>
          <w:p w:rsidR="00000ACF" w:rsidRPr="004335A0" w:rsidRDefault="00000ACF" w:rsidP="004335A0">
            <w:pPr>
              <w:pStyle w:val="ListParagraph"/>
              <w:tabs>
                <w:tab w:val="left" w:pos="7020"/>
              </w:tabs>
              <w:spacing w:line="360" w:lineRule="auto"/>
              <w:ind w:left="0"/>
              <w:jc w:val="both"/>
              <w:rPr>
                <w:sz w:val="22"/>
              </w:rPr>
            </w:pPr>
            <w:r w:rsidRPr="004335A0">
              <w:rPr>
                <w:rFonts w:eastAsia="Calibri"/>
                <w:kern w:val="24"/>
                <w:sz w:val="22"/>
              </w:rPr>
              <w:t xml:space="preserve">A </w:t>
            </w:r>
            <w:r w:rsidR="00B84FE5" w:rsidRPr="00983460">
              <w:rPr>
                <w:rFonts w:eastAsia="Calibri" w:cs="Arial"/>
                <w:kern w:val="24"/>
                <w:sz w:val="22"/>
                <w:szCs w:val="22"/>
              </w:rPr>
              <w:t>l</w:t>
            </w:r>
            <w:r w:rsidR="00605927" w:rsidRPr="00983460">
              <w:rPr>
                <w:rFonts w:eastAsia="Calibri" w:cs="Arial"/>
                <w:kern w:val="24"/>
                <w:sz w:val="22"/>
                <w:szCs w:val="22"/>
              </w:rPr>
              <w:t xml:space="preserve">iquidation </w:t>
            </w:r>
            <w:r w:rsidR="00B84FE5" w:rsidRPr="00983460">
              <w:rPr>
                <w:rFonts w:eastAsia="Calibri" w:cs="Arial"/>
                <w:kern w:val="24"/>
                <w:sz w:val="22"/>
                <w:szCs w:val="22"/>
              </w:rPr>
              <w:t>a</w:t>
            </w:r>
            <w:r w:rsidR="00605927" w:rsidRPr="00983460">
              <w:rPr>
                <w:rFonts w:eastAsia="Calibri" w:cs="Arial"/>
                <w:kern w:val="24"/>
                <w:sz w:val="22"/>
                <w:szCs w:val="22"/>
              </w:rPr>
              <w:t>pplication</w:t>
            </w:r>
            <w:r w:rsidR="00605927" w:rsidRPr="004335A0">
              <w:rPr>
                <w:rFonts w:eastAsia="Calibri"/>
                <w:kern w:val="24"/>
                <w:sz w:val="22"/>
              </w:rPr>
              <w:t xml:space="preserve"> was brought </w:t>
            </w:r>
            <w:r w:rsidRPr="004335A0">
              <w:rPr>
                <w:rFonts w:eastAsia="Calibri"/>
                <w:kern w:val="24"/>
                <w:sz w:val="22"/>
              </w:rPr>
              <w:t xml:space="preserve">by Redefine Properties </w:t>
            </w:r>
            <w:r w:rsidR="00605927" w:rsidRPr="004335A0">
              <w:rPr>
                <w:rFonts w:eastAsia="Calibri"/>
                <w:kern w:val="24"/>
                <w:sz w:val="22"/>
              </w:rPr>
              <w:t xml:space="preserve">(Pty) Ltd </w:t>
            </w:r>
            <w:r w:rsidR="00605927" w:rsidRPr="00983460">
              <w:rPr>
                <w:rFonts w:eastAsia="Calibri" w:cs="Arial"/>
                <w:kern w:val="24"/>
                <w:sz w:val="22"/>
                <w:szCs w:val="22"/>
              </w:rPr>
              <w:t>wh</w:t>
            </w:r>
            <w:r w:rsidR="00B84FE5" w:rsidRPr="00983460">
              <w:rPr>
                <w:rFonts w:eastAsia="Calibri" w:cs="Arial"/>
                <w:kern w:val="24"/>
                <w:sz w:val="22"/>
                <w:szCs w:val="22"/>
              </w:rPr>
              <w:t>ich is</w:t>
            </w:r>
            <w:r w:rsidR="00605927" w:rsidRPr="004335A0">
              <w:rPr>
                <w:rFonts w:eastAsia="Calibri"/>
                <w:kern w:val="24"/>
                <w:sz w:val="22"/>
              </w:rPr>
              <w:t xml:space="preserve"> S</w:t>
            </w:r>
            <w:r w:rsidR="002110CA" w:rsidRPr="004335A0">
              <w:rPr>
                <w:rFonts w:eastAsia="Calibri"/>
                <w:kern w:val="24"/>
                <w:sz w:val="22"/>
              </w:rPr>
              <w:t>APO</w:t>
            </w:r>
            <w:r w:rsidR="00605927" w:rsidRPr="004335A0">
              <w:rPr>
                <w:rFonts w:eastAsia="Calibri"/>
                <w:kern w:val="24"/>
                <w:sz w:val="22"/>
              </w:rPr>
              <w:t xml:space="preserve">’s </w:t>
            </w:r>
            <w:r w:rsidR="00B84FE5" w:rsidRPr="00983460">
              <w:rPr>
                <w:rFonts w:eastAsia="Calibri" w:cs="Arial"/>
                <w:kern w:val="24"/>
                <w:sz w:val="22"/>
                <w:szCs w:val="22"/>
              </w:rPr>
              <w:t>l</w:t>
            </w:r>
            <w:r w:rsidR="00605927" w:rsidRPr="00983460">
              <w:rPr>
                <w:rFonts w:eastAsia="Calibri" w:cs="Arial"/>
                <w:kern w:val="24"/>
                <w:sz w:val="22"/>
                <w:szCs w:val="22"/>
              </w:rPr>
              <w:t>andlord</w:t>
            </w:r>
            <w:r w:rsidR="00605927" w:rsidRPr="004335A0">
              <w:rPr>
                <w:rFonts w:eastAsia="Calibri"/>
                <w:kern w:val="24"/>
                <w:sz w:val="22"/>
              </w:rPr>
              <w:t xml:space="preserve"> in some </w:t>
            </w:r>
            <w:r w:rsidR="00B84FE5" w:rsidRPr="00983460">
              <w:rPr>
                <w:rFonts w:eastAsia="Calibri" w:cs="Arial"/>
                <w:kern w:val="24"/>
                <w:sz w:val="22"/>
                <w:szCs w:val="22"/>
              </w:rPr>
              <w:t>p</w:t>
            </w:r>
            <w:r w:rsidR="00605927" w:rsidRPr="00983460">
              <w:rPr>
                <w:rFonts w:eastAsia="Calibri" w:cs="Arial"/>
                <w:kern w:val="24"/>
                <w:sz w:val="22"/>
                <w:szCs w:val="22"/>
              </w:rPr>
              <w:t xml:space="preserve">ostal </w:t>
            </w:r>
            <w:r w:rsidR="00B84FE5" w:rsidRPr="00983460">
              <w:rPr>
                <w:rFonts w:eastAsia="Calibri" w:cs="Arial"/>
                <w:kern w:val="24"/>
                <w:sz w:val="22"/>
                <w:szCs w:val="22"/>
              </w:rPr>
              <w:t>o</w:t>
            </w:r>
            <w:r w:rsidR="00605927" w:rsidRPr="00983460">
              <w:rPr>
                <w:rFonts w:eastAsia="Calibri" w:cs="Arial"/>
                <w:kern w:val="24"/>
                <w:sz w:val="22"/>
                <w:szCs w:val="22"/>
              </w:rPr>
              <w:t>utlets</w:t>
            </w:r>
            <w:r w:rsidR="00605927" w:rsidRPr="004335A0">
              <w:rPr>
                <w:rFonts w:eastAsia="Calibri"/>
                <w:kern w:val="24"/>
                <w:sz w:val="22"/>
              </w:rPr>
              <w:t xml:space="preserve">. </w:t>
            </w:r>
          </w:p>
        </w:tc>
        <w:tc>
          <w:tcPr>
            <w:tcW w:w="2818" w:type="dxa"/>
          </w:tcPr>
          <w:p w:rsidR="00000ACF" w:rsidRPr="004335A0" w:rsidRDefault="00000ACF" w:rsidP="004335A0">
            <w:pPr>
              <w:pStyle w:val="ListParagraph"/>
              <w:tabs>
                <w:tab w:val="left" w:pos="7020"/>
              </w:tabs>
              <w:spacing w:line="360" w:lineRule="auto"/>
              <w:ind w:left="0"/>
              <w:jc w:val="both"/>
              <w:rPr>
                <w:sz w:val="22"/>
              </w:rPr>
            </w:pPr>
            <w:r w:rsidRPr="004335A0">
              <w:rPr>
                <w:kern w:val="24"/>
                <w:sz w:val="22"/>
              </w:rPr>
              <w:t>The matter was settled</w:t>
            </w:r>
            <w:r w:rsidR="00605927" w:rsidRPr="004335A0">
              <w:rPr>
                <w:kern w:val="24"/>
                <w:sz w:val="22"/>
              </w:rPr>
              <w:t xml:space="preserve"> between the </w:t>
            </w:r>
            <w:r w:rsidR="00B84FE5" w:rsidRPr="00983460">
              <w:rPr>
                <w:rFonts w:cs="Arial"/>
                <w:bCs/>
                <w:kern w:val="24"/>
                <w:sz w:val="22"/>
                <w:szCs w:val="22"/>
              </w:rPr>
              <w:t>p</w:t>
            </w:r>
            <w:r w:rsidR="00605927" w:rsidRPr="00983460">
              <w:rPr>
                <w:rFonts w:cs="Arial"/>
                <w:bCs/>
                <w:kern w:val="24"/>
                <w:sz w:val="22"/>
                <w:szCs w:val="22"/>
              </w:rPr>
              <w:t>arties</w:t>
            </w:r>
            <w:r w:rsidR="00605927" w:rsidRPr="004335A0">
              <w:rPr>
                <w:kern w:val="24"/>
                <w:sz w:val="22"/>
              </w:rPr>
              <w:t>.</w:t>
            </w:r>
          </w:p>
        </w:tc>
      </w:tr>
      <w:tr w:rsidR="00303E72" w:rsidRPr="00983460" w:rsidTr="004335A0">
        <w:tc>
          <w:tcPr>
            <w:tcW w:w="1260" w:type="dxa"/>
          </w:tcPr>
          <w:p w:rsidR="00000ACF" w:rsidRPr="004335A0" w:rsidRDefault="00000ACF" w:rsidP="004335A0">
            <w:pPr>
              <w:pStyle w:val="ListParagraph"/>
              <w:tabs>
                <w:tab w:val="left" w:pos="7020"/>
              </w:tabs>
              <w:spacing w:line="360" w:lineRule="auto"/>
              <w:ind w:left="0"/>
              <w:jc w:val="both"/>
              <w:rPr>
                <w:sz w:val="22"/>
              </w:rPr>
            </w:pPr>
            <w:r w:rsidRPr="004335A0">
              <w:rPr>
                <w:rFonts w:eastAsia="Calibri"/>
                <w:kern w:val="24"/>
                <w:sz w:val="22"/>
              </w:rPr>
              <w:t>Blue Turtle Technologies (Pty) Ltd</w:t>
            </w:r>
          </w:p>
        </w:tc>
        <w:tc>
          <w:tcPr>
            <w:tcW w:w="5458" w:type="dxa"/>
          </w:tcPr>
          <w:p w:rsidR="00000ACF" w:rsidRPr="004335A0" w:rsidRDefault="00B84FE5" w:rsidP="004335A0">
            <w:pPr>
              <w:pStyle w:val="ListParagraph"/>
              <w:tabs>
                <w:tab w:val="left" w:pos="7020"/>
              </w:tabs>
              <w:spacing w:line="360" w:lineRule="auto"/>
              <w:ind w:left="0"/>
              <w:jc w:val="both"/>
              <w:rPr>
                <w:sz w:val="22"/>
              </w:rPr>
            </w:pPr>
            <w:r w:rsidRPr="00983460">
              <w:rPr>
                <w:rFonts w:eastAsia="Calibri" w:cs="Arial"/>
                <w:kern w:val="24"/>
                <w:sz w:val="22"/>
                <w:szCs w:val="22"/>
              </w:rPr>
              <w:t xml:space="preserve">The </w:t>
            </w:r>
            <w:r w:rsidR="00000ACF" w:rsidRPr="004335A0">
              <w:rPr>
                <w:rFonts w:eastAsia="Calibri"/>
                <w:kern w:val="24"/>
                <w:sz w:val="22"/>
              </w:rPr>
              <w:t xml:space="preserve">IT software provider </w:t>
            </w:r>
            <w:r w:rsidR="00D732FB" w:rsidRPr="00983460">
              <w:rPr>
                <w:rFonts w:eastAsia="Calibri" w:cs="Arial"/>
                <w:kern w:val="24"/>
                <w:sz w:val="22"/>
                <w:szCs w:val="22"/>
              </w:rPr>
              <w:t>file</w:t>
            </w:r>
            <w:r w:rsidR="00000ACF" w:rsidRPr="00983460">
              <w:rPr>
                <w:rFonts w:eastAsia="Calibri" w:cs="Arial"/>
                <w:kern w:val="24"/>
                <w:sz w:val="22"/>
                <w:szCs w:val="22"/>
              </w:rPr>
              <w:t>d</w:t>
            </w:r>
            <w:r w:rsidR="00000ACF" w:rsidRPr="004335A0">
              <w:rPr>
                <w:rFonts w:eastAsia="Calibri"/>
                <w:kern w:val="24"/>
                <w:sz w:val="22"/>
              </w:rPr>
              <w:t xml:space="preserve"> a liquidation application</w:t>
            </w:r>
            <w:r w:rsidR="00D732FB" w:rsidRPr="00983460">
              <w:rPr>
                <w:rFonts w:eastAsia="Calibri" w:cs="Arial"/>
                <w:kern w:val="24"/>
                <w:sz w:val="22"/>
                <w:szCs w:val="22"/>
              </w:rPr>
              <w:t xml:space="preserve"> and</w:t>
            </w:r>
            <w:r w:rsidR="00000ACF" w:rsidRPr="004335A0">
              <w:rPr>
                <w:rFonts w:eastAsia="Calibri"/>
                <w:kern w:val="24"/>
                <w:sz w:val="22"/>
              </w:rPr>
              <w:t xml:space="preserve"> a provisional </w:t>
            </w:r>
            <w:r w:rsidR="00D732FB" w:rsidRPr="00983460">
              <w:rPr>
                <w:rFonts w:eastAsia="Calibri" w:cs="Arial"/>
                <w:kern w:val="24"/>
                <w:sz w:val="22"/>
                <w:szCs w:val="22"/>
              </w:rPr>
              <w:t>l</w:t>
            </w:r>
            <w:r w:rsidR="00000ACF" w:rsidRPr="00983460">
              <w:rPr>
                <w:rFonts w:eastAsia="Calibri" w:cs="Arial"/>
                <w:kern w:val="24"/>
                <w:sz w:val="22"/>
                <w:szCs w:val="22"/>
              </w:rPr>
              <w:t xml:space="preserve">iquidation </w:t>
            </w:r>
            <w:r w:rsidR="00D732FB" w:rsidRPr="00983460">
              <w:rPr>
                <w:rFonts w:eastAsia="Calibri" w:cs="Arial"/>
                <w:kern w:val="24"/>
                <w:sz w:val="22"/>
                <w:szCs w:val="22"/>
              </w:rPr>
              <w:t>o</w:t>
            </w:r>
            <w:r w:rsidR="00000ACF" w:rsidRPr="00983460">
              <w:rPr>
                <w:rFonts w:eastAsia="Calibri" w:cs="Arial"/>
                <w:kern w:val="24"/>
                <w:sz w:val="22"/>
                <w:szCs w:val="22"/>
              </w:rPr>
              <w:t xml:space="preserve">rder </w:t>
            </w:r>
            <w:r w:rsidR="00D732FB" w:rsidRPr="00983460">
              <w:rPr>
                <w:rFonts w:eastAsia="Calibri" w:cs="Arial"/>
                <w:kern w:val="24"/>
                <w:sz w:val="22"/>
                <w:szCs w:val="22"/>
              </w:rPr>
              <w:t xml:space="preserve">was </w:t>
            </w:r>
            <w:r w:rsidR="00000ACF" w:rsidRPr="004335A0">
              <w:rPr>
                <w:rFonts w:eastAsia="Calibri"/>
                <w:kern w:val="24"/>
                <w:sz w:val="22"/>
              </w:rPr>
              <w:t xml:space="preserve">granted on </w:t>
            </w:r>
            <w:r w:rsidR="00000ACF" w:rsidRPr="00983460">
              <w:rPr>
                <w:rFonts w:eastAsia="Calibri" w:cs="Arial"/>
                <w:kern w:val="24"/>
                <w:sz w:val="22"/>
                <w:szCs w:val="22"/>
              </w:rPr>
              <w:t>6</w:t>
            </w:r>
            <w:r w:rsidR="00000ACF" w:rsidRPr="004335A0">
              <w:rPr>
                <w:rFonts w:eastAsia="Calibri"/>
                <w:kern w:val="24"/>
                <w:sz w:val="22"/>
              </w:rPr>
              <w:t xml:space="preserve"> June 2022, with a </w:t>
            </w:r>
            <w:r w:rsidR="00D732FB" w:rsidRPr="00983460">
              <w:rPr>
                <w:rFonts w:eastAsia="Calibri" w:cs="Arial"/>
                <w:i/>
                <w:iCs/>
                <w:kern w:val="24"/>
                <w:sz w:val="22"/>
                <w:szCs w:val="22"/>
              </w:rPr>
              <w:t>r</w:t>
            </w:r>
            <w:r w:rsidR="00000ACF" w:rsidRPr="00983460">
              <w:rPr>
                <w:rFonts w:eastAsia="Calibri" w:cs="Arial"/>
                <w:i/>
                <w:iCs/>
                <w:kern w:val="24"/>
                <w:sz w:val="22"/>
                <w:szCs w:val="22"/>
              </w:rPr>
              <w:t xml:space="preserve">ule </w:t>
            </w:r>
            <w:r w:rsidR="00D732FB" w:rsidRPr="00983460">
              <w:rPr>
                <w:rFonts w:eastAsia="Calibri" w:cs="Arial"/>
                <w:i/>
                <w:iCs/>
                <w:kern w:val="24"/>
                <w:sz w:val="22"/>
                <w:szCs w:val="22"/>
              </w:rPr>
              <w:t>n</w:t>
            </w:r>
            <w:r w:rsidR="00000ACF" w:rsidRPr="00983460">
              <w:rPr>
                <w:rFonts w:eastAsia="Calibri" w:cs="Arial"/>
                <w:i/>
                <w:iCs/>
                <w:kern w:val="24"/>
                <w:sz w:val="22"/>
                <w:szCs w:val="22"/>
              </w:rPr>
              <w:t>isi</w:t>
            </w:r>
            <w:r w:rsidR="00000ACF" w:rsidRPr="004335A0">
              <w:rPr>
                <w:rFonts w:eastAsia="Calibri"/>
                <w:kern w:val="24"/>
                <w:sz w:val="22"/>
              </w:rPr>
              <w:t xml:space="preserve">. Final </w:t>
            </w:r>
            <w:r w:rsidR="00D732FB" w:rsidRPr="00983460">
              <w:rPr>
                <w:rFonts w:eastAsia="Calibri" w:cs="Arial"/>
                <w:kern w:val="24"/>
                <w:sz w:val="22"/>
                <w:szCs w:val="22"/>
              </w:rPr>
              <w:t>l</w:t>
            </w:r>
            <w:r w:rsidR="00000ACF" w:rsidRPr="00983460">
              <w:rPr>
                <w:rFonts w:eastAsia="Calibri" w:cs="Arial"/>
                <w:kern w:val="24"/>
                <w:sz w:val="22"/>
                <w:szCs w:val="22"/>
              </w:rPr>
              <w:t>iquidation</w:t>
            </w:r>
            <w:r w:rsidR="00000ACF" w:rsidRPr="004335A0">
              <w:rPr>
                <w:rFonts w:eastAsia="Calibri"/>
                <w:kern w:val="24"/>
                <w:sz w:val="22"/>
              </w:rPr>
              <w:t xml:space="preserve"> was </w:t>
            </w:r>
            <w:r w:rsidR="00D732FB" w:rsidRPr="00983460">
              <w:rPr>
                <w:rFonts w:eastAsia="Calibri" w:cs="Arial"/>
                <w:kern w:val="24"/>
                <w:sz w:val="22"/>
                <w:szCs w:val="22"/>
              </w:rPr>
              <w:t>scheduled for</w:t>
            </w:r>
            <w:r w:rsidR="00000ACF" w:rsidRPr="00983460">
              <w:rPr>
                <w:rFonts w:eastAsia="Calibri" w:cs="Arial"/>
                <w:kern w:val="24"/>
                <w:sz w:val="22"/>
                <w:szCs w:val="22"/>
              </w:rPr>
              <w:t xml:space="preserve"> 24</w:t>
            </w:r>
            <w:r w:rsidR="00000ACF" w:rsidRPr="004335A0">
              <w:rPr>
                <w:rFonts w:eastAsia="Calibri"/>
                <w:kern w:val="24"/>
                <w:sz w:val="22"/>
              </w:rPr>
              <w:t xml:space="preserve"> August 2022. </w:t>
            </w:r>
          </w:p>
        </w:tc>
        <w:tc>
          <w:tcPr>
            <w:tcW w:w="2818" w:type="dxa"/>
          </w:tcPr>
          <w:p w:rsidR="00000ACF" w:rsidRPr="004335A0" w:rsidRDefault="00000ACF" w:rsidP="004335A0">
            <w:pPr>
              <w:pStyle w:val="ListParagraph"/>
              <w:tabs>
                <w:tab w:val="left" w:pos="7020"/>
              </w:tabs>
              <w:spacing w:line="360" w:lineRule="auto"/>
              <w:ind w:left="0"/>
              <w:jc w:val="both"/>
              <w:rPr>
                <w:sz w:val="22"/>
              </w:rPr>
            </w:pPr>
            <w:r w:rsidRPr="004335A0">
              <w:rPr>
                <w:kern w:val="24"/>
                <w:sz w:val="22"/>
              </w:rPr>
              <w:t>The matter was settled</w:t>
            </w:r>
            <w:r w:rsidR="00605927" w:rsidRPr="004335A0">
              <w:rPr>
                <w:kern w:val="24"/>
                <w:sz w:val="22"/>
              </w:rPr>
              <w:t xml:space="preserve"> between the </w:t>
            </w:r>
            <w:r w:rsidR="00D732FB" w:rsidRPr="00983460">
              <w:rPr>
                <w:rFonts w:cs="Arial"/>
                <w:bCs/>
                <w:kern w:val="24"/>
                <w:sz w:val="22"/>
                <w:szCs w:val="22"/>
              </w:rPr>
              <w:t>p</w:t>
            </w:r>
            <w:r w:rsidR="00605927" w:rsidRPr="00983460">
              <w:rPr>
                <w:rFonts w:cs="Arial"/>
                <w:bCs/>
                <w:kern w:val="24"/>
                <w:sz w:val="22"/>
                <w:szCs w:val="22"/>
              </w:rPr>
              <w:t>arties</w:t>
            </w:r>
            <w:r w:rsidR="00605927" w:rsidRPr="004335A0">
              <w:rPr>
                <w:kern w:val="24"/>
                <w:sz w:val="22"/>
              </w:rPr>
              <w:t>.</w:t>
            </w:r>
          </w:p>
        </w:tc>
      </w:tr>
      <w:tr w:rsidR="00303E72" w:rsidRPr="00983460" w:rsidTr="004335A0">
        <w:tc>
          <w:tcPr>
            <w:tcW w:w="1260" w:type="dxa"/>
          </w:tcPr>
          <w:p w:rsidR="00000ACF" w:rsidRPr="004335A0" w:rsidRDefault="00000ACF" w:rsidP="004335A0">
            <w:pPr>
              <w:pStyle w:val="ListParagraph"/>
              <w:tabs>
                <w:tab w:val="left" w:pos="7020"/>
              </w:tabs>
              <w:spacing w:line="360" w:lineRule="auto"/>
              <w:ind w:left="0"/>
              <w:jc w:val="both"/>
              <w:rPr>
                <w:sz w:val="22"/>
              </w:rPr>
            </w:pPr>
            <w:proofErr w:type="spellStart"/>
            <w:r w:rsidRPr="004335A0">
              <w:rPr>
                <w:rFonts w:eastAsia="Calibri"/>
                <w:kern w:val="24"/>
                <w:sz w:val="22"/>
              </w:rPr>
              <w:t>Zaliwa</w:t>
            </w:r>
            <w:proofErr w:type="spellEnd"/>
            <w:r w:rsidRPr="004335A0">
              <w:rPr>
                <w:rFonts w:eastAsia="Calibri"/>
                <w:kern w:val="24"/>
                <w:sz w:val="22"/>
              </w:rPr>
              <w:t xml:space="preserve"> (Pty) Ltd</w:t>
            </w:r>
          </w:p>
        </w:tc>
        <w:tc>
          <w:tcPr>
            <w:tcW w:w="5458" w:type="dxa"/>
          </w:tcPr>
          <w:p w:rsidR="00000ACF" w:rsidRPr="004335A0" w:rsidRDefault="00000ACF" w:rsidP="004335A0">
            <w:pPr>
              <w:pStyle w:val="ListParagraph"/>
              <w:tabs>
                <w:tab w:val="left" w:pos="7020"/>
              </w:tabs>
              <w:spacing w:line="360" w:lineRule="auto"/>
              <w:ind w:left="0"/>
              <w:jc w:val="both"/>
              <w:rPr>
                <w:sz w:val="22"/>
              </w:rPr>
            </w:pPr>
            <w:r w:rsidRPr="004335A0">
              <w:rPr>
                <w:rFonts w:eastAsia="Calibri"/>
                <w:kern w:val="24"/>
                <w:sz w:val="22"/>
              </w:rPr>
              <w:t xml:space="preserve">SAPO received </w:t>
            </w:r>
            <w:r w:rsidR="00D732FB" w:rsidRPr="00983460">
              <w:rPr>
                <w:rFonts w:eastAsia="Calibri" w:cs="Arial"/>
                <w:kern w:val="24"/>
                <w:sz w:val="22"/>
                <w:szCs w:val="22"/>
              </w:rPr>
              <w:t xml:space="preserve">a </w:t>
            </w:r>
            <w:r w:rsidRPr="004335A0">
              <w:rPr>
                <w:rFonts w:eastAsia="Calibri"/>
                <w:kern w:val="24"/>
                <w:sz w:val="22"/>
              </w:rPr>
              <w:t xml:space="preserve">Notice of Motion for </w:t>
            </w:r>
            <w:r w:rsidR="00D732FB" w:rsidRPr="00983460">
              <w:rPr>
                <w:rFonts w:eastAsia="Calibri" w:cs="Arial"/>
                <w:kern w:val="24"/>
                <w:sz w:val="22"/>
                <w:szCs w:val="22"/>
              </w:rPr>
              <w:t>l</w:t>
            </w:r>
            <w:r w:rsidRPr="00983460">
              <w:rPr>
                <w:rFonts w:eastAsia="Calibri" w:cs="Arial"/>
                <w:kern w:val="24"/>
                <w:sz w:val="22"/>
                <w:szCs w:val="22"/>
              </w:rPr>
              <w:t>iquidation</w:t>
            </w:r>
            <w:r w:rsidRPr="004335A0">
              <w:rPr>
                <w:rFonts w:eastAsia="Calibri"/>
                <w:kern w:val="24"/>
                <w:sz w:val="22"/>
              </w:rPr>
              <w:t xml:space="preserve"> on 22 August 2022. SAPO</w:t>
            </w:r>
            <w:r w:rsidR="001F27A6" w:rsidRPr="004335A0">
              <w:rPr>
                <w:rFonts w:eastAsia="Calibri"/>
                <w:kern w:val="24"/>
                <w:sz w:val="22"/>
              </w:rPr>
              <w:t xml:space="preserve"> is </w:t>
            </w:r>
            <w:r w:rsidR="00E67488" w:rsidRPr="00983460">
              <w:rPr>
                <w:rFonts w:eastAsia="Calibri" w:cs="Arial"/>
                <w:kern w:val="24"/>
                <w:sz w:val="22"/>
                <w:szCs w:val="22"/>
              </w:rPr>
              <w:t xml:space="preserve">currently </w:t>
            </w:r>
            <w:r w:rsidR="001F27A6" w:rsidRPr="004335A0">
              <w:rPr>
                <w:rFonts w:eastAsia="Calibri"/>
                <w:kern w:val="24"/>
                <w:sz w:val="22"/>
              </w:rPr>
              <w:t xml:space="preserve">dealing with the </w:t>
            </w:r>
            <w:r w:rsidR="00E67488" w:rsidRPr="00983460">
              <w:rPr>
                <w:rFonts w:eastAsia="Calibri" w:cs="Arial"/>
                <w:kern w:val="24"/>
                <w:sz w:val="22"/>
                <w:szCs w:val="22"/>
              </w:rPr>
              <w:t>m</w:t>
            </w:r>
            <w:r w:rsidR="001F27A6" w:rsidRPr="00983460">
              <w:rPr>
                <w:rFonts w:eastAsia="Calibri" w:cs="Arial"/>
                <w:kern w:val="24"/>
                <w:sz w:val="22"/>
                <w:szCs w:val="22"/>
              </w:rPr>
              <w:t>atter</w:t>
            </w:r>
            <w:r w:rsidR="00E67488" w:rsidRPr="00983460">
              <w:rPr>
                <w:rFonts w:eastAsia="Calibri" w:cs="Arial"/>
                <w:kern w:val="24"/>
                <w:sz w:val="22"/>
                <w:szCs w:val="22"/>
              </w:rPr>
              <w:t xml:space="preserve"> and a</w:t>
            </w:r>
            <w:r w:rsidR="008A6BC8" w:rsidRPr="00983460">
              <w:rPr>
                <w:rFonts w:eastAsia="Calibri" w:cs="Arial"/>
                <w:kern w:val="24"/>
                <w:sz w:val="22"/>
                <w:szCs w:val="22"/>
              </w:rPr>
              <w:t xml:space="preserve"> </w:t>
            </w:r>
            <w:r w:rsidR="00E67488" w:rsidRPr="00983460">
              <w:rPr>
                <w:rFonts w:eastAsia="Calibri" w:cs="Arial"/>
                <w:kern w:val="24"/>
                <w:sz w:val="22"/>
                <w:szCs w:val="22"/>
              </w:rPr>
              <w:t>c</w:t>
            </w:r>
            <w:r w:rsidR="008A6BC8" w:rsidRPr="00983460">
              <w:rPr>
                <w:rFonts w:eastAsia="Calibri" w:cs="Arial"/>
                <w:kern w:val="24"/>
                <w:sz w:val="22"/>
                <w:szCs w:val="22"/>
              </w:rPr>
              <w:t>ourt</w:t>
            </w:r>
            <w:r w:rsidR="008A6BC8" w:rsidRPr="004335A0">
              <w:rPr>
                <w:rFonts w:eastAsia="Calibri"/>
                <w:kern w:val="24"/>
                <w:sz w:val="22"/>
              </w:rPr>
              <w:t xml:space="preserve"> date has not yet been allocated.</w:t>
            </w:r>
          </w:p>
        </w:tc>
        <w:tc>
          <w:tcPr>
            <w:tcW w:w="2818" w:type="dxa"/>
          </w:tcPr>
          <w:p w:rsidR="00000ACF" w:rsidRPr="004335A0" w:rsidRDefault="00000ACF" w:rsidP="004335A0">
            <w:pPr>
              <w:pStyle w:val="ListParagraph"/>
              <w:tabs>
                <w:tab w:val="left" w:pos="7020"/>
              </w:tabs>
              <w:ind w:left="0"/>
              <w:jc w:val="both"/>
              <w:rPr>
                <w:sz w:val="22"/>
              </w:rPr>
            </w:pPr>
            <w:r w:rsidRPr="004335A0">
              <w:rPr>
                <w:kern w:val="24"/>
                <w:sz w:val="22"/>
              </w:rPr>
              <w:t xml:space="preserve">The matter </w:t>
            </w:r>
            <w:r w:rsidR="008A6BC8" w:rsidRPr="004335A0">
              <w:rPr>
                <w:kern w:val="24"/>
                <w:sz w:val="22"/>
              </w:rPr>
              <w:t>is pending</w:t>
            </w:r>
            <w:r w:rsidR="00E67488" w:rsidRPr="00983460">
              <w:rPr>
                <w:rFonts w:cs="Arial"/>
                <w:bCs/>
                <w:kern w:val="24"/>
                <w:sz w:val="22"/>
                <w:szCs w:val="22"/>
              </w:rPr>
              <w:t>.</w:t>
            </w:r>
          </w:p>
        </w:tc>
      </w:tr>
    </w:tbl>
    <w:p w:rsidR="00C83C04" w:rsidRPr="004335A0" w:rsidRDefault="00C83C04" w:rsidP="00C83C04">
      <w:pPr>
        <w:pStyle w:val="ListParagraph"/>
        <w:tabs>
          <w:tab w:val="left" w:pos="7020"/>
        </w:tabs>
        <w:spacing w:line="360" w:lineRule="auto"/>
        <w:ind w:left="1080"/>
        <w:rPr>
          <w:sz w:val="22"/>
        </w:rPr>
      </w:pPr>
    </w:p>
    <w:p w:rsidR="00D359A3" w:rsidRPr="004335A0" w:rsidRDefault="00D359A3" w:rsidP="00D359A3">
      <w:pPr>
        <w:spacing w:after="0" w:line="240" w:lineRule="auto"/>
        <w:ind w:left="1080" w:hanging="1080"/>
        <w:contextualSpacing/>
        <w:jc w:val="both"/>
        <w:rPr>
          <w:rFonts w:ascii="Arial" w:hAnsi="Arial"/>
          <w:b/>
        </w:rPr>
      </w:pPr>
      <w:r w:rsidRPr="004335A0">
        <w:rPr>
          <w:rFonts w:ascii="Arial" w:hAnsi="Arial"/>
          <w:b/>
        </w:rPr>
        <w:t>Authorised for submission by</w:t>
      </w:r>
    </w:p>
    <w:p w:rsidR="00D359A3" w:rsidRPr="004335A0" w:rsidRDefault="00D359A3" w:rsidP="00D359A3">
      <w:pPr>
        <w:spacing w:after="0" w:line="240" w:lineRule="auto"/>
        <w:jc w:val="both"/>
        <w:rPr>
          <w:rFonts w:ascii="Arial" w:hAnsi="Arial"/>
          <w:b/>
          <w:sz w:val="24"/>
          <w:u w:val="single"/>
        </w:rPr>
      </w:pPr>
    </w:p>
    <w:p w:rsidR="00D359A3" w:rsidRPr="004335A0" w:rsidRDefault="00D359A3" w:rsidP="00D359A3">
      <w:pPr>
        <w:spacing w:after="0" w:line="240" w:lineRule="auto"/>
        <w:jc w:val="both"/>
        <w:rPr>
          <w:rFonts w:ascii="Arial" w:hAnsi="Arial"/>
          <w:b/>
          <w:sz w:val="24"/>
          <w:u w:val="single"/>
        </w:rPr>
      </w:pPr>
    </w:p>
    <w:p w:rsidR="00D359A3" w:rsidRPr="004335A0" w:rsidRDefault="00D359A3" w:rsidP="00D359A3">
      <w:pPr>
        <w:spacing w:after="0" w:line="240" w:lineRule="auto"/>
        <w:jc w:val="both"/>
        <w:rPr>
          <w:rFonts w:ascii="Arial" w:hAnsi="Arial"/>
          <w:b/>
          <w:sz w:val="24"/>
          <w:u w:val="single"/>
        </w:rPr>
      </w:pPr>
      <w:r w:rsidRPr="004335A0">
        <w:rPr>
          <w:rFonts w:ascii="Arial" w:hAnsi="Arial"/>
          <w:b/>
          <w:sz w:val="24"/>
          <w:u w:val="single"/>
        </w:rPr>
        <w:tab/>
      </w:r>
      <w:r w:rsidRPr="004335A0">
        <w:rPr>
          <w:rFonts w:ascii="Arial" w:hAnsi="Arial"/>
          <w:b/>
          <w:sz w:val="24"/>
          <w:u w:val="single"/>
        </w:rPr>
        <w:tab/>
      </w:r>
      <w:r w:rsidRPr="004335A0">
        <w:rPr>
          <w:rFonts w:ascii="Arial" w:hAnsi="Arial"/>
          <w:b/>
          <w:sz w:val="24"/>
          <w:u w:val="single"/>
        </w:rPr>
        <w:tab/>
      </w:r>
      <w:r w:rsidRPr="004335A0">
        <w:rPr>
          <w:rFonts w:ascii="Arial" w:hAnsi="Arial"/>
          <w:b/>
          <w:sz w:val="24"/>
          <w:u w:val="single"/>
        </w:rPr>
        <w:tab/>
      </w:r>
    </w:p>
    <w:p w:rsidR="00D359A3" w:rsidRPr="004335A0" w:rsidRDefault="00D359A3" w:rsidP="00D359A3">
      <w:pPr>
        <w:spacing w:after="0" w:line="240" w:lineRule="auto"/>
        <w:ind w:left="720" w:hanging="720"/>
        <w:jc w:val="both"/>
        <w:rPr>
          <w:rFonts w:ascii="Arial" w:hAnsi="Arial"/>
          <w:b/>
          <w:sz w:val="24"/>
        </w:rPr>
      </w:pPr>
      <w:r w:rsidRPr="004335A0">
        <w:rPr>
          <w:rFonts w:ascii="Arial" w:hAnsi="Arial"/>
          <w:b/>
          <w:sz w:val="24"/>
        </w:rPr>
        <w:t>MR TINYIKO NGOBENI</w:t>
      </w:r>
    </w:p>
    <w:p w:rsidR="00D359A3" w:rsidRPr="004335A0" w:rsidRDefault="00D359A3" w:rsidP="00D359A3">
      <w:pPr>
        <w:spacing w:after="0" w:line="240" w:lineRule="auto"/>
        <w:ind w:left="720" w:hanging="720"/>
        <w:jc w:val="both"/>
        <w:rPr>
          <w:rFonts w:ascii="Arial" w:hAnsi="Arial"/>
          <w:b/>
          <w:sz w:val="24"/>
        </w:rPr>
      </w:pPr>
      <w:r w:rsidRPr="004335A0">
        <w:rPr>
          <w:rFonts w:ascii="Arial" w:hAnsi="Arial"/>
          <w:b/>
          <w:sz w:val="24"/>
        </w:rPr>
        <w:t>DIRECTOR-GENERAL (ACTING)</w:t>
      </w:r>
    </w:p>
    <w:p w:rsidR="00D359A3" w:rsidRPr="004335A0" w:rsidRDefault="00D359A3" w:rsidP="00D359A3">
      <w:pPr>
        <w:spacing w:after="0" w:line="240" w:lineRule="auto"/>
        <w:contextualSpacing/>
        <w:jc w:val="both"/>
        <w:rPr>
          <w:rFonts w:ascii="Arial" w:hAnsi="Arial"/>
          <w:b/>
          <w:sz w:val="24"/>
        </w:rPr>
      </w:pPr>
      <w:r w:rsidRPr="004335A0">
        <w:rPr>
          <w:rFonts w:ascii="Arial" w:hAnsi="Arial"/>
          <w:b/>
          <w:sz w:val="24"/>
        </w:rPr>
        <w:t>DATE:</w:t>
      </w:r>
    </w:p>
    <w:p w:rsidR="00D359A3" w:rsidRPr="004335A0" w:rsidRDefault="00D359A3" w:rsidP="00D359A3">
      <w:pPr>
        <w:spacing w:after="0" w:line="240" w:lineRule="auto"/>
        <w:contextualSpacing/>
        <w:jc w:val="both"/>
        <w:rPr>
          <w:rFonts w:ascii="Arial" w:hAnsi="Arial"/>
          <w:b/>
          <w:sz w:val="24"/>
        </w:rPr>
      </w:pPr>
    </w:p>
    <w:p w:rsidR="00D359A3" w:rsidRPr="004335A0" w:rsidRDefault="00D359A3" w:rsidP="00D359A3">
      <w:pPr>
        <w:spacing w:after="0" w:line="240" w:lineRule="auto"/>
        <w:ind w:left="720" w:hanging="720"/>
        <w:contextualSpacing/>
        <w:jc w:val="both"/>
        <w:rPr>
          <w:rFonts w:ascii="Arial" w:hAnsi="Arial"/>
          <w:b/>
          <w:sz w:val="24"/>
        </w:rPr>
      </w:pPr>
      <w:r w:rsidRPr="004335A0">
        <w:rPr>
          <w:rFonts w:ascii="Arial" w:hAnsi="Arial"/>
          <w:b/>
          <w:sz w:val="24"/>
        </w:rPr>
        <w:t>Recommended/not recommended</w:t>
      </w:r>
    </w:p>
    <w:p w:rsidR="00D359A3" w:rsidRPr="004335A0" w:rsidRDefault="00D359A3" w:rsidP="00D359A3">
      <w:pPr>
        <w:spacing w:after="0" w:line="240" w:lineRule="auto"/>
        <w:ind w:left="720" w:hanging="720"/>
        <w:rPr>
          <w:rFonts w:ascii="Arial" w:hAnsi="Arial"/>
          <w:b/>
          <w:sz w:val="24"/>
        </w:rPr>
      </w:pPr>
    </w:p>
    <w:p w:rsidR="00D359A3" w:rsidRPr="004335A0" w:rsidRDefault="00D359A3" w:rsidP="00D359A3">
      <w:pPr>
        <w:spacing w:after="0" w:line="240" w:lineRule="auto"/>
        <w:ind w:left="720" w:hanging="720"/>
        <w:rPr>
          <w:rFonts w:ascii="Arial" w:hAnsi="Arial"/>
          <w:b/>
          <w:sz w:val="24"/>
        </w:rPr>
      </w:pPr>
    </w:p>
    <w:p w:rsidR="00D359A3" w:rsidRPr="004335A0" w:rsidRDefault="00D359A3" w:rsidP="00D359A3">
      <w:pPr>
        <w:spacing w:after="0" w:line="240" w:lineRule="auto"/>
        <w:ind w:left="720" w:hanging="720"/>
        <w:rPr>
          <w:rFonts w:ascii="Arial" w:hAnsi="Arial"/>
          <w:b/>
          <w:sz w:val="24"/>
        </w:rPr>
      </w:pPr>
    </w:p>
    <w:p w:rsidR="00D359A3" w:rsidRPr="004335A0" w:rsidRDefault="00D359A3" w:rsidP="00D359A3">
      <w:pPr>
        <w:spacing w:after="0" w:line="240" w:lineRule="auto"/>
        <w:ind w:left="720" w:hanging="720"/>
        <w:rPr>
          <w:rFonts w:ascii="Arial" w:hAnsi="Arial"/>
          <w:b/>
          <w:sz w:val="24"/>
        </w:rPr>
      </w:pPr>
      <w:r w:rsidRPr="004335A0">
        <w:rPr>
          <w:rFonts w:ascii="Arial" w:hAnsi="Arial"/>
          <w:b/>
          <w:sz w:val="24"/>
        </w:rPr>
        <w:t>__________________________</w:t>
      </w:r>
    </w:p>
    <w:p w:rsidR="00D359A3" w:rsidRPr="004335A0" w:rsidRDefault="00D359A3" w:rsidP="00D359A3">
      <w:pPr>
        <w:spacing w:after="0" w:line="240" w:lineRule="auto"/>
        <w:ind w:left="720" w:hanging="720"/>
        <w:rPr>
          <w:rFonts w:ascii="Arial" w:hAnsi="Arial"/>
          <w:b/>
          <w:sz w:val="24"/>
        </w:rPr>
      </w:pPr>
      <w:r w:rsidRPr="004335A0">
        <w:rPr>
          <w:rFonts w:ascii="Arial" w:hAnsi="Arial"/>
          <w:b/>
          <w:sz w:val="24"/>
        </w:rPr>
        <w:t>HON. PHILLY MAPULANE, MP</w:t>
      </w:r>
    </w:p>
    <w:p w:rsidR="00D359A3" w:rsidRPr="004335A0" w:rsidRDefault="00D359A3" w:rsidP="00D359A3">
      <w:pPr>
        <w:spacing w:after="0" w:line="240" w:lineRule="auto"/>
        <w:ind w:left="720" w:hanging="720"/>
        <w:rPr>
          <w:rFonts w:ascii="Arial" w:hAnsi="Arial"/>
          <w:b/>
          <w:sz w:val="24"/>
        </w:rPr>
      </w:pPr>
      <w:r w:rsidRPr="004335A0">
        <w:rPr>
          <w:rFonts w:ascii="Arial" w:hAnsi="Arial"/>
          <w:b/>
          <w:sz w:val="24"/>
        </w:rPr>
        <w:t>DEPUTY MINISTER OF COMMUNICATIONS AND DIGITAL TECHNOLOGIES</w:t>
      </w:r>
    </w:p>
    <w:p w:rsidR="00D359A3" w:rsidRPr="004335A0" w:rsidRDefault="00D359A3" w:rsidP="00D359A3">
      <w:pPr>
        <w:spacing w:after="0" w:line="240" w:lineRule="auto"/>
        <w:ind w:left="720" w:hanging="720"/>
        <w:rPr>
          <w:rFonts w:ascii="Arial" w:hAnsi="Arial"/>
          <w:b/>
          <w:sz w:val="24"/>
        </w:rPr>
      </w:pPr>
      <w:r w:rsidRPr="004335A0">
        <w:rPr>
          <w:rFonts w:ascii="Arial" w:hAnsi="Arial"/>
          <w:b/>
          <w:sz w:val="24"/>
        </w:rPr>
        <w:t xml:space="preserve">DATE: </w:t>
      </w:r>
    </w:p>
    <w:p w:rsidR="00D359A3" w:rsidRPr="004335A0" w:rsidRDefault="00D359A3" w:rsidP="00D359A3">
      <w:pPr>
        <w:spacing w:after="0" w:line="240" w:lineRule="auto"/>
        <w:ind w:left="720" w:hanging="720"/>
        <w:rPr>
          <w:rFonts w:ascii="Arial" w:hAnsi="Arial"/>
          <w:b/>
          <w:sz w:val="24"/>
        </w:rPr>
      </w:pPr>
    </w:p>
    <w:p w:rsidR="00D359A3" w:rsidRPr="004335A0" w:rsidRDefault="00D359A3" w:rsidP="00D359A3">
      <w:pPr>
        <w:spacing w:after="0" w:line="240" w:lineRule="auto"/>
        <w:contextualSpacing/>
        <w:jc w:val="both"/>
        <w:rPr>
          <w:rFonts w:ascii="Arial" w:hAnsi="Arial"/>
          <w:b/>
          <w:sz w:val="24"/>
        </w:rPr>
      </w:pPr>
    </w:p>
    <w:p w:rsidR="00D359A3" w:rsidRPr="004335A0" w:rsidRDefault="00D359A3" w:rsidP="00D359A3">
      <w:pPr>
        <w:spacing w:after="0" w:line="240" w:lineRule="auto"/>
        <w:ind w:left="720" w:hanging="720"/>
        <w:contextualSpacing/>
        <w:jc w:val="both"/>
        <w:rPr>
          <w:rFonts w:ascii="Arial" w:hAnsi="Arial"/>
          <w:b/>
          <w:sz w:val="24"/>
        </w:rPr>
      </w:pPr>
      <w:r w:rsidRPr="004335A0">
        <w:rPr>
          <w:rFonts w:ascii="Arial" w:hAnsi="Arial"/>
          <w:b/>
          <w:sz w:val="24"/>
        </w:rPr>
        <w:t>Approved/ not approved</w:t>
      </w:r>
    </w:p>
    <w:p w:rsidR="00D359A3" w:rsidRPr="004335A0" w:rsidRDefault="00D359A3" w:rsidP="00D359A3">
      <w:pPr>
        <w:spacing w:after="0" w:line="240" w:lineRule="auto"/>
        <w:ind w:left="720" w:hanging="720"/>
        <w:rPr>
          <w:rFonts w:ascii="Arial" w:hAnsi="Arial"/>
          <w:b/>
          <w:sz w:val="24"/>
        </w:rPr>
      </w:pPr>
    </w:p>
    <w:p w:rsidR="00D359A3" w:rsidRPr="004335A0" w:rsidRDefault="00D359A3" w:rsidP="00D359A3">
      <w:pPr>
        <w:spacing w:after="0" w:line="240" w:lineRule="auto"/>
        <w:ind w:left="720" w:hanging="720"/>
        <w:rPr>
          <w:rFonts w:ascii="Arial" w:hAnsi="Arial"/>
          <w:b/>
          <w:sz w:val="24"/>
        </w:rPr>
      </w:pPr>
    </w:p>
    <w:p w:rsidR="00D359A3" w:rsidRPr="004335A0" w:rsidRDefault="00D359A3" w:rsidP="00D359A3">
      <w:pPr>
        <w:spacing w:after="0" w:line="240" w:lineRule="auto"/>
        <w:ind w:left="720" w:hanging="720"/>
        <w:rPr>
          <w:rFonts w:ascii="Arial" w:hAnsi="Arial"/>
          <w:b/>
          <w:sz w:val="24"/>
        </w:rPr>
      </w:pPr>
      <w:r w:rsidRPr="004335A0">
        <w:rPr>
          <w:rFonts w:ascii="Arial" w:hAnsi="Arial"/>
          <w:b/>
          <w:sz w:val="24"/>
        </w:rPr>
        <w:t>________________________________</w:t>
      </w:r>
      <w:r w:rsidRPr="004335A0">
        <w:rPr>
          <w:rFonts w:ascii="Arial" w:hAnsi="Arial"/>
          <w:b/>
          <w:sz w:val="24"/>
        </w:rPr>
        <w:tab/>
      </w:r>
    </w:p>
    <w:p w:rsidR="00D359A3" w:rsidRPr="004335A0" w:rsidRDefault="00D359A3" w:rsidP="00D359A3">
      <w:pPr>
        <w:pBdr>
          <w:top w:val="nil"/>
          <w:left w:val="nil"/>
          <w:bottom w:val="nil"/>
          <w:right w:val="nil"/>
          <w:between w:val="nil"/>
        </w:pBdr>
        <w:spacing w:after="0" w:line="240" w:lineRule="auto"/>
        <w:rPr>
          <w:rFonts w:ascii="Arial" w:hAnsi="Arial"/>
          <w:b/>
          <w:sz w:val="24"/>
        </w:rPr>
      </w:pPr>
      <w:r w:rsidRPr="004335A0">
        <w:rPr>
          <w:rFonts w:ascii="Arial" w:hAnsi="Arial"/>
          <w:b/>
          <w:sz w:val="24"/>
        </w:rPr>
        <w:t xml:space="preserve">HON. KHUMBUDZO NTSHAVHENI, MP </w:t>
      </w:r>
    </w:p>
    <w:p w:rsidR="00D359A3" w:rsidRPr="004335A0" w:rsidRDefault="00D359A3" w:rsidP="00D359A3">
      <w:pPr>
        <w:pBdr>
          <w:top w:val="nil"/>
          <w:left w:val="nil"/>
          <w:bottom w:val="nil"/>
          <w:right w:val="nil"/>
          <w:between w:val="nil"/>
        </w:pBdr>
        <w:spacing w:after="0" w:line="240" w:lineRule="auto"/>
        <w:rPr>
          <w:rFonts w:ascii="Arial" w:hAnsi="Arial"/>
          <w:b/>
          <w:sz w:val="24"/>
        </w:rPr>
      </w:pPr>
      <w:r w:rsidRPr="004335A0">
        <w:rPr>
          <w:rFonts w:ascii="Arial" w:hAnsi="Arial"/>
          <w:b/>
          <w:sz w:val="24"/>
        </w:rPr>
        <w:t>MINISTER OF COMMUNICATIONS AND DIGITAL TECHNOLOGIES</w:t>
      </w:r>
    </w:p>
    <w:p w:rsidR="00D359A3" w:rsidRPr="004335A0" w:rsidRDefault="00D359A3" w:rsidP="00D359A3">
      <w:pPr>
        <w:pBdr>
          <w:top w:val="nil"/>
          <w:left w:val="nil"/>
          <w:bottom w:val="nil"/>
          <w:right w:val="nil"/>
          <w:between w:val="nil"/>
        </w:pBdr>
        <w:spacing w:after="0" w:line="240" w:lineRule="auto"/>
        <w:rPr>
          <w:rFonts w:ascii="Arial" w:hAnsi="Arial"/>
          <w:b/>
          <w:sz w:val="24"/>
        </w:rPr>
      </w:pPr>
      <w:r w:rsidRPr="004335A0">
        <w:rPr>
          <w:rFonts w:ascii="Arial" w:hAnsi="Arial"/>
          <w:b/>
          <w:sz w:val="24"/>
        </w:rPr>
        <w:t>DATE:</w:t>
      </w:r>
    </w:p>
    <w:p w:rsidR="00D359A3" w:rsidRPr="00983460" w:rsidRDefault="00D359A3" w:rsidP="00D359A3">
      <w:pPr>
        <w:spacing w:before="100" w:beforeAutospacing="1" w:after="100" w:afterAutospacing="1" w:line="276" w:lineRule="auto"/>
        <w:jc w:val="both"/>
        <w:rPr>
          <w:rFonts w:ascii="Calibri" w:eastAsia="Calibri" w:hAnsi="Calibri" w:cs="Arial"/>
          <w:b/>
          <w:szCs w:val="24"/>
        </w:rPr>
      </w:pPr>
    </w:p>
    <w:p w:rsidR="00D359A3" w:rsidRPr="00983460" w:rsidRDefault="00D359A3" w:rsidP="00D359A3">
      <w:pPr>
        <w:spacing w:before="100" w:beforeAutospacing="1" w:after="100" w:afterAutospacing="1" w:line="276" w:lineRule="auto"/>
        <w:ind w:left="720"/>
        <w:jc w:val="both"/>
        <w:rPr>
          <w:rFonts w:ascii="Calibri" w:eastAsia="Calibri" w:hAnsi="Calibri" w:cs="Arial"/>
          <w:b/>
          <w:szCs w:val="24"/>
        </w:rPr>
      </w:pPr>
    </w:p>
    <w:p w:rsidR="00D359A3" w:rsidRPr="00983460" w:rsidRDefault="00D359A3" w:rsidP="00D359A3">
      <w:pPr>
        <w:tabs>
          <w:tab w:val="left" w:pos="180"/>
          <w:tab w:val="left" w:pos="567"/>
        </w:tabs>
        <w:spacing w:after="0" w:line="360" w:lineRule="auto"/>
        <w:ind w:hanging="1069"/>
        <w:rPr>
          <w:rFonts w:ascii="Arial" w:eastAsia="Times New Roman" w:hAnsi="Arial" w:cs="Arial"/>
          <w:bCs/>
          <w:sz w:val="24"/>
          <w:szCs w:val="24"/>
        </w:rPr>
      </w:pPr>
    </w:p>
    <w:p w:rsidR="00D85EF6" w:rsidRPr="004335A0" w:rsidRDefault="00D85EF6" w:rsidP="00D85EF6">
      <w:pPr>
        <w:spacing w:line="240" w:lineRule="auto"/>
        <w:contextualSpacing/>
        <w:jc w:val="both"/>
        <w:rPr>
          <w:rFonts w:ascii="Arial" w:hAnsi="Arial"/>
          <w:b/>
          <w:sz w:val="24"/>
        </w:rPr>
      </w:pPr>
    </w:p>
    <w:sectPr w:rsidR="00D85EF6" w:rsidRPr="004335A0" w:rsidSect="00B445D3">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DC" w:rsidRDefault="00FD5DDC" w:rsidP="00D12ACE">
      <w:pPr>
        <w:spacing w:after="0" w:line="240" w:lineRule="auto"/>
      </w:pPr>
      <w:r>
        <w:separator/>
      </w:r>
    </w:p>
  </w:endnote>
  <w:endnote w:type="continuationSeparator" w:id="0">
    <w:p w:rsidR="00FD5DDC" w:rsidRDefault="00FD5DDC" w:rsidP="00D12ACE">
      <w:pPr>
        <w:spacing w:after="0" w:line="240" w:lineRule="auto"/>
      </w:pPr>
      <w:r>
        <w:continuationSeparator/>
      </w:r>
    </w:p>
  </w:endnote>
  <w:endnote w:type="continuationNotice" w:id="1">
    <w:p w:rsidR="00FD5DDC" w:rsidRDefault="00FD5DD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DC" w:rsidRDefault="00FD5DDC" w:rsidP="00D12ACE">
      <w:pPr>
        <w:spacing w:after="0" w:line="240" w:lineRule="auto"/>
      </w:pPr>
      <w:r>
        <w:separator/>
      </w:r>
    </w:p>
  </w:footnote>
  <w:footnote w:type="continuationSeparator" w:id="0">
    <w:p w:rsidR="00FD5DDC" w:rsidRDefault="00FD5DDC" w:rsidP="00D12ACE">
      <w:pPr>
        <w:spacing w:after="0" w:line="240" w:lineRule="auto"/>
      </w:pPr>
      <w:r>
        <w:continuationSeparator/>
      </w:r>
    </w:p>
  </w:footnote>
  <w:footnote w:type="continuationNotice" w:id="1">
    <w:p w:rsidR="00FD5DDC" w:rsidRDefault="00FD5DD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69C16251"/>
    <w:multiLevelType w:val="hybridMultilevel"/>
    <w:tmpl w:val="9460CA14"/>
    <w:lvl w:ilvl="0" w:tplc="E8F6C52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2227F9"/>
    <w:multiLevelType w:val="hybridMultilevel"/>
    <w:tmpl w:val="6BFE496C"/>
    <w:lvl w:ilvl="0" w:tplc="1C090011">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rsids>
    <w:rsidRoot w:val="00B059F1"/>
    <w:rsid w:val="00000522"/>
    <w:rsid w:val="00000ACF"/>
    <w:rsid w:val="00016462"/>
    <w:rsid w:val="00045122"/>
    <w:rsid w:val="000678DE"/>
    <w:rsid w:val="000A7337"/>
    <w:rsid w:val="000B272A"/>
    <w:rsid w:val="000D0476"/>
    <w:rsid w:val="000E0DA2"/>
    <w:rsid w:val="000F20A2"/>
    <w:rsid w:val="000F6851"/>
    <w:rsid w:val="0010041B"/>
    <w:rsid w:val="0011219C"/>
    <w:rsid w:val="001522C3"/>
    <w:rsid w:val="0015522D"/>
    <w:rsid w:val="00174487"/>
    <w:rsid w:val="001A20C6"/>
    <w:rsid w:val="001B04EF"/>
    <w:rsid w:val="001C2258"/>
    <w:rsid w:val="001E13FA"/>
    <w:rsid w:val="001F27A6"/>
    <w:rsid w:val="002110CA"/>
    <w:rsid w:val="0021264B"/>
    <w:rsid w:val="00226E9C"/>
    <w:rsid w:val="0023171B"/>
    <w:rsid w:val="00244E1B"/>
    <w:rsid w:val="0025486F"/>
    <w:rsid w:val="00257468"/>
    <w:rsid w:val="00267150"/>
    <w:rsid w:val="00275399"/>
    <w:rsid w:val="00281325"/>
    <w:rsid w:val="00284C00"/>
    <w:rsid w:val="002869EF"/>
    <w:rsid w:val="00286A2B"/>
    <w:rsid w:val="002D78F3"/>
    <w:rsid w:val="002F221C"/>
    <w:rsid w:val="00303E72"/>
    <w:rsid w:val="00310FFE"/>
    <w:rsid w:val="003151A0"/>
    <w:rsid w:val="0032711A"/>
    <w:rsid w:val="0035442A"/>
    <w:rsid w:val="00364FA9"/>
    <w:rsid w:val="003A477D"/>
    <w:rsid w:val="003C14E5"/>
    <w:rsid w:val="003C242C"/>
    <w:rsid w:val="003D25B5"/>
    <w:rsid w:val="003E3814"/>
    <w:rsid w:val="0040072F"/>
    <w:rsid w:val="0041565C"/>
    <w:rsid w:val="004171F0"/>
    <w:rsid w:val="0042136B"/>
    <w:rsid w:val="00424AB1"/>
    <w:rsid w:val="004335A0"/>
    <w:rsid w:val="0043473C"/>
    <w:rsid w:val="00444E06"/>
    <w:rsid w:val="004567D7"/>
    <w:rsid w:val="00461F60"/>
    <w:rsid w:val="00487C40"/>
    <w:rsid w:val="004909A5"/>
    <w:rsid w:val="004A1E82"/>
    <w:rsid w:val="004A492D"/>
    <w:rsid w:val="004B0C0A"/>
    <w:rsid w:val="004B5CF8"/>
    <w:rsid w:val="004C3CEE"/>
    <w:rsid w:val="00507EAD"/>
    <w:rsid w:val="00512748"/>
    <w:rsid w:val="00533291"/>
    <w:rsid w:val="0053334D"/>
    <w:rsid w:val="00536A04"/>
    <w:rsid w:val="00550E63"/>
    <w:rsid w:val="005541A8"/>
    <w:rsid w:val="00564F2E"/>
    <w:rsid w:val="005A0D0C"/>
    <w:rsid w:val="005A20E3"/>
    <w:rsid w:val="005B6B89"/>
    <w:rsid w:val="005C44DE"/>
    <w:rsid w:val="005D3F4A"/>
    <w:rsid w:val="00605927"/>
    <w:rsid w:val="0060662C"/>
    <w:rsid w:val="00646B12"/>
    <w:rsid w:val="006536EB"/>
    <w:rsid w:val="0066181D"/>
    <w:rsid w:val="00683F17"/>
    <w:rsid w:val="006A1FD7"/>
    <w:rsid w:val="006A2E75"/>
    <w:rsid w:val="006B246A"/>
    <w:rsid w:val="006C2A41"/>
    <w:rsid w:val="006E2AA1"/>
    <w:rsid w:val="00700F48"/>
    <w:rsid w:val="00713BB7"/>
    <w:rsid w:val="007166F3"/>
    <w:rsid w:val="00725420"/>
    <w:rsid w:val="00736DF7"/>
    <w:rsid w:val="0075163C"/>
    <w:rsid w:val="007B2F27"/>
    <w:rsid w:val="007B5A46"/>
    <w:rsid w:val="007C7571"/>
    <w:rsid w:val="007D00A3"/>
    <w:rsid w:val="0080092D"/>
    <w:rsid w:val="008045B0"/>
    <w:rsid w:val="00823A0E"/>
    <w:rsid w:val="00825AB3"/>
    <w:rsid w:val="008321FE"/>
    <w:rsid w:val="008369D1"/>
    <w:rsid w:val="00840908"/>
    <w:rsid w:val="00872F70"/>
    <w:rsid w:val="008A02CA"/>
    <w:rsid w:val="008A6BC8"/>
    <w:rsid w:val="008B7F73"/>
    <w:rsid w:val="008C56FE"/>
    <w:rsid w:val="008F2676"/>
    <w:rsid w:val="009027AF"/>
    <w:rsid w:val="00905006"/>
    <w:rsid w:val="00937B3E"/>
    <w:rsid w:val="00954EAE"/>
    <w:rsid w:val="00983460"/>
    <w:rsid w:val="00997CFD"/>
    <w:rsid w:val="009A0715"/>
    <w:rsid w:val="009A2FE9"/>
    <w:rsid w:val="009A6813"/>
    <w:rsid w:val="009B7D7C"/>
    <w:rsid w:val="009C3934"/>
    <w:rsid w:val="009F7FAA"/>
    <w:rsid w:val="00A05A05"/>
    <w:rsid w:val="00A11CF8"/>
    <w:rsid w:val="00A32A11"/>
    <w:rsid w:val="00A51F8F"/>
    <w:rsid w:val="00A66BE8"/>
    <w:rsid w:val="00A70B54"/>
    <w:rsid w:val="00A72352"/>
    <w:rsid w:val="00A956C5"/>
    <w:rsid w:val="00AD7114"/>
    <w:rsid w:val="00AE482D"/>
    <w:rsid w:val="00AF01F4"/>
    <w:rsid w:val="00B029E9"/>
    <w:rsid w:val="00B059F1"/>
    <w:rsid w:val="00B105F3"/>
    <w:rsid w:val="00B16DE0"/>
    <w:rsid w:val="00B2418C"/>
    <w:rsid w:val="00B445D3"/>
    <w:rsid w:val="00B80F9E"/>
    <w:rsid w:val="00B84FE5"/>
    <w:rsid w:val="00BA13AF"/>
    <w:rsid w:val="00BE06FA"/>
    <w:rsid w:val="00BF0F05"/>
    <w:rsid w:val="00C0343E"/>
    <w:rsid w:val="00C1398C"/>
    <w:rsid w:val="00C173BD"/>
    <w:rsid w:val="00C27514"/>
    <w:rsid w:val="00C3054E"/>
    <w:rsid w:val="00C83C04"/>
    <w:rsid w:val="00C963DB"/>
    <w:rsid w:val="00CA048C"/>
    <w:rsid w:val="00CB1BC5"/>
    <w:rsid w:val="00CB340D"/>
    <w:rsid w:val="00CC01B9"/>
    <w:rsid w:val="00CC20B2"/>
    <w:rsid w:val="00CD468F"/>
    <w:rsid w:val="00CE5BDF"/>
    <w:rsid w:val="00D00A41"/>
    <w:rsid w:val="00D12ACE"/>
    <w:rsid w:val="00D359A3"/>
    <w:rsid w:val="00D732FB"/>
    <w:rsid w:val="00D77D2B"/>
    <w:rsid w:val="00D84107"/>
    <w:rsid w:val="00D85EF6"/>
    <w:rsid w:val="00D87AAA"/>
    <w:rsid w:val="00D9425D"/>
    <w:rsid w:val="00DA1AAF"/>
    <w:rsid w:val="00DB1D6F"/>
    <w:rsid w:val="00DB3BE5"/>
    <w:rsid w:val="00DC2A8C"/>
    <w:rsid w:val="00DC3250"/>
    <w:rsid w:val="00DC6A4E"/>
    <w:rsid w:val="00DD2ADA"/>
    <w:rsid w:val="00DE4A84"/>
    <w:rsid w:val="00DE611C"/>
    <w:rsid w:val="00DE71BA"/>
    <w:rsid w:val="00DF0150"/>
    <w:rsid w:val="00E17538"/>
    <w:rsid w:val="00E40ADD"/>
    <w:rsid w:val="00E67488"/>
    <w:rsid w:val="00E72F5D"/>
    <w:rsid w:val="00EA6893"/>
    <w:rsid w:val="00EC5855"/>
    <w:rsid w:val="00EC67E0"/>
    <w:rsid w:val="00ED23C0"/>
    <w:rsid w:val="00ED5819"/>
    <w:rsid w:val="00F00A91"/>
    <w:rsid w:val="00F07213"/>
    <w:rsid w:val="00F169E5"/>
    <w:rsid w:val="00F21283"/>
    <w:rsid w:val="00F26B0C"/>
    <w:rsid w:val="00F31C0F"/>
    <w:rsid w:val="00F4528D"/>
    <w:rsid w:val="00F46343"/>
    <w:rsid w:val="00F80CD2"/>
    <w:rsid w:val="00F91F4B"/>
    <w:rsid w:val="00F92F7E"/>
    <w:rsid w:val="00FA6F29"/>
    <w:rsid w:val="00FB126A"/>
    <w:rsid w:val="00FB65DA"/>
    <w:rsid w:val="00FB76AD"/>
    <w:rsid w:val="00FC4B08"/>
    <w:rsid w:val="00FC5D80"/>
    <w:rsid w:val="00FD0B3B"/>
    <w:rsid w:val="00FD5DDC"/>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1"/>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1"/>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1"/>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1"/>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1"/>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1"/>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1"/>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1"/>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1"/>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3C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2671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826214502">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2022-09-28T15:06:00Z</cp:lastPrinted>
  <dcterms:created xsi:type="dcterms:W3CDTF">2022-10-25T09:33:00Z</dcterms:created>
  <dcterms:modified xsi:type="dcterms:W3CDTF">2022-10-25T09:33:00Z</dcterms:modified>
</cp:coreProperties>
</file>