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6D5A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6D5A42" w:rsidP="006D5A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6D5A42" w:rsidP="006D5A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02563F">
        <w:rPr>
          <w:rFonts w:ascii="Arial" w:eastAsia="Calibri" w:hAnsi="Arial" w:cs="Arial"/>
          <w:b/>
          <w:bCs/>
          <w:lang w:val="en-GB"/>
        </w:rPr>
        <w:t>1</w:t>
      </w:r>
      <w:r w:rsidR="006B2395">
        <w:rPr>
          <w:rFonts w:ascii="Arial" w:eastAsia="Calibri" w:hAnsi="Arial" w:cs="Arial"/>
          <w:b/>
          <w:bCs/>
          <w:lang w:val="en-GB"/>
        </w:rPr>
        <w:t>47</w:t>
      </w:r>
    </w:p>
    <w:p w:rsidR="00B67C80" w:rsidRPr="006D5A42" w:rsidRDefault="00B67C80" w:rsidP="006D5A4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6D5A4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054C0" w:rsidRPr="006D5A42">
        <w:rPr>
          <w:rFonts w:ascii="Arial" w:eastAsia="Calibri" w:hAnsi="Arial" w:cs="Arial"/>
          <w:b/>
          <w:bCs/>
          <w:lang w:val="en-GB"/>
        </w:rPr>
        <w:t>26</w:t>
      </w:r>
      <w:r w:rsidR="006D5A42" w:rsidRPr="006D5A42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6D5A42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6D5A42" w:rsidRDefault="00B67C80" w:rsidP="006D5A4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6D5A4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054C0" w:rsidRPr="006D5A42">
        <w:rPr>
          <w:rFonts w:ascii="Arial" w:eastAsia="Calibri" w:hAnsi="Arial" w:cs="Arial"/>
          <w:b/>
          <w:bCs/>
          <w:lang w:val="en-GB"/>
        </w:rPr>
        <w:t>9</w:t>
      </w:r>
      <w:r w:rsidRPr="006D5A42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6B2395" w:rsidRPr="006B2395" w:rsidRDefault="006B2395" w:rsidP="006B2395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6B2395">
        <w:rPr>
          <w:rFonts w:ascii="Arial" w:hAnsi="Arial" w:cs="Arial"/>
          <w:b/>
        </w:rPr>
        <w:t>Adv T E Mulaudzi (EFF) to ask the Minister of Justice and Correctional Services:</w:t>
      </w:r>
    </w:p>
    <w:p w:rsidR="006B2395" w:rsidRDefault="006B2395" w:rsidP="006B2395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6B2395">
        <w:rPr>
          <w:rFonts w:ascii="Arial" w:hAnsi="Arial" w:cs="Arial"/>
        </w:rPr>
        <w:t>What has been the conviction rate for (a) rape and (b) murder charges in each of</w:t>
      </w:r>
      <w:r>
        <w:rPr>
          <w:rFonts w:ascii="Arial" w:hAnsi="Arial" w:cs="Arial"/>
        </w:rPr>
        <w:t xml:space="preserve"> the past five financial years?</w:t>
      </w:r>
    </w:p>
    <w:p w:rsidR="006B2395" w:rsidRPr="006B2395" w:rsidRDefault="006B2395" w:rsidP="006B239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6B2395">
        <w:rPr>
          <w:rFonts w:ascii="Arial" w:hAnsi="Arial" w:cs="Arial"/>
          <w:b/>
          <w:lang w:val="en-ZA"/>
        </w:rPr>
        <w:t>NW3512E</w:t>
      </w:r>
    </w:p>
    <w:p w:rsidR="00365620" w:rsidRDefault="00B67C80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4B0F1D" w:rsidRDefault="004B0F1D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086892" w:rsidRPr="00086892" w:rsidRDefault="00D50272" w:rsidP="00086892">
      <w:pPr>
        <w:numPr>
          <w:ilvl w:val="0"/>
          <w:numId w:val="44"/>
        </w:numPr>
        <w:spacing w:before="120" w:after="12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4B0F1D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P</w:t>
      </w:r>
      <w:r w:rsidR="004B0F1D">
        <w:rPr>
          <w:rFonts w:ascii="Arial" w:hAnsi="Arial" w:cs="Arial"/>
        </w:rPr>
        <w:t xml:space="preserve">rosecuting </w:t>
      </w:r>
      <w:r>
        <w:rPr>
          <w:rFonts w:ascii="Arial" w:hAnsi="Arial" w:cs="Arial"/>
        </w:rPr>
        <w:t>A</w:t>
      </w:r>
      <w:r w:rsidR="004B0F1D">
        <w:rPr>
          <w:rFonts w:ascii="Arial" w:hAnsi="Arial" w:cs="Arial"/>
        </w:rPr>
        <w:t>uthority (NPA)</w:t>
      </w:r>
      <w:r>
        <w:rPr>
          <w:rFonts w:ascii="Arial" w:hAnsi="Arial" w:cs="Arial"/>
        </w:rPr>
        <w:t xml:space="preserve"> recorded</w:t>
      </w:r>
      <w:r w:rsidR="00086892" w:rsidRPr="00086892">
        <w:rPr>
          <w:rFonts w:ascii="Arial" w:hAnsi="Arial" w:cs="Arial"/>
        </w:rPr>
        <w:t xml:space="preserve"> progress o</w:t>
      </w:r>
      <w:r w:rsidR="004B0F1D">
        <w:rPr>
          <w:rFonts w:ascii="Arial" w:hAnsi="Arial" w:cs="Arial"/>
        </w:rPr>
        <w:t>n</w:t>
      </w:r>
      <w:r w:rsidR="00086892" w:rsidRPr="00086892">
        <w:rPr>
          <w:rFonts w:ascii="Arial" w:hAnsi="Arial" w:cs="Arial"/>
        </w:rPr>
        <w:t xml:space="preserve"> all </w:t>
      </w:r>
      <w:r w:rsidR="004B0F1D">
        <w:rPr>
          <w:rFonts w:ascii="Arial" w:hAnsi="Arial" w:cs="Arial"/>
        </w:rPr>
        <w:t xml:space="preserve">cases of </w:t>
      </w:r>
      <w:r w:rsidR="000230F9">
        <w:rPr>
          <w:rFonts w:ascii="Arial" w:hAnsi="Arial" w:cs="Arial"/>
        </w:rPr>
        <w:t>sexual offences</w:t>
      </w:r>
      <w:r w:rsidR="00086892" w:rsidRPr="00086892">
        <w:rPr>
          <w:rFonts w:ascii="Arial" w:hAnsi="Arial" w:cs="Arial"/>
        </w:rPr>
        <w:t xml:space="preserve"> over the past </w:t>
      </w:r>
      <w:r w:rsidR="004B0F1D">
        <w:rPr>
          <w:rFonts w:ascii="Arial" w:hAnsi="Arial" w:cs="Arial"/>
        </w:rPr>
        <w:t>five (</w:t>
      </w:r>
      <w:r w:rsidR="00086892" w:rsidRPr="00086892">
        <w:rPr>
          <w:rFonts w:ascii="Arial" w:hAnsi="Arial" w:cs="Arial"/>
        </w:rPr>
        <w:t>5</w:t>
      </w:r>
      <w:r w:rsidR="004B0F1D">
        <w:rPr>
          <w:rFonts w:ascii="Arial" w:hAnsi="Arial" w:cs="Arial"/>
        </w:rPr>
        <w:t>)</w:t>
      </w:r>
      <w:r w:rsidR="00086892" w:rsidRPr="00086892">
        <w:rPr>
          <w:rFonts w:ascii="Arial" w:hAnsi="Arial" w:cs="Arial"/>
        </w:rPr>
        <w:t xml:space="preserve"> years</w:t>
      </w:r>
      <w:r w:rsidR="000230F9">
        <w:rPr>
          <w:rFonts w:ascii="Arial" w:hAnsi="Arial" w:cs="Arial"/>
        </w:rPr>
        <w:t xml:space="preserve">. The </w:t>
      </w:r>
      <w:r w:rsidR="004B0F1D" w:rsidRPr="00086892">
        <w:rPr>
          <w:rFonts w:ascii="Arial" w:hAnsi="Arial" w:cs="Arial"/>
        </w:rPr>
        <w:t>table below</w:t>
      </w:r>
      <w:r w:rsidR="004B0F1D">
        <w:rPr>
          <w:rFonts w:ascii="Arial" w:hAnsi="Arial" w:cs="Arial"/>
        </w:rPr>
        <w:t xml:space="preserve"> depicts </w:t>
      </w:r>
      <w:r w:rsidR="000230F9">
        <w:rPr>
          <w:rFonts w:ascii="Arial" w:hAnsi="Arial" w:cs="Arial"/>
        </w:rPr>
        <w:t>progress is</w:t>
      </w:r>
      <w:r w:rsidR="00086892" w:rsidRPr="00086892">
        <w:rPr>
          <w:rFonts w:ascii="Arial" w:hAnsi="Arial" w:cs="Arial"/>
        </w:rPr>
        <w:t xml:space="preserve">: </w:t>
      </w:r>
    </w:p>
    <w:tbl>
      <w:tblPr>
        <w:tblW w:w="9629" w:type="dxa"/>
        <w:tblInd w:w="118" w:type="dxa"/>
        <w:tblLook w:val="04A0"/>
      </w:tblPr>
      <w:tblGrid>
        <w:gridCol w:w="1502"/>
        <w:gridCol w:w="1084"/>
        <w:gridCol w:w="1084"/>
        <w:gridCol w:w="1084"/>
        <w:gridCol w:w="1084"/>
        <w:gridCol w:w="1084"/>
        <w:gridCol w:w="1399"/>
        <w:gridCol w:w="1308"/>
      </w:tblGrid>
      <w:tr w:rsidR="004B0F1D" w:rsidRPr="00086892" w:rsidTr="00503753">
        <w:trPr>
          <w:trHeight w:val="5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Financial Years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Change over previous year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Change over period</w:t>
            </w:r>
            <w:r w:rsidRPr="004B0F1D">
              <w:rPr>
                <w:rFonts w:ascii="Arial" w:hAnsi="Arial" w:cs="Arial"/>
                <w:b/>
                <w:bCs/>
              </w:rPr>
              <w:br/>
              <w:t>2013/14-17/18</w:t>
            </w:r>
          </w:p>
        </w:tc>
      </w:tr>
      <w:tr w:rsidR="004B0F1D" w:rsidRPr="00086892" w:rsidTr="00503753">
        <w:trPr>
          <w:trHeight w:val="55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 xml:space="preserve">2013/14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964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2014/15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964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2015/16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964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964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1D">
              <w:rPr>
                <w:rFonts w:ascii="Arial" w:hAnsi="Arial" w:cs="Arial"/>
                <w:b/>
                <w:bCs/>
              </w:rPr>
              <w:t>2017/18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F1D" w:rsidRPr="004B0F1D" w:rsidRDefault="004B0F1D" w:rsidP="00086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F1D" w:rsidRPr="00086892" w:rsidTr="00503753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Sexual Offences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67,1%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69,0%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70,1%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71,7%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72,7%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1,1%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6,9%</w:t>
            </w:r>
          </w:p>
        </w:tc>
      </w:tr>
      <w:tr w:rsidR="004B0F1D" w:rsidRPr="00086892" w:rsidTr="00503753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Convictions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5 484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5 084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4 978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4 780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5 004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4,7%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-8,8%</w:t>
            </w:r>
          </w:p>
        </w:tc>
      </w:tr>
      <w:tr w:rsidR="004B0F1D" w:rsidRPr="00086892" w:rsidTr="00503753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Verdict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8 174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7 372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7 098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6 669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6 879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3,1%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F1D" w:rsidRPr="00503753" w:rsidRDefault="004B0F1D" w:rsidP="00086892">
            <w:pPr>
              <w:jc w:val="center"/>
              <w:rPr>
                <w:rFonts w:ascii="Arial" w:hAnsi="Arial" w:cs="Arial"/>
                <w:bCs/>
              </w:rPr>
            </w:pPr>
            <w:r w:rsidRPr="00503753">
              <w:rPr>
                <w:rFonts w:ascii="Arial" w:hAnsi="Arial" w:cs="Arial"/>
                <w:bCs/>
              </w:rPr>
              <w:t>-15,8%</w:t>
            </w:r>
          </w:p>
        </w:tc>
      </w:tr>
    </w:tbl>
    <w:p w:rsidR="00086892" w:rsidRDefault="00086892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086892" w:rsidRPr="00086892" w:rsidRDefault="00086892" w:rsidP="00086892">
      <w:pPr>
        <w:spacing w:line="360" w:lineRule="auto"/>
        <w:rPr>
          <w:rFonts w:ascii="Arial" w:hAnsi="Arial" w:cs="Arial"/>
        </w:rPr>
      </w:pPr>
      <w:bookmarkStart w:id="0" w:name="_Toc505174112"/>
      <w:r w:rsidRPr="00086892">
        <w:rPr>
          <w:rFonts w:ascii="Arial" w:hAnsi="Arial" w:cs="Arial"/>
        </w:rPr>
        <w:t>Sexual offences</w:t>
      </w:r>
      <w:bookmarkEnd w:id="0"/>
      <w:r w:rsidR="00D50272">
        <w:rPr>
          <w:rFonts w:ascii="Arial" w:hAnsi="Arial" w:cs="Arial"/>
        </w:rPr>
        <w:t xml:space="preserve"> are defined as “a</w:t>
      </w:r>
      <w:r w:rsidRPr="00086892">
        <w:rPr>
          <w:rFonts w:ascii="Arial" w:hAnsi="Arial" w:cs="Arial"/>
        </w:rPr>
        <w:t xml:space="preserve">ny case involving offences committed in terms of the Criminal Law (Sexual Offences and Related Matters) Amendment Act </w:t>
      </w:r>
      <w:r w:rsidR="00DA4B7C">
        <w:rPr>
          <w:rFonts w:ascii="Arial" w:hAnsi="Arial" w:cs="Arial"/>
        </w:rPr>
        <w:t xml:space="preserve">No. </w:t>
      </w:r>
      <w:r w:rsidRPr="00086892">
        <w:rPr>
          <w:rFonts w:ascii="Arial" w:hAnsi="Arial" w:cs="Arial"/>
        </w:rPr>
        <w:t>32 of 2007, and may include common law rape or indecent assault.</w:t>
      </w:r>
      <w:r>
        <w:rPr>
          <w:rFonts w:ascii="Arial" w:hAnsi="Arial" w:cs="Arial"/>
        </w:rPr>
        <w:t>”</w:t>
      </w:r>
    </w:p>
    <w:p w:rsidR="00086892" w:rsidRPr="00086892" w:rsidRDefault="00086892" w:rsidP="00086892">
      <w:pPr>
        <w:spacing w:line="360" w:lineRule="auto"/>
        <w:rPr>
          <w:rFonts w:ascii="Arial" w:hAnsi="Arial" w:cs="Arial"/>
          <w:b/>
        </w:rPr>
      </w:pPr>
    </w:p>
    <w:p w:rsidR="00A25B51" w:rsidRPr="00086892" w:rsidRDefault="006D5A42" w:rsidP="00086892">
      <w:pPr>
        <w:numPr>
          <w:ilvl w:val="0"/>
          <w:numId w:val="44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086892">
        <w:rPr>
          <w:rFonts w:ascii="Arial" w:hAnsi="Arial" w:cs="Arial"/>
        </w:rPr>
        <w:t xml:space="preserve"> </w:t>
      </w:r>
      <w:r w:rsidR="004B0F1D">
        <w:rPr>
          <w:rFonts w:ascii="Arial" w:hAnsi="Arial" w:cs="Arial"/>
        </w:rPr>
        <w:t xml:space="preserve">the </w:t>
      </w:r>
      <w:r w:rsidR="00086892">
        <w:rPr>
          <w:rFonts w:ascii="Arial" w:hAnsi="Arial" w:cs="Arial"/>
        </w:rPr>
        <w:t>2017/18</w:t>
      </w:r>
      <w:r w:rsidR="004B0F1D">
        <w:rPr>
          <w:rFonts w:ascii="Arial" w:hAnsi="Arial" w:cs="Arial"/>
        </w:rPr>
        <w:t xml:space="preserve"> financial year,</w:t>
      </w:r>
      <w:r w:rsidR="00086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86892">
        <w:rPr>
          <w:rFonts w:ascii="Arial" w:hAnsi="Arial" w:cs="Arial"/>
        </w:rPr>
        <w:t>he NPA started to measure murder conviction</w:t>
      </w:r>
      <w:r>
        <w:rPr>
          <w:rFonts w:ascii="Arial" w:hAnsi="Arial" w:cs="Arial"/>
        </w:rPr>
        <w:t>s</w:t>
      </w:r>
      <w:r w:rsidR="004B0F1D">
        <w:rPr>
          <w:rFonts w:ascii="Arial" w:hAnsi="Arial" w:cs="Arial"/>
        </w:rPr>
        <w:t>,</w:t>
      </w:r>
      <w:r w:rsidR="00086892">
        <w:rPr>
          <w:rFonts w:ascii="Arial" w:hAnsi="Arial" w:cs="Arial"/>
        </w:rPr>
        <w:t xml:space="preserve"> a </w:t>
      </w:r>
      <w:r w:rsidR="004B0F1D">
        <w:rPr>
          <w:rFonts w:ascii="Arial" w:hAnsi="Arial" w:cs="Arial"/>
        </w:rPr>
        <w:t xml:space="preserve">77.7% conviction rate </w:t>
      </w:r>
      <w:r w:rsidR="00DA4B7C">
        <w:rPr>
          <w:rFonts w:ascii="Arial" w:hAnsi="Arial" w:cs="Arial"/>
        </w:rPr>
        <w:t xml:space="preserve">was achieved </w:t>
      </w:r>
      <w:r w:rsidR="00086892">
        <w:rPr>
          <w:rFonts w:ascii="Arial" w:hAnsi="Arial" w:cs="Arial"/>
        </w:rPr>
        <w:t>a</w:t>
      </w:r>
      <w:r>
        <w:rPr>
          <w:rFonts w:ascii="Arial" w:hAnsi="Arial" w:cs="Arial"/>
        </w:rPr>
        <w:t>t the end of that</w:t>
      </w:r>
      <w:r w:rsidR="00DA4B7C">
        <w:rPr>
          <w:rFonts w:ascii="Arial" w:hAnsi="Arial" w:cs="Arial"/>
        </w:rPr>
        <w:t xml:space="preserve"> financial year</w:t>
      </w:r>
      <w:r w:rsidR="00086892">
        <w:rPr>
          <w:rFonts w:ascii="Arial" w:hAnsi="Arial" w:cs="Arial"/>
        </w:rPr>
        <w:t xml:space="preserve">. </w:t>
      </w:r>
    </w:p>
    <w:sectPr w:rsidR="00A25B51" w:rsidRPr="00086892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C3" w:rsidRDefault="000C1AC3" w:rsidP="00913892">
      <w:r>
        <w:separator/>
      </w:r>
    </w:p>
  </w:endnote>
  <w:endnote w:type="continuationSeparator" w:id="0">
    <w:p w:rsidR="000C1AC3" w:rsidRDefault="000C1AC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644F1" w:rsidRPr="005644F1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C3" w:rsidRDefault="000C1AC3" w:rsidP="00913892">
      <w:r>
        <w:separator/>
      </w:r>
    </w:p>
  </w:footnote>
  <w:footnote w:type="continuationSeparator" w:id="0">
    <w:p w:rsidR="000C1AC3" w:rsidRDefault="000C1AC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312E3"/>
    <w:multiLevelType w:val="hybridMultilevel"/>
    <w:tmpl w:val="B8424A06"/>
    <w:lvl w:ilvl="0" w:tplc="D2B4C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0"/>
  </w:num>
  <w:num w:numId="5">
    <w:abstractNumId w:val="35"/>
  </w:num>
  <w:num w:numId="6">
    <w:abstractNumId w:val="4"/>
  </w:num>
  <w:num w:numId="7">
    <w:abstractNumId w:val="43"/>
  </w:num>
  <w:num w:numId="8">
    <w:abstractNumId w:val="14"/>
  </w:num>
  <w:num w:numId="9">
    <w:abstractNumId w:val="20"/>
  </w:num>
  <w:num w:numId="10">
    <w:abstractNumId w:val="37"/>
  </w:num>
  <w:num w:numId="11">
    <w:abstractNumId w:val="3"/>
  </w:num>
  <w:num w:numId="12">
    <w:abstractNumId w:val="27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41"/>
  </w:num>
  <w:num w:numId="18">
    <w:abstractNumId w:val="28"/>
  </w:num>
  <w:num w:numId="19">
    <w:abstractNumId w:val="23"/>
  </w:num>
  <w:num w:numId="20">
    <w:abstractNumId w:val="40"/>
  </w:num>
  <w:num w:numId="21">
    <w:abstractNumId w:val="31"/>
  </w:num>
  <w:num w:numId="22">
    <w:abstractNumId w:val="32"/>
  </w:num>
  <w:num w:numId="23">
    <w:abstractNumId w:val="11"/>
  </w:num>
  <w:num w:numId="24">
    <w:abstractNumId w:val="33"/>
  </w:num>
  <w:num w:numId="25">
    <w:abstractNumId w:val="6"/>
  </w:num>
  <w:num w:numId="26">
    <w:abstractNumId w:val="7"/>
  </w:num>
  <w:num w:numId="27">
    <w:abstractNumId w:val="42"/>
  </w:num>
  <w:num w:numId="28">
    <w:abstractNumId w:val="15"/>
  </w:num>
  <w:num w:numId="29">
    <w:abstractNumId w:val="24"/>
  </w:num>
  <w:num w:numId="30">
    <w:abstractNumId w:val="38"/>
  </w:num>
  <w:num w:numId="31">
    <w:abstractNumId w:val="9"/>
  </w:num>
  <w:num w:numId="32">
    <w:abstractNumId w:val="13"/>
  </w:num>
  <w:num w:numId="33">
    <w:abstractNumId w:val="0"/>
  </w:num>
  <w:num w:numId="34">
    <w:abstractNumId w:val="16"/>
  </w:num>
  <w:num w:numId="35">
    <w:abstractNumId w:val="10"/>
  </w:num>
  <w:num w:numId="36">
    <w:abstractNumId w:val="29"/>
  </w:num>
  <w:num w:numId="37">
    <w:abstractNumId w:val="26"/>
  </w:num>
  <w:num w:numId="38">
    <w:abstractNumId w:val="22"/>
  </w:num>
  <w:num w:numId="39">
    <w:abstractNumId w:val="34"/>
  </w:num>
  <w:num w:numId="40">
    <w:abstractNumId w:val="25"/>
  </w:num>
  <w:num w:numId="41">
    <w:abstractNumId w:val="2"/>
  </w:num>
  <w:num w:numId="42">
    <w:abstractNumId w:val="36"/>
  </w:num>
  <w:num w:numId="43">
    <w:abstractNumId w:val="39"/>
  </w:num>
  <w:num w:numId="4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30F9"/>
    <w:rsid w:val="0002563F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86892"/>
    <w:rsid w:val="00093617"/>
    <w:rsid w:val="000A3DA5"/>
    <w:rsid w:val="000C01D4"/>
    <w:rsid w:val="000C0F26"/>
    <w:rsid w:val="000C1AC3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22691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0F1D"/>
    <w:rsid w:val="004B1BC5"/>
    <w:rsid w:val="004B6B6B"/>
    <w:rsid w:val="004F2AE4"/>
    <w:rsid w:val="004F6FEC"/>
    <w:rsid w:val="00503753"/>
    <w:rsid w:val="00513281"/>
    <w:rsid w:val="00515B6A"/>
    <w:rsid w:val="005160F8"/>
    <w:rsid w:val="0054211D"/>
    <w:rsid w:val="00555EE6"/>
    <w:rsid w:val="005644F1"/>
    <w:rsid w:val="00572F09"/>
    <w:rsid w:val="005835BC"/>
    <w:rsid w:val="005856A7"/>
    <w:rsid w:val="00585897"/>
    <w:rsid w:val="005A40B9"/>
    <w:rsid w:val="005A4F3D"/>
    <w:rsid w:val="005A60AD"/>
    <w:rsid w:val="005E365A"/>
    <w:rsid w:val="005F266C"/>
    <w:rsid w:val="00602E9A"/>
    <w:rsid w:val="00612214"/>
    <w:rsid w:val="0062002F"/>
    <w:rsid w:val="00625CD7"/>
    <w:rsid w:val="00630932"/>
    <w:rsid w:val="00632C25"/>
    <w:rsid w:val="00635C5D"/>
    <w:rsid w:val="006364F1"/>
    <w:rsid w:val="006425C0"/>
    <w:rsid w:val="00643EF2"/>
    <w:rsid w:val="00653FE5"/>
    <w:rsid w:val="00670788"/>
    <w:rsid w:val="0067545A"/>
    <w:rsid w:val="006959E4"/>
    <w:rsid w:val="006B0F80"/>
    <w:rsid w:val="006B2395"/>
    <w:rsid w:val="006B4149"/>
    <w:rsid w:val="006C0567"/>
    <w:rsid w:val="006D21F9"/>
    <w:rsid w:val="006D5A42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372F"/>
    <w:rsid w:val="009541F2"/>
    <w:rsid w:val="009551F2"/>
    <w:rsid w:val="009642F0"/>
    <w:rsid w:val="00964EFE"/>
    <w:rsid w:val="00973033"/>
    <w:rsid w:val="00983C6B"/>
    <w:rsid w:val="009868D6"/>
    <w:rsid w:val="00987653"/>
    <w:rsid w:val="00995362"/>
    <w:rsid w:val="00996D41"/>
    <w:rsid w:val="009A5F5A"/>
    <w:rsid w:val="009A755B"/>
    <w:rsid w:val="009B0CAB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1902"/>
    <w:rsid w:val="00B553A6"/>
    <w:rsid w:val="00B67C80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B56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27F02"/>
    <w:rsid w:val="00D3067D"/>
    <w:rsid w:val="00D43583"/>
    <w:rsid w:val="00D463C8"/>
    <w:rsid w:val="00D47730"/>
    <w:rsid w:val="00D50272"/>
    <w:rsid w:val="00D50C5D"/>
    <w:rsid w:val="00D56B43"/>
    <w:rsid w:val="00D70103"/>
    <w:rsid w:val="00D74CDB"/>
    <w:rsid w:val="00D764A0"/>
    <w:rsid w:val="00D76DA7"/>
    <w:rsid w:val="00D80139"/>
    <w:rsid w:val="00D86E52"/>
    <w:rsid w:val="00D93903"/>
    <w:rsid w:val="00DA495F"/>
    <w:rsid w:val="00DA4B7C"/>
    <w:rsid w:val="00DB11B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7F42"/>
    <w:rsid w:val="00E2677E"/>
    <w:rsid w:val="00E44AFC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C59D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A58"/>
    <w:rsid w:val="00FA2F7E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892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character" w:customStyle="1" w:styleId="Heading3Char">
    <w:name w:val="Heading 3 Char"/>
    <w:link w:val="Heading3"/>
    <w:rsid w:val="00086892"/>
    <w:rPr>
      <w:rFonts w:ascii="Arial" w:eastAsia="Times New Roman" w:hAnsi="Arial"/>
      <w:b/>
      <w:bCs/>
      <w:color w:val="4F81BD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2018-11-08T08:21:00Z</cp:lastPrinted>
  <dcterms:created xsi:type="dcterms:W3CDTF">2019-02-22T13:47:00Z</dcterms:created>
  <dcterms:modified xsi:type="dcterms:W3CDTF">2019-02-22T13:47:00Z</dcterms:modified>
</cp:coreProperties>
</file>