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79" w:rsidRPr="006D7B63" w:rsidRDefault="00AB3479">
      <w:pPr>
        <w:rPr>
          <w:rFonts w:ascii="Times New Roman" w:hAnsi="Times New Roman"/>
          <w:b/>
          <w:sz w:val="24"/>
          <w:szCs w:val="24"/>
        </w:rPr>
      </w:pPr>
      <w:r w:rsidRPr="006D7B63">
        <w:rPr>
          <w:rFonts w:ascii="Times New Roman" w:hAnsi="Times New Roman"/>
          <w:b/>
          <w:sz w:val="24"/>
          <w:szCs w:val="24"/>
        </w:rPr>
        <w:t>NATIONAL ASSEMBLY</w:t>
      </w:r>
    </w:p>
    <w:p w:rsidR="00AB3479" w:rsidRPr="006D7B63" w:rsidRDefault="00AB3479">
      <w:pPr>
        <w:rPr>
          <w:rFonts w:ascii="Times New Roman" w:hAnsi="Times New Roman"/>
          <w:b/>
          <w:sz w:val="24"/>
          <w:szCs w:val="24"/>
        </w:rPr>
      </w:pPr>
    </w:p>
    <w:p w:rsidR="00AB3479" w:rsidRPr="006D7B63" w:rsidRDefault="00AB347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AB3479" w:rsidRPr="006D7B63" w:rsidRDefault="00AB3479">
      <w:pPr>
        <w:rPr>
          <w:rFonts w:ascii="Times New Roman" w:hAnsi="Times New Roman"/>
          <w:b/>
          <w:sz w:val="24"/>
          <w:szCs w:val="24"/>
        </w:rPr>
      </w:pPr>
    </w:p>
    <w:p w:rsidR="00AB3479" w:rsidRPr="006D7B63" w:rsidRDefault="00AB347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3138</w:t>
      </w:r>
    </w:p>
    <w:p w:rsidR="00AB3479" w:rsidRPr="006D7B63" w:rsidRDefault="00AB3479">
      <w:pPr>
        <w:rPr>
          <w:rFonts w:ascii="Times New Roman" w:hAnsi="Times New Roman"/>
          <w:b/>
          <w:sz w:val="24"/>
          <w:szCs w:val="24"/>
        </w:rPr>
      </w:pPr>
    </w:p>
    <w:p w:rsidR="00AB3479" w:rsidRPr="006D7B63" w:rsidRDefault="00AB347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AB3479" w:rsidRDefault="00AB3479"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AB3479" w:rsidRPr="00695BA6" w:rsidRDefault="00AB3479" w:rsidP="00695BA6">
      <w:pPr>
        <w:spacing w:after="0" w:line="240" w:lineRule="auto"/>
        <w:ind w:left="709" w:hanging="709"/>
        <w:jc w:val="both"/>
        <w:rPr>
          <w:rFonts w:ascii="Times New Roman" w:hAnsi="Times New Roman"/>
          <w:b/>
          <w:sz w:val="24"/>
          <w:szCs w:val="24"/>
        </w:rPr>
      </w:pPr>
      <w:r w:rsidRPr="00695BA6">
        <w:rPr>
          <w:rFonts w:ascii="Times New Roman" w:hAnsi="Times New Roman"/>
          <w:b/>
          <w:sz w:val="24"/>
          <w:szCs w:val="24"/>
        </w:rPr>
        <w:t>3138.</w:t>
      </w:r>
      <w:r w:rsidRPr="00695BA6">
        <w:rPr>
          <w:rFonts w:ascii="Times New Roman" w:hAnsi="Times New Roman"/>
          <w:b/>
          <w:sz w:val="24"/>
          <w:szCs w:val="24"/>
        </w:rPr>
        <w:tab/>
        <w:t>Prof B Bozzoli (DA) to ask the Minister of Basic Education:</w:t>
      </w:r>
    </w:p>
    <w:p w:rsidR="00AB3479" w:rsidRPr="00695BA6" w:rsidRDefault="00AB3479" w:rsidP="00695BA6">
      <w:pPr>
        <w:spacing w:before="100" w:beforeAutospacing="1" w:after="100" w:afterAutospacing="1" w:line="240" w:lineRule="auto"/>
        <w:ind w:left="709"/>
        <w:jc w:val="both"/>
        <w:rPr>
          <w:rFonts w:ascii="Times New Roman" w:hAnsi="Times New Roman"/>
          <w:sz w:val="24"/>
          <w:szCs w:val="24"/>
          <w:lang w:eastAsia="en-ZA"/>
        </w:rPr>
      </w:pPr>
      <w:r w:rsidRPr="00695BA6">
        <w:rPr>
          <w:rFonts w:ascii="Times New Roman" w:hAnsi="Times New Roman"/>
          <w:sz w:val="24"/>
          <w:szCs w:val="24"/>
          <w:lang w:eastAsia="en-ZA"/>
        </w:rPr>
        <w:t xml:space="preserve">(a) What is the rationale for only giving Funza Lushaka bursaries for teacher training to students who have a third language or for giving preference to students who are doing an African language at the Foundation Phase training level, (b) is his department </w:t>
      </w:r>
      <w:r w:rsidRPr="00695BA6">
        <w:rPr>
          <w:rFonts w:ascii="Times New Roman" w:hAnsi="Times New Roman"/>
          <w:sz w:val="24"/>
          <w:szCs w:val="20"/>
          <w:lang w:eastAsia="en-ZA"/>
        </w:rPr>
        <w:t>aware</w:t>
      </w:r>
      <w:r w:rsidRPr="00695BA6">
        <w:rPr>
          <w:rFonts w:ascii="Times New Roman" w:hAnsi="Times New Roman"/>
          <w:sz w:val="24"/>
          <w:szCs w:val="24"/>
          <w:lang w:eastAsia="en-ZA"/>
        </w:rPr>
        <w:t xml:space="preserve"> that this </w:t>
      </w:r>
      <w:r w:rsidRPr="00695BA6">
        <w:rPr>
          <w:rFonts w:ascii="Times New Roman" w:hAnsi="Times New Roman"/>
          <w:i/>
          <w:sz w:val="24"/>
          <w:szCs w:val="24"/>
          <w:lang w:eastAsia="en-ZA"/>
        </w:rPr>
        <w:t>de facto</w:t>
      </w:r>
      <w:r w:rsidRPr="00695BA6">
        <w:rPr>
          <w:rFonts w:ascii="Times New Roman" w:hAnsi="Times New Roman"/>
          <w:sz w:val="24"/>
          <w:szCs w:val="24"/>
          <w:lang w:eastAsia="en-ZA"/>
        </w:rPr>
        <w:t xml:space="preserve">, although not </w:t>
      </w:r>
      <w:r w:rsidRPr="00695BA6">
        <w:rPr>
          <w:rFonts w:ascii="Times New Roman" w:hAnsi="Times New Roman"/>
          <w:i/>
          <w:sz w:val="24"/>
          <w:szCs w:val="24"/>
          <w:lang w:eastAsia="en-ZA"/>
        </w:rPr>
        <w:t>de jure</w:t>
      </w:r>
      <w:r w:rsidRPr="00695BA6">
        <w:rPr>
          <w:rFonts w:ascii="Times New Roman" w:hAnsi="Times New Roman"/>
          <w:sz w:val="24"/>
          <w:szCs w:val="24"/>
          <w:lang w:eastAsia="en-ZA"/>
        </w:rPr>
        <w:t>, excludes most so-called coloured, Indian and white students from the specified bursaries regardless of their financial circumstances, particularly those who attend colleges which do not offer African languages and (c) how many students from so-called coloured, Indian, white and black backgrounds respectively have received Funza Lushaka bursaries at each level of training in (i) 2010, (ii) 2011, (iii) 2012, (iv) 2013 and (v) 2014?</w:t>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4"/>
          <w:szCs w:val="24"/>
          <w:lang w:eastAsia="en-ZA"/>
        </w:rPr>
        <w:tab/>
      </w:r>
      <w:r w:rsidRPr="00695BA6">
        <w:rPr>
          <w:rFonts w:ascii="Times New Roman" w:hAnsi="Times New Roman"/>
          <w:sz w:val="20"/>
          <w:szCs w:val="20"/>
          <w:lang w:eastAsia="en-ZA"/>
        </w:rPr>
        <w:t>NW3681E</w:t>
      </w:r>
    </w:p>
    <w:p w:rsidR="00AB3479" w:rsidRPr="003A7C82" w:rsidRDefault="00AB3479" w:rsidP="00A57DB9">
      <w:pPr>
        <w:spacing w:before="100" w:beforeAutospacing="1" w:after="100" w:afterAutospacing="1" w:line="280" w:lineRule="exact"/>
        <w:ind w:left="720"/>
        <w:jc w:val="both"/>
        <w:rPr>
          <w:rFonts w:ascii="Times New Roman" w:hAnsi="Times New Roman"/>
          <w:b/>
          <w:sz w:val="24"/>
          <w:szCs w:val="24"/>
          <w:lang w:val="en-US"/>
        </w:rPr>
      </w:pPr>
      <w:r w:rsidRPr="003A7C82">
        <w:rPr>
          <w:rFonts w:ascii="Times New Roman" w:hAnsi="Times New Roman"/>
          <w:b/>
          <w:sz w:val="24"/>
          <w:szCs w:val="24"/>
          <w:lang w:val="en-US"/>
        </w:rPr>
        <w:t>REPLY</w:t>
      </w:r>
    </w:p>
    <w:p w:rsidR="00AB3479" w:rsidRPr="003A7C82" w:rsidRDefault="00AB3479" w:rsidP="00A57DB9">
      <w:pPr>
        <w:numPr>
          <w:ilvl w:val="0"/>
          <w:numId w:val="1"/>
        </w:numPr>
        <w:spacing w:before="100" w:beforeAutospacing="1" w:after="100" w:afterAutospacing="1" w:line="280" w:lineRule="exact"/>
        <w:ind w:left="1077" w:hanging="357"/>
        <w:contextualSpacing/>
        <w:jc w:val="both"/>
        <w:rPr>
          <w:rFonts w:ascii="Times New Roman" w:hAnsi="Times New Roman"/>
          <w:sz w:val="24"/>
          <w:szCs w:val="24"/>
          <w:lang w:val="en-US"/>
        </w:rPr>
      </w:pPr>
      <w:r w:rsidRPr="003A7C82">
        <w:rPr>
          <w:rFonts w:ascii="Times New Roman" w:hAnsi="Times New Roman"/>
          <w:sz w:val="24"/>
          <w:szCs w:val="24"/>
          <w:lang w:val="en-GB"/>
        </w:rPr>
        <w:t xml:space="preserve">The Funza Lushaka Bursary programme does not have a specific focus on students who have a third language. However, the bursary programme does give preference to students who will be able to teach in an African Language in the Foundation Phase. The rationale for this is teacher supply and demand statistics of the Department of Basic Education </w:t>
      </w:r>
      <w:r>
        <w:rPr>
          <w:rFonts w:ascii="Times New Roman" w:hAnsi="Times New Roman"/>
          <w:sz w:val="24"/>
          <w:szCs w:val="24"/>
          <w:lang w:val="en-GB"/>
        </w:rPr>
        <w:t xml:space="preserve">(DBE) </w:t>
      </w:r>
      <w:r w:rsidRPr="003A7C82">
        <w:rPr>
          <w:rFonts w:ascii="Times New Roman" w:hAnsi="Times New Roman"/>
          <w:sz w:val="24"/>
          <w:szCs w:val="24"/>
          <w:lang w:val="en-GB"/>
        </w:rPr>
        <w:t xml:space="preserve">and the Department of Higher Education and Training </w:t>
      </w:r>
      <w:r>
        <w:rPr>
          <w:rFonts w:ascii="Times New Roman" w:hAnsi="Times New Roman"/>
          <w:sz w:val="24"/>
          <w:szCs w:val="24"/>
          <w:lang w:val="en-GB"/>
        </w:rPr>
        <w:t xml:space="preserve">(DHET) that </w:t>
      </w:r>
      <w:r w:rsidRPr="003A7C82">
        <w:rPr>
          <w:rFonts w:ascii="Times New Roman" w:hAnsi="Times New Roman"/>
          <w:sz w:val="24"/>
          <w:szCs w:val="24"/>
          <w:lang w:val="en-US"/>
        </w:rPr>
        <w:t xml:space="preserve">corroborate the shortage of Foundation Phase teachers and emphasise the importance of recruiting Foundation Phase teachers who are trained to teach in an African Indigenous Language. More teachers who teach in African Indigenous Languages are needed to promote mother tongue instruction at the Foundation Phase level (DBE &amp; DHET, 2011), particularly in light of the Initial Introduction of African Languages Policy. A report released by the </w:t>
      </w:r>
      <w:r w:rsidRPr="003A7C82">
        <w:rPr>
          <w:rFonts w:ascii="Times New Roman" w:hAnsi="Times New Roman"/>
          <w:sz w:val="24"/>
          <w:szCs w:val="24"/>
          <w:lang w:val="en-GB"/>
        </w:rPr>
        <w:t>Centre for Development and Enterprise (March 2015) also highlights the shortage of new teacher graduates in the Foundation Phase, whose mother tongue is an indigenous African Language.</w:t>
      </w:r>
    </w:p>
    <w:p w:rsidR="00AB3479" w:rsidRPr="003A7C82" w:rsidRDefault="00AB3479" w:rsidP="00A57DB9">
      <w:pPr>
        <w:spacing w:before="100" w:beforeAutospacing="1" w:after="100" w:afterAutospacing="1" w:line="280" w:lineRule="exact"/>
        <w:ind w:left="1080"/>
        <w:contextualSpacing/>
        <w:jc w:val="both"/>
        <w:rPr>
          <w:rFonts w:ascii="Times New Roman" w:hAnsi="Times New Roman"/>
          <w:sz w:val="24"/>
          <w:szCs w:val="24"/>
          <w:lang w:val="en-US"/>
        </w:rPr>
      </w:pPr>
    </w:p>
    <w:p w:rsidR="00AB3479" w:rsidRPr="003A7C82" w:rsidRDefault="00AB3479" w:rsidP="00A57DB9">
      <w:pPr>
        <w:numPr>
          <w:ilvl w:val="0"/>
          <w:numId w:val="1"/>
        </w:numPr>
        <w:spacing w:before="100" w:beforeAutospacing="1" w:after="100" w:afterAutospacing="1" w:line="280" w:lineRule="exact"/>
        <w:ind w:left="1077" w:hanging="357"/>
        <w:contextualSpacing/>
        <w:jc w:val="both"/>
        <w:rPr>
          <w:rFonts w:ascii="Times New Roman" w:hAnsi="Times New Roman"/>
          <w:sz w:val="24"/>
          <w:szCs w:val="24"/>
          <w:lang w:val="en-US"/>
        </w:rPr>
      </w:pPr>
      <w:r w:rsidRPr="003A7C82">
        <w:rPr>
          <w:rFonts w:ascii="Times New Roman" w:hAnsi="Times New Roman"/>
          <w:sz w:val="24"/>
          <w:szCs w:val="24"/>
          <w:lang w:val="en-GB"/>
        </w:rPr>
        <w:t xml:space="preserve">No. The Funza Lushaka Bursary programme aims to attract academically deserving, suitable South African students, including Afrikaans and English speaking students, to become competent teachers in identified priority, scarce skills subjects and </w:t>
      </w:r>
      <w:r>
        <w:rPr>
          <w:rFonts w:ascii="Times New Roman" w:hAnsi="Times New Roman"/>
          <w:sz w:val="24"/>
          <w:szCs w:val="24"/>
          <w:lang w:val="en-GB"/>
        </w:rPr>
        <w:t>p</w:t>
      </w:r>
      <w:r w:rsidRPr="003A7C82">
        <w:rPr>
          <w:rFonts w:ascii="Times New Roman" w:hAnsi="Times New Roman"/>
          <w:sz w:val="24"/>
          <w:szCs w:val="24"/>
          <w:lang w:val="en-GB"/>
        </w:rPr>
        <w:t>hases.</w:t>
      </w:r>
    </w:p>
    <w:p w:rsidR="00AB3479" w:rsidRDefault="00AB3479" w:rsidP="00A57DB9">
      <w:pPr>
        <w:pStyle w:val="ListParagraph"/>
        <w:rPr>
          <w:rFonts w:ascii="Times New Roman" w:hAnsi="Times New Roman"/>
          <w:sz w:val="24"/>
          <w:szCs w:val="24"/>
          <w:lang w:val="en-US"/>
        </w:rPr>
      </w:pPr>
    </w:p>
    <w:p w:rsidR="00AB3479" w:rsidRPr="00320759" w:rsidRDefault="00AB3479" w:rsidP="00A57DB9">
      <w:pPr>
        <w:spacing w:before="100" w:beforeAutospacing="1" w:after="100" w:afterAutospacing="1" w:line="280" w:lineRule="exact"/>
        <w:ind w:left="1077"/>
        <w:contextualSpacing/>
        <w:jc w:val="both"/>
        <w:rPr>
          <w:rFonts w:ascii="Times New Roman" w:hAnsi="Times New Roman"/>
          <w:sz w:val="24"/>
          <w:szCs w:val="24"/>
          <w:lang w:val="en-US"/>
        </w:rPr>
      </w:pPr>
    </w:p>
    <w:p w:rsidR="00AB3479" w:rsidRPr="00E00846" w:rsidRDefault="00AB3479" w:rsidP="00A57DB9">
      <w:pPr>
        <w:numPr>
          <w:ilvl w:val="0"/>
          <w:numId w:val="1"/>
        </w:numPr>
        <w:spacing w:before="100" w:beforeAutospacing="1" w:after="100" w:afterAutospacing="1" w:line="280" w:lineRule="exact"/>
        <w:ind w:left="1077" w:hanging="357"/>
        <w:contextualSpacing/>
        <w:jc w:val="both"/>
        <w:rPr>
          <w:rFonts w:ascii="Times New Roman" w:hAnsi="Times New Roman"/>
          <w:sz w:val="24"/>
          <w:szCs w:val="24"/>
          <w:lang w:val="en-US"/>
        </w:rPr>
      </w:pPr>
      <w:r>
        <w:rPr>
          <w:rFonts w:ascii="Times New Roman" w:hAnsi="Times New Roman"/>
          <w:sz w:val="24"/>
          <w:szCs w:val="24"/>
          <w:lang w:val="en-GB"/>
        </w:rPr>
        <w:t xml:space="preserve">(i) (ii) (iii) and (iv) </w:t>
      </w:r>
      <w:r w:rsidRPr="00320759">
        <w:rPr>
          <w:rFonts w:ascii="Times New Roman" w:hAnsi="Times New Roman"/>
          <w:sz w:val="24"/>
          <w:szCs w:val="24"/>
          <w:lang w:val="en-GB"/>
        </w:rPr>
        <w:t>The table below reflects the number of bursaries awarded by race:</w:t>
      </w:r>
    </w:p>
    <w:p w:rsidR="00AB3479" w:rsidRPr="00320759" w:rsidRDefault="00AB3479" w:rsidP="00A57DB9">
      <w:pPr>
        <w:spacing w:before="100" w:beforeAutospacing="1" w:after="100" w:afterAutospacing="1" w:line="280" w:lineRule="exact"/>
        <w:ind w:left="1077"/>
        <w:contextualSpacing/>
        <w:jc w:val="both"/>
        <w:rPr>
          <w:rFonts w:ascii="Times New Roman" w:hAnsi="Times New Roman"/>
          <w:sz w:val="24"/>
          <w:szCs w:val="24"/>
          <w:lang w:val="en-US"/>
        </w:rPr>
      </w:pPr>
    </w:p>
    <w:tbl>
      <w:tblPr>
        <w:tblW w:w="5000" w:type="pct"/>
        <w:tblCellMar>
          <w:left w:w="0" w:type="dxa"/>
          <w:right w:w="0" w:type="dxa"/>
        </w:tblCellMar>
        <w:tblLook w:val="00A0"/>
      </w:tblPr>
      <w:tblGrid>
        <w:gridCol w:w="1236"/>
        <w:gridCol w:w="1237"/>
        <w:gridCol w:w="1439"/>
        <w:gridCol w:w="1237"/>
        <w:gridCol w:w="1237"/>
        <w:gridCol w:w="1623"/>
        <w:gridCol w:w="1233"/>
      </w:tblGrid>
      <w:tr w:rsidR="00AB3479" w:rsidRPr="00654B70" w:rsidTr="00433090">
        <w:trPr>
          <w:trHeight w:val="300"/>
        </w:trPr>
        <w:tc>
          <w:tcPr>
            <w:tcW w:w="699" w:type="pct"/>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Year</w:t>
            </w:r>
          </w:p>
        </w:tc>
        <w:tc>
          <w:tcPr>
            <w:tcW w:w="69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African</w:t>
            </w:r>
          </w:p>
        </w:tc>
        <w:tc>
          <w:tcPr>
            <w:tcW w:w="808"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Coloured</w:t>
            </w:r>
          </w:p>
        </w:tc>
        <w:tc>
          <w:tcPr>
            <w:tcW w:w="69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Indian</w:t>
            </w:r>
          </w:p>
        </w:tc>
        <w:tc>
          <w:tcPr>
            <w:tcW w:w="69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White</w:t>
            </w:r>
          </w:p>
        </w:tc>
        <w:tc>
          <w:tcPr>
            <w:tcW w:w="69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Not Indicated</w:t>
            </w:r>
          </w:p>
        </w:tc>
        <w:tc>
          <w:tcPr>
            <w:tcW w:w="697"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AB3479" w:rsidRPr="00320759" w:rsidRDefault="00AB3479" w:rsidP="00433090">
            <w:pPr>
              <w:spacing w:after="0" w:line="240" w:lineRule="auto"/>
              <w:jc w:val="center"/>
              <w:rPr>
                <w:b/>
                <w:color w:val="000000"/>
                <w:lang w:val="en-US" w:eastAsia="en-ZA"/>
              </w:rPr>
            </w:pPr>
            <w:r w:rsidRPr="00320759">
              <w:rPr>
                <w:rFonts w:ascii="Times New Roman" w:hAnsi="Times New Roman"/>
                <w:b/>
                <w:color w:val="000000"/>
                <w:sz w:val="24"/>
                <w:szCs w:val="24"/>
                <w:lang w:val="en-US" w:eastAsia="en-ZA"/>
              </w:rPr>
              <w:t>Total</w:t>
            </w:r>
          </w:p>
        </w:tc>
      </w:tr>
      <w:tr w:rsidR="00AB3479" w:rsidRPr="00654B70" w:rsidTr="00433090">
        <w:trPr>
          <w:trHeight w:val="300"/>
        </w:trPr>
        <w:tc>
          <w:tcPr>
            <w:tcW w:w="6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2010</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5</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806</w:t>
            </w:r>
          </w:p>
        </w:tc>
        <w:tc>
          <w:tcPr>
            <w:tcW w:w="80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267</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326</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573</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101</w:t>
            </w:r>
          </w:p>
        </w:tc>
        <w:tc>
          <w:tcPr>
            <w:tcW w:w="6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10</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073</w:t>
            </w:r>
          </w:p>
        </w:tc>
      </w:tr>
      <w:tr w:rsidR="00AB3479" w:rsidRPr="00654B70" w:rsidTr="00433090">
        <w:trPr>
          <w:trHeight w:val="300"/>
        </w:trPr>
        <w:tc>
          <w:tcPr>
            <w:tcW w:w="6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2011</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4</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955</w:t>
            </w:r>
          </w:p>
        </w:tc>
        <w:tc>
          <w:tcPr>
            <w:tcW w:w="80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124</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298</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242</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6</w:t>
            </w:r>
          </w:p>
        </w:tc>
        <w:tc>
          <w:tcPr>
            <w:tcW w:w="6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8</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625</w:t>
            </w:r>
          </w:p>
        </w:tc>
      </w:tr>
      <w:tr w:rsidR="00AB3479" w:rsidRPr="00654B70" w:rsidTr="00433090">
        <w:trPr>
          <w:trHeight w:val="300"/>
        </w:trPr>
        <w:tc>
          <w:tcPr>
            <w:tcW w:w="6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2012</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6</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988</w:t>
            </w:r>
          </w:p>
        </w:tc>
        <w:tc>
          <w:tcPr>
            <w:tcW w:w="80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553</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345</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722</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10</w:t>
            </w:r>
          </w:p>
        </w:tc>
        <w:tc>
          <w:tcPr>
            <w:tcW w:w="6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618</w:t>
            </w:r>
          </w:p>
        </w:tc>
      </w:tr>
      <w:tr w:rsidR="00AB3479" w:rsidRPr="00654B70" w:rsidTr="00433090">
        <w:trPr>
          <w:trHeight w:val="300"/>
        </w:trPr>
        <w:tc>
          <w:tcPr>
            <w:tcW w:w="6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2013</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9</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170</w:t>
            </w:r>
          </w:p>
        </w:tc>
        <w:tc>
          <w:tcPr>
            <w:tcW w:w="80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723</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407</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971</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29</w:t>
            </w:r>
          </w:p>
        </w:tc>
        <w:tc>
          <w:tcPr>
            <w:tcW w:w="6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14</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300</w:t>
            </w:r>
          </w:p>
        </w:tc>
      </w:tr>
      <w:tr w:rsidR="00AB3479" w:rsidRPr="00654B70" w:rsidTr="00433090">
        <w:trPr>
          <w:trHeight w:val="300"/>
        </w:trPr>
        <w:tc>
          <w:tcPr>
            <w:tcW w:w="6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2014</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9</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639</w:t>
            </w:r>
          </w:p>
        </w:tc>
        <w:tc>
          <w:tcPr>
            <w:tcW w:w="80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632</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368</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2</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692</w:t>
            </w:r>
          </w:p>
        </w:tc>
        <w:tc>
          <w:tcPr>
            <w:tcW w:w="69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18</w:t>
            </w:r>
          </w:p>
        </w:tc>
        <w:tc>
          <w:tcPr>
            <w:tcW w:w="6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AB3479" w:rsidRPr="00320759" w:rsidRDefault="00AB3479" w:rsidP="00433090">
            <w:pPr>
              <w:spacing w:after="0" w:line="240" w:lineRule="auto"/>
              <w:jc w:val="right"/>
              <w:rPr>
                <w:color w:val="000000"/>
                <w:lang w:val="en-US" w:eastAsia="en-ZA"/>
              </w:rPr>
            </w:pPr>
            <w:r w:rsidRPr="00320759">
              <w:rPr>
                <w:rFonts w:ascii="Times New Roman" w:hAnsi="Times New Roman"/>
                <w:color w:val="000000"/>
                <w:sz w:val="24"/>
                <w:szCs w:val="24"/>
                <w:lang w:val="en-US" w:eastAsia="en-ZA"/>
              </w:rPr>
              <w:t>14</w:t>
            </w:r>
            <w:r>
              <w:rPr>
                <w:rFonts w:ascii="Times New Roman" w:hAnsi="Times New Roman"/>
                <w:color w:val="000000"/>
                <w:sz w:val="24"/>
                <w:szCs w:val="24"/>
                <w:lang w:val="en-US" w:eastAsia="en-ZA"/>
              </w:rPr>
              <w:t xml:space="preserve"> </w:t>
            </w:r>
            <w:r w:rsidRPr="00320759">
              <w:rPr>
                <w:rFonts w:ascii="Times New Roman" w:hAnsi="Times New Roman"/>
                <w:color w:val="000000"/>
                <w:sz w:val="24"/>
                <w:szCs w:val="24"/>
                <w:lang w:val="en-US" w:eastAsia="en-ZA"/>
              </w:rPr>
              <w:t>349</w:t>
            </w:r>
          </w:p>
        </w:tc>
      </w:tr>
    </w:tbl>
    <w:p w:rsidR="00AB3479" w:rsidRPr="00320759" w:rsidRDefault="00AB3479" w:rsidP="00A57DB9">
      <w:pPr>
        <w:spacing w:before="100" w:beforeAutospacing="1" w:after="100" w:afterAutospacing="1" w:line="480" w:lineRule="auto"/>
        <w:contextualSpacing/>
        <w:jc w:val="both"/>
        <w:rPr>
          <w:rFonts w:ascii="Times New Roman" w:hAnsi="Times New Roman"/>
          <w:sz w:val="24"/>
          <w:szCs w:val="24"/>
          <w:lang w:val="en-US"/>
        </w:rPr>
      </w:pPr>
      <w:r>
        <w:rPr>
          <w:rFonts w:ascii="Times New Roman" w:hAnsi="Times New Roman"/>
          <w:sz w:val="24"/>
          <w:szCs w:val="24"/>
          <w:lang w:val="en-GB"/>
        </w:rPr>
        <w:sym w:font="Symbol" w:char="F02A"/>
      </w:r>
      <w:r>
        <w:rPr>
          <w:rFonts w:ascii="Times New Roman" w:hAnsi="Times New Roman"/>
          <w:sz w:val="24"/>
          <w:szCs w:val="24"/>
          <w:lang w:val="en-GB"/>
        </w:rPr>
        <w:t xml:space="preserve"> </w:t>
      </w:r>
      <w:r>
        <w:rPr>
          <w:rFonts w:ascii="Times New Roman" w:hAnsi="Times New Roman"/>
          <w:i/>
          <w:sz w:val="18"/>
          <w:szCs w:val="18"/>
          <w:lang w:val="en-GB"/>
        </w:rPr>
        <w:t>Source: Funza Lushaka Awards Data</w:t>
      </w:r>
      <w:r w:rsidRPr="00320759">
        <w:rPr>
          <w:rFonts w:ascii="Times New Roman" w:hAnsi="Times New Roman"/>
          <w:sz w:val="24"/>
          <w:szCs w:val="24"/>
          <w:lang w:val="en-GB"/>
        </w:rPr>
        <w:t xml:space="preserve"> </w:t>
      </w:r>
    </w:p>
    <w:p w:rsidR="00AB3479" w:rsidRPr="00320759" w:rsidRDefault="00AB3479" w:rsidP="00A57DB9">
      <w:pPr>
        <w:spacing w:before="100" w:beforeAutospacing="1" w:after="100" w:afterAutospacing="1" w:line="480" w:lineRule="auto"/>
        <w:ind w:left="720"/>
        <w:jc w:val="both"/>
        <w:rPr>
          <w:rFonts w:ascii="Times New Roman" w:hAnsi="Times New Roman"/>
          <w:sz w:val="24"/>
          <w:szCs w:val="24"/>
          <w:lang w:val="en-US"/>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Pr="00320759" w:rsidRDefault="00AB3479" w:rsidP="00A57DB9">
      <w:pPr>
        <w:spacing w:before="100" w:beforeAutospacing="1" w:after="100" w:afterAutospacing="1" w:line="480" w:lineRule="auto"/>
        <w:ind w:left="720"/>
        <w:jc w:val="both"/>
        <w:rPr>
          <w:rFonts w:ascii="Times New Roman" w:hAnsi="Times New Roman"/>
          <w:b/>
          <w:sz w:val="24"/>
          <w:szCs w:val="24"/>
        </w:rPr>
      </w:pPr>
    </w:p>
    <w:p w:rsidR="00AB3479" w:rsidRDefault="00AB3479" w:rsidP="00A57DB9">
      <w:pPr>
        <w:spacing w:before="100" w:beforeAutospacing="1" w:after="100" w:afterAutospacing="1"/>
        <w:ind w:left="720"/>
        <w:jc w:val="both"/>
        <w:rPr>
          <w:rFonts w:ascii="Times New Roman" w:hAnsi="Times New Roman"/>
          <w:b/>
          <w:sz w:val="24"/>
          <w:szCs w:val="24"/>
        </w:rPr>
      </w:pPr>
    </w:p>
    <w:p w:rsidR="00AB3479" w:rsidRDefault="00AB3479" w:rsidP="00A57DB9">
      <w:pPr>
        <w:spacing w:before="100" w:beforeAutospacing="1" w:after="100" w:afterAutospacing="1"/>
        <w:ind w:left="720"/>
        <w:jc w:val="both"/>
        <w:rPr>
          <w:rFonts w:ascii="Times New Roman" w:hAnsi="Times New Roman"/>
          <w:b/>
          <w:sz w:val="24"/>
          <w:szCs w:val="24"/>
        </w:rPr>
      </w:pPr>
    </w:p>
    <w:p w:rsidR="00AB3479" w:rsidRDefault="00AB3479" w:rsidP="00A57DB9">
      <w:pPr>
        <w:spacing w:before="100" w:beforeAutospacing="1" w:after="100" w:afterAutospacing="1"/>
        <w:ind w:left="720"/>
        <w:jc w:val="both"/>
        <w:rPr>
          <w:rFonts w:ascii="Times New Roman" w:hAnsi="Times New Roman"/>
          <w:b/>
          <w:sz w:val="24"/>
          <w:szCs w:val="24"/>
        </w:rPr>
      </w:pPr>
    </w:p>
    <w:p w:rsidR="00AB3479" w:rsidRDefault="00AB3479" w:rsidP="00A57DB9">
      <w:pPr>
        <w:spacing w:before="100" w:beforeAutospacing="1" w:after="100" w:afterAutospacing="1"/>
        <w:ind w:left="720"/>
        <w:jc w:val="both"/>
        <w:rPr>
          <w:rFonts w:ascii="Times New Roman" w:hAnsi="Times New Roman"/>
          <w:b/>
          <w:sz w:val="24"/>
          <w:szCs w:val="24"/>
        </w:rPr>
      </w:pPr>
    </w:p>
    <w:p w:rsidR="00AB3479" w:rsidRPr="006D7B63" w:rsidRDefault="00AB3479" w:rsidP="00A57DB9">
      <w:pPr>
        <w:spacing w:before="100" w:beforeAutospacing="1" w:after="100" w:afterAutospacing="1" w:line="280" w:lineRule="exact"/>
        <w:ind w:left="720"/>
        <w:jc w:val="both"/>
        <w:rPr>
          <w:rFonts w:ascii="Times New Roman" w:hAnsi="Times New Roman"/>
        </w:rPr>
      </w:pPr>
      <w:bookmarkStart w:id="0" w:name="_GoBack"/>
      <w:bookmarkEnd w:id="0"/>
    </w:p>
    <w:sectPr w:rsidR="00AB3479" w:rsidRPr="006D7B63" w:rsidSect="00DC1D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8DF"/>
    <w:multiLevelType w:val="hybridMultilevel"/>
    <w:tmpl w:val="244A9B46"/>
    <w:lvl w:ilvl="0" w:tplc="F19EF45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97E31"/>
    <w:rsid w:val="00183BCF"/>
    <w:rsid w:val="002114BE"/>
    <w:rsid w:val="00267DE9"/>
    <w:rsid w:val="0027063B"/>
    <w:rsid w:val="002C32A6"/>
    <w:rsid w:val="00320759"/>
    <w:rsid w:val="0037043F"/>
    <w:rsid w:val="003A7C82"/>
    <w:rsid w:val="003B39A7"/>
    <w:rsid w:val="003E50DF"/>
    <w:rsid w:val="00405587"/>
    <w:rsid w:val="00433090"/>
    <w:rsid w:val="004532C0"/>
    <w:rsid w:val="004A2F02"/>
    <w:rsid w:val="005218AC"/>
    <w:rsid w:val="00570560"/>
    <w:rsid w:val="005827AF"/>
    <w:rsid w:val="00654B70"/>
    <w:rsid w:val="00655F9E"/>
    <w:rsid w:val="00695BA6"/>
    <w:rsid w:val="006D7B63"/>
    <w:rsid w:val="006E1474"/>
    <w:rsid w:val="006F297B"/>
    <w:rsid w:val="0077525B"/>
    <w:rsid w:val="007A4190"/>
    <w:rsid w:val="007D48A7"/>
    <w:rsid w:val="007E37F5"/>
    <w:rsid w:val="007F25CB"/>
    <w:rsid w:val="00824C1A"/>
    <w:rsid w:val="00830D56"/>
    <w:rsid w:val="00857A1D"/>
    <w:rsid w:val="008B4CAE"/>
    <w:rsid w:val="008E742B"/>
    <w:rsid w:val="009463CC"/>
    <w:rsid w:val="009B6115"/>
    <w:rsid w:val="009D302C"/>
    <w:rsid w:val="00A341A2"/>
    <w:rsid w:val="00A57DB9"/>
    <w:rsid w:val="00A666AB"/>
    <w:rsid w:val="00AB3479"/>
    <w:rsid w:val="00AD4953"/>
    <w:rsid w:val="00B2251D"/>
    <w:rsid w:val="00B51400"/>
    <w:rsid w:val="00B6783D"/>
    <w:rsid w:val="00B9457D"/>
    <w:rsid w:val="00BA100B"/>
    <w:rsid w:val="00C06F39"/>
    <w:rsid w:val="00CC4CFB"/>
    <w:rsid w:val="00D34C31"/>
    <w:rsid w:val="00D94B1F"/>
    <w:rsid w:val="00DC1DB9"/>
    <w:rsid w:val="00E00846"/>
    <w:rsid w:val="00E14C0C"/>
    <w:rsid w:val="00E67F6F"/>
    <w:rsid w:val="00E92CFB"/>
    <w:rsid w:val="00E958FC"/>
    <w:rsid w:val="00EC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B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395</Words>
  <Characters>2255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2015-09-14T11:03:00Z</dcterms:created>
  <dcterms:modified xsi:type="dcterms:W3CDTF">2015-09-14T11:03:00Z</dcterms:modified>
</cp:coreProperties>
</file>