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05" w:rsidRPr="000223FC" w:rsidRDefault="00023105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PARLIAMENT OF THE REPUBLIC OF SOUTH AFRICA</w:t>
      </w:r>
    </w:p>
    <w:p w:rsidR="00023105" w:rsidRPr="000223FC" w:rsidRDefault="00023105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23105" w:rsidRPr="000223FC" w:rsidRDefault="00023105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NATIONAL ASSEMBLY</w:t>
      </w:r>
    </w:p>
    <w:p w:rsidR="00023105" w:rsidRPr="000223FC" w:rsidRDefault="00023105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</w:p>
    <w:p w:rsidR="00023105" w:rsidRDefault="00023105" w:rsidP="00E44BFD">
      <w:pPr>
        <w:ind w:right="284"/>
        <w:contextualSpacing/>
        <w:jc w:val="center"/>
        <w:outlineLvl w:val="0"/>
        <w:rPr>
          <w:rFonts w:ascii="Arial" w:hAnsi="Arial" w:cs="Arial"/>
          <w:b/>
        </w:rPr>
      </w:pPr>
      <w:r w:rsidRPr="000223FC">
        <w:rPr>
          <w:rFonts w:ascii="Arial" w:hAnsi="Arial" w:cs="Arial"/>
          <w:b/>
        </w:rPr>
        <w:t>WRITTEN REPLY</w:t>
      </w:r>
    </w:p>
    <w:p w:rsidR="00023105" w:rsidRPr="000223FC" w:rsidRDefault="00023105" w:rsidP="0079074E">
      <w:pPr>
        <w:ind w:right="284"/>
        <w:contextualSpacing/>
        <w:outlineLvl w:val="0"/>
        <w:rPr>
          <w:rFonts w:ascii="Arial" w:hAnsi="Arial" w:cs="Arial"/>
          <w:b/>
        </w:rPr>
      </w:pP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QUESTION NO: </w:t>
      </w:r>
      <w:r>
        <w:rPr>
          <w:rFonts w:ascii="Arial" w:hAnsi="Arial" w:cs="Arial"/>
          <w:b/>
          <w:bCs/>
          <w:iCs/>
        </w:rPr>
        <w:t>3129</w:t>
      </w: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PUBLICATION:  </w:t>
      </w:r>
      <w:r>
        <w:rPr>
          <w:rFonts w:ascii="Arial" w:hAnsi="Arial" w:cs="Arial"/>
          <w:b/>
        </w:rPr>
        <w:t>21 AUGUST 2015</w:t>
      </w: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>QUESTION PAPER NO</w:t>
      </w:r>
      <w:r w:rsidRPr="00FE73C9">
        <w:rPr>
          <w:rFonts w:ascii="Arial" w:hAnsi="Arial" w:cs="Arial"/>
        </w:rPr>
        <w:t xml:space="preserve">: </w:t>
      </w:r>
      <w:r w:rsidRPr="007516F5">
        <w:rPr>
          <w:rFonts w:ascii="Arial" w:hAnsi="Arial" w:cs="Arial"/>
          <w:b/>
        </w:rPr>
        <w:t>32</w:t>
      </w: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</w:p>
    <w:p w:rsidR="00023105" w:rsidRPr="00FE73C9" w:rsidRDefault="00023105" w:rsidP="00E44BFD">
      <w:pPr>
        <w:ind w:right="284"/>
        <w:contextualSpacing/>
        <w:jc w:val="both"/>
        <w:outlineLvl w:val="0"/>
        <w:rPr>
          <w:rFonts w:ascii="Arial" w:hAnsi="Arial" w:cs="Arial"/>
          <w:b/>
        </w:rPr>
      </w:pPr>
      <w:r w:rsidRPr="00FE73C9">
        <w:rPr>
          <w:rFonts w:ascii="Arial" w:hAnsi="Arial" w:cs="Arial"/>
          <w:b/>
        </w:rPr>
        <w:t xml:space="preserve">DATE OF REPLY:  </w:t>
      </w:r>
    </w:p>
    <w:p w:rsidR="00023105" w:rsidRPr="00FE73C9" w:rsidRDefault="00023105" w:rsidP="00FE73C9">
      <w:pPr>
        <w:jc w:val="both"/>
        <w:rPr>
          <w:rFonts w:ascii="Arial" w:hAnsi="Arial" w:cs="Arial"/>
          <w:b/>
          <w:bCs/>
          <w:iCs/>
          <w:lang w:val="en-ZA"/>
        </w:rPr>
      </w:pPr>
    </w:p>
    <w:p w:rsidR="00023105" w:rsidRDefault="00023105" w:rsidP="00E5746F">
      <w:pPr>
        <w:jc w:val="both"/>
        <w:rPr>
          <w:rFonts w:ascii="Arial" w:hAnsi="Arial" w:cs="Arial"/>
          <w:b/>
          <w:bCs/>
          <w:iCs/>
        </w:rPr>
      </w:pPr>
      <w:r w:rsidRPr="00E5746F">
        <w:rPr>
          <w:rFonts w:ascii="Arial" w:hAnsi="Arial" w:cs="Arial"/>
          <w:b/>
          <w:bCs/>
          <w:iCs/>
        </w:rPr>
        <w:t>Mrs</w:t>
      </w:r>
      <w:r>
        <w:rPr>
          <w:rFonts w:ascii="Arial" w:hAnsi="Arial" w:cs="Arial"/>
          <w:b/>
          <w:bCs/>
          <w:iCs/>
        </w:rPr>
        <w:t>.</w:t>
      </w:r>
      <w:r w:rsidRPr="00E5746F">
        <w:rPr>
          <w:rFonts w:ascii="Arial" w:hAnsi="Arial" w:cs="Arial"/>
          <w:b/>
          <w:bCs/>
          <w:iCs/>
        </w:rPr>
        <w:t xml:space="preserve"> M R Shinn (DA) to ask the Minister of Telecommunications and Postal Services:</w:t>
      </w:r>
    </w:p>
    <w:p w:rsidR="00023105" w:rsidRPr="00E5746F" w:rsidRDefault="00023105" w:rsidP="00E5746F">
      <w:pPr>
        <w:jc w:val="both"/>
        <w:rPr>
          <w:rFonts w:ascii="Arial" w:hAnsi="Arial" w:cs="Arial"/>
          <w:b/>
          <w:bCs/>
          <w:iCs/>
        </w:rPr>
      </w:pPr>
    </w:p>
    <w:p w:rsidR="00023105" w:rsidRPr="00E5746F" w:rsidRDefault="00023105" w:rsidP="00E5746F">
      <w:pPr>
        <w:jc w:val="both"/>
        <w:rPr>
          <w:rFonts w:ascii="Arial" w:hAnsi="Arial" w:cs="Arial"/>
          <w:bCs/>
          <w:iCs/>
        </w:rPr>
      </w:pPr>
      <w:r w:rsidRPr="00E5746F">
        <w:rPr>
          <w:rFonts w:ascii="Arial" w:hAnsi="Arial" w:cs="Arial"/>
          <w:bCs/>
          <w:iCs/>
        </w:rPr>
        <w:t>(a) Who heads his department’s South Africa Connect project office, (b) how many full-time staff members work in the specified office, (c) what are their roles, (d) what is the budgeted cost of the specified office over the Medium-Term Expenditure Framework period and (e) what (i) is the mandate and (ii) are the (aa) deliverable targets and (bb) deadlines?</w:t>
      </w:r>
      <w:r w:rsidRPr="00E5746F">
        <w:rPr>
          <w:rFonts w:ascii="Arial" w:hAnsi="Arial" w:cs="Arial"/>
          <w:bCs/>
          <w:iCs/>
        </w:rPr>
        <w:tab/>
      </w:r>
      <w:r w:rsidRPr="00E5746F">
        <w:rPr>
          <w:rFonts w:ascii="Arial" w:hAnsi="Arial" w:cs="Arial"/>
          <w:bCs/>
          <w:iCs/>
        </w:rPr>
        <w:tab/>
      </w:r>
      <w:r w:rsidRPr="00E5746F">
        <w:rPr>
          <w:rFonts w:ascii="Arial" w:hAnsi="Arial" w:cs="Arial"/>
          <w:bCs/>
          <w:iCs/>
        </w:rPr>
        <w:tab/>
      </w:r>
      <w:r w:rsidRPr="00E5746F">
        <w:rPr>
          <w:rFonts w:ascii="Arial" w:hAnsi="Arial" w:cs="Arial"/>
          <w:bCs/>
          <w:iCs/>
        </w:rPr>
        <w:tab/>
      </w:r>
    </w:p>
    <w:p w:rsidR="00023105" w:rsidRPr="00E5746F" w:rsidRDefault="00023105" w:rsidP="00E5746F">
      <w:pPr>
        <w:jc w:val="right"/>
        <w:rPr>
          <w:rFonts w:ascii="Arial" w:hAnsi="Arial" w:cs="Arial"/>
          <w:b/>
          <w:bCs/>
          <w:iCs/>
        </w:rPr>
      </w:pPr>
      <w:r w:rsidRPr="00E5746F">
        <w:rPr>
          <w:rFonts w:ascii="Arial" w:hAnsi="Arial" w:cs="Arial"/>
          <w:b/>
          <w:bCs/>
          <w:iCs/>
        </w:rPr>
        <w:t>NW3670E</w:t>
      </w:r>
    </w:p>
    <w:p w:rsidR="00023105" w:rsidRDefault="00023105" w:rsidP="0079074E">
      <w:pPr>
        <w:jc w:val="both"/>
        <w:rPr>
          <w:rFonts w:ascii="Arial" w:hAnsi="Arial" w:cs="Arial"/>
          <w:b/>
          <w:bCs/>
          <w:i/>
          <w:iCs/>
        </w:rPr>
      </w:pPr>
    </w:p>
    <w:p w:rsidR="00023105" w:rsidRDefault="00023105" w:rsidP="00FE73C9">
      <w:pPr>
        <w:rPr>
          <w:rFonts w:ascii="Arial" w:hAnsi="Arial" w:cs="Arial"/>
          <w:b/>
        </w:rPr>
      </w:pPr>
    </w:p>
    <w:p w:rsidR="00023105" w:rsidRDefault="00023105" w:rsidP="00FE73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023105" w:rsidRDefault="00023105" w:rsidP="00FE73C9">
      <w:pPr>
        <w:rPr>
          <w:rFonts w:ascii="Arial" w:hAnsi="Arial" w:cs="Arial"/>
          <w:b/>
        </w:rPr>
      </w:pPr>
    </w:p>
    <w:p w:rsidR="00023105" w:rsidRPr="006160B0" w:rsidRDefault="00023105" w:rsidP="006160B0">
      <w:pPr>
        <w:jc w:val="both"/>
        <w:rPr>
          <w:rFonts w:ascii="Arial" w:hAnsi="Arial" w:cs="Arial"/>
        </w:rPr>
      </w:pPr>
      <w:r w:rsidRPr="006160B0">
        <w:rPr>
          <w:rFonts w:ascii="Arial" w:hAnsi="Arial" w:cs="Arial"/>
        </w:rPr>
        <w:t xml:space="preserve">I have been advised the Department as follows:- </w:t>
      </w:r>
    </w:p>
    <w:p w:rsidR="00023105" w:rsidRDefault="00023105" w:rsidP="006160B0">
      <w:pPr>
        <w:jc w:val="both"/>
        <w:rPr>
          <w:rFonts w:ascii="Arial" w:hAnsi="Arial" w:cs="Arial"/>
        </w:rPr>
      </w:pPr>
    </w:p>
    <w:p w:rsidR="00023105" w:rsidRDefault="00023105" w:rsidP="006160B0">
      <w:pPr>
        <w:tabs>
          <w:tab w:val="left" w:pos="851"/>
        </w:tabs>
        <w:ind w:left="720" w:hanging="720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(a)(i)</w:t>
      </w:r>
      <w:r>
        <w:rPr>
          <w:rFonts w:ascii="Arial" w:hAnsi="Arial" w:cs="Arial"/>
        </w:rPr>
        <w:tab/>
      </w:r>
      <w:r w:rsidRPr="00E5746F">
        <w:rPr>
          <w:rFonts w:ascii="Arial" w:hAnsi="Arial" w:cs="Arial"/>
        </w:rPr>
        <w:t>Mr</w:t>
      </w:r>
      <w:r>
        <w:rPr>
          <w:rFonts w:ascii="Arial" w:hAnsi="Arial" w:cs="Arial"/>
        </w:rPr>
        <w:t>. Kefilwe Madingoane heads the D</w:t>
      </w:r>
      <w:r w:rsidRPr="00E5746F">
        <w:rPr>
          <w:rFonts w:ascii="Arial" w:hAnsi="Arial" w:cs="Arial"/>
        </w:rPr>
        <w:t>epartment’s South Africa Connect project office</w:t>
      </w:r>
    </w:p>
    <w:p w:rsidR="00023105" w:rsidRPr="00E5746F" w:rsidRDefault="00023105" w:rsidP="006160B0">
      <w:pPr>
        <w:tabs>
          <w:tab w:val="left" w:pos="851"/>
        </w:tabs>
        <w:ind w:left="720" w:hanging="720"/>
        <w:jc w:val="both"/>
        <w:rPr>
          <w:rFonts w:ascii="Arial" w:hAnsi="Arial" w:cs="Arial"/>
        </w:rPr>
      </w:pPr>
    </w:p>
    <w:p w:rsidR="00023105" w:rsidRDefault="00023105" w:rsidP="006160B0">
      <w:pPr>
        <w:ind w:left="720" w:hanging="720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(b)</w:t>
      </w:r>
      <w:r w:rsidRPr="00E5746F">
        <w:rPr>
          <w:rFonts w:ascii="Arial" w:hAnsi="Arial" w:cs="Arial"/>
        </w:rPr>
        <w:tab/>
        <w:t xml:space="preserve">The project office </w:t>
      </w:r>
      <w:r>
        <w:rPr>
          <w:rFonts w:ascii="Arial" w:hAnsi="Arial" w:cs="Arial"/>
        </w:rPr>
        <w:t>comprises</w:t>
      </w:r>
      <w:r w:rsidRPr="00E5746F">
        <w:rPr>
          <w:rFonts w:ascii="Arial" w:hAnsi="Arial" w:cs="Arial"/>
        </w:rPr>
        <w:t xml:space="preserve"> of eighteen (18) full time department</w:t>
      </w:r>
      <w:r>
        <w:rPr>
          <w:rFonts w:ascii="Arial" w:hAnsi="Arial" w:cs="Arial"/>
        </w:rPr>
        <w:t>al</w:t>
      </w:r>
      <w:r w:rsidRPr="00E5746F">
        <w:rPr>
          <w:rFonts w:ascii="Arial" w:hAnsi="Arial" w:cs="Arial"/>
        </w:rPr>
        <w:t xml:space="preserve"> staff members.</w:t>
      </w:r>
    </w:p>
    <w:p w:rsidR="00023105" w:rsidRPr="00E5746F" w:rsidRDefault="00023105" w:rsidP="006160B0">
      <w:pPr>
        <w:ind w:left="720" w:hanging="720"/>
        <w:jc w:val="both"/>
        <w:rPr>
          <w:rFonts w:ascii="Arial" w:hAnsi="Arial" w:cs="Arial"/>
        </w:rPr>
      </w:pPr>
    </w:p>
    <w:p w:rsidR="00023105" w:rsidRPr="00E5746F" w:rsidRDefault="00023105" w:rsidP="006160B0">
      <w:pPr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(c)</w:t>
      </w:r>
      <w:r w:rsidRPr="00E5746F">
        <w:rPr>
          <w:rFonts w:ascii="Arial" w:hAnsi="Arial" w:cs="Arial"/>
        </w:rPr>
        <w:tab/>
        <w:t>Their roles include:</w:t>
      </w:r>
    </w:p>
    <w:p w:rsidR="00023105" w:rsidRPr="00E5746F" w:rsidRDefault="00023105" w:rsidP="006160B0">
      <w:pPr>
        <w:tabs>
          <w:tab w:val="left" w:pos="1134"/>
        </w:tabs>
        <w:ind w:left="1129" w:hanging="420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•</w:t>
      </w:r>
      <w:r w:rsidRPr="00E5746F">
        <w:rPr>
          <w:rFonts w:ascii="Arial" w:hAnsi="Arial" w:cs="Arial"/>
        </w:rPr>
        <w:tab/>
        <w:t xml:space="preserve">Broadband infrastructure gap analysis using </w:t>
      </w:r>
      <w:r>
        <w:rPr>
          <w:rFonts w:ascii="Arial" w:hAnsi="Arial" w:cs="Arial"/>
        </w:rPr>
        <w:t>Geographic Information Systems (</w:t>
      </w:r>
      <w:r w:rsidRPr="00E5746F">
        <w:rPr>
          <w:rFonts w:ascii="Arial" w:hAnsi="Arial" w:cs="Arial"/>
        </w:rPr>
        <w:t>GIS</w:t>
      </w:r>
      <w:r>
        <w:rPr>
          <w:rFonts w:ascii="Arial" w:hAnsi="Arial" w:cs="Arial"/>
        </w:rPr>
        <w:t>)</w:t>
      </w:r>
      <w:r w:rsidRPr="00E5746F">
        <w:rPr>
          <w:rFonts w:ascii="Arial" w:hAnsi="Arial" w:cs="Arial"/>
        </w:rPr>
        <w:t xml:space="preserve"> tools</w:t>
      </w:r>
    </w:p>
    <w:p w:rsidR="00023105" w:rsidRPr="00E5746F" w:rsidRDefault="00023105" w:rsidP="006160B0">
      <w:p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•</w:t>
      </w:r>
      <w:r w:rsidRPr="00E5746F">
        <w:rPr>
          <w:rFonts w:ascii="Arial" w:hAnsi="Arial" w:cs="Arial"/>
        </w:rPr>
        <w:tab/>
        <w:t>High-level broadband technical planning to determine appropriate technology options and to develop the technical specification</w:t>
      </w:r>
    </w:p>
    <w:p w:rsidR="00023105" w:rsidRPr="00E5746F" w:rsidRDefault="00023105" w:rsidP="006160B0">
      <w:p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Stakeholder engagement at a National G</w:t>
      </w:r>
      <w:r w:rsidRPr="00E5746F">
        <w:rPr>
          <w:rFonts w:ascii="Arial" w:hAnsi="Arial" w:cs="Arial"/>
        </w:rPr>
        <w:t>overnment level to ensure coordination of the rollout plan wit</w:t>
      </w:r>
      <w:r>
        <w:rPr>
          <w:rFonts w:ascii="Arial" w:hAnsi="Arial" w:cs="Arial"/>
        </w:rPr>
        <w:t>h the requirements of the line D</w:t>
      </w:r>
      <w:r w:rsidRPr="00E5746F">
        <w:rPr>
          <w:rFonts w:ascii="Arial" w:hAnsi="Arial" w:cs="Arial"/>
        </w:rPr>
        <w:t xml:space="preserve">epartments </w:t>
      </w:r>
    </w:p>
    <w:p w:rsidR="00023105" w:rsidRPr="00E5746F" w:rsidRDefault="00023105" w:rsidP="006160B0">
      <w:p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Stakeholder engagement at Provincial and Local G</w:t>
      </w:r>
      <w:r w:rsidRPr="00E5746F">
        <w:rPr>
          <w:rFonts w:ascii="Arial" w:hAnsi="Arial" w:cs="Arial"/>
        </w:rPr>
        <w:t>overnment level to ensure that there is coordination between the rollout programme and the readiness of the targe</w:t>
      </w:r>
      <w:r>
        <w:rPr>
          <w:rFonts w:ascii="Arial" w:hAnsi="Arial" w:cs="Arial"/>
        </w:rPr>
        <w:t>ted facilities. Also to assist Provincial G</w:t>
      </w:r>
      <w:r w:rsidRPr="00E5746F">
        <w:rPr>
          <w:rFonts w:ascii="Arial" w:hAnsi="Arial" w:cs="Arial"/>
        </w:rPr>
        <w:t>overnments with setting up appropriate provincial broadband steering committee</w:t>
      </w:r>
      <w:r>
        <w:rPr>
          <w:rFonts w:ascii="Arial" w:hAnsi="Arial" w:cs="Arial"/>
        </w:rPr>
        <w:t>s</w:t>
      </w:r>
      <w:r w:rsidRPr="00E5746F">
        <w:rPr>
          <w:rFonts w:ascii="Arial" w:hAnsi="Arial" w:cs="Arial"/>
        </w:rPr>
        <w:t xml:space="preserve"> to drive the rollout programme at the provincial and local government level.</w:t>
      </w:r>
    </w:p>
    <w:p w:rsidR="00023105" w:rsidRPr="00E5746F" w:rsidRDefault="00023105" w:rsidP="006160B0">
      <w:p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•</w:t>
      </w:r>
      <w:r w:rsidRPr="00E5746F">
        <w:rPr>
          <w:rFonts w:ascii="Arial" w:hAnsi="Arial" w:cs="Arial"/>
        </w:rPr>
        <w:tab/>
        <w:t>Development of relevant business cases to secure funding for the rollout of broadband initiatives.</w:t>
      </w:r>
    </w:p>
    <w:p w:rsidR="00023105" w:rsidRDefault="00023105" w:rsidP="006160B0">
      <w:pP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•</w:t>
      </w:r>
      <w:r w:rsidRPr="00E5746F">
        <w:rPr>
          <w:rFonts w:ascii="Arial" w:hAnsi="Arial" w:cs="Arial"/>
        </w:rPr>
        <w:tab/>
        <w:t>Coordination with stakeholders such as S</w:t>
      </w:r>
      <w:r>
        <w:rPr>
          <w:rFonts w:ascii="Arial" w:hAnsi="Arial" w:cs="Arial"/>
        </w:rPr>
        <w:t>tate-</w:t>
      </w:r>
      <w:r w:rsidRPr="00E5746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wned </w:t>
      </w:r>
      <w:r w:rsidRPr="00E5746F">
        <w:rPr>
          <w:rFonts w:ascii="Arial" w:hAnsi="Arial" w:cs="Arial"/>
        </w:rPr>
        <w:t>C</w:t>
      </w:r>
      <w:r>
        <w:rPr>
          <w:rFonts w:ascii="Arial" w:hAnsi="Arial" w:cs="Arial"/>
        </w:rPr>
        <w:t>ompanies</w:t>
      </w:r>
      <w:r w:rsidRPr="00E5746F">
        <w:rPr>
          <w:rFonts w:ascii="Arial" w:hAnsi="Arial" w:cs="Arial"/>
        </w:rPr>
        <w:t xml:space="preserve"> and the private sector </w:t>
      </w:r>
      <w:r>
        <w:rPr>
          <w:rFonts w:ascii="Arial" w:hAnsi="Arial" w:cs="Arial"/>
        </w:rPr>
        <w:t xml:space="preserve">to </w:t>
      </w:r>
      <w:r w:rsidRPr="00E5746F">
        <w:rPr>
          <w:rFonts w:ascii="Arial" w:hAnsi="Arial" w:cs="Arial"/>
        </w:rPr>
        <w:t xml:space="preserve">ensure alignment with public and private sector initiatives. </w:t>
      </w:r>
    </w:p>
    <w:p w:rsidR="00023105" w:rsidRPr="00E5746F" w:rsidRDefault="00023105" w:rsidP="006160B0">
      <w:pPr>
        <w:tabs>
          <w:tab w:val="left" w:pos="1134"/>
        </w:tabs>
        <w:ind w:left="1134" w:hanging="709"/>
        <w:jc w:val="both"/>
        <w:rPr>
          <w:rFonts w:ascii="Arial" w:hAnsi="Arial" w:cs="Arial"/>
        </w:rPr>
      </w:pPr>
    </w:p>
    <w:p w:rsidR="00023105" w:rsidRPr="00E5746F" w:rsidRDefault="00023105" w:rsidP="006160B0">
      <w:pPr>
        <w:ind w:left="720" w:hanging="720"/>
        <w:jc w:val="both"/>
        <w:rPr>
          <w:rFonts w:ascii="Arial" w:hAnsi="Arial" w:cs="Arial"/>
        </w:rPr>
      </w:pPr>
      <w:r w:rsidRPr="00E5746F">
        <w:rPr>
          <w:rFonts w:ascii="Arial" w:hAnsi="Arial" w:cs="Arial"/>
        </w:rPr>
        <w:t>(d)</w:t>
      </w:r>
      <w:r w:rsidRPr="00E5746F">
        <w:rPr>
          <w:rFonts w:ascii="Arial" w:hAnsi="Arial" w:cs="Arial"/>
        </w:rPr>
        <w:tab/>
        <w:t xml:space="preserve">The budgeted cost for the office over the Medium Term Expenditure Framework is as shown below. The budget includes broadband rollout, remuneration, goods and service and professional services. </w:t>
      </w:r>
    </w:p>
    <w:p w:rsidR="00023105" w:rsidRDefault="00023105" w:rsidP="006160B0">
      <w:pPr>
        <w:ind w:firstLine="720"/>
        <w:jc w:val="both"/>
        <w:rPr>
          <w:rFonts w:ascii="Arial" w:hAnsi="Arial" w:cs="Arial"/>
        </w:rPr>
      </w:pPr>
    </w:p>
    <w:p w:rsidR="00023105" w:rsidRPr="00E5746F" w:rsidRDefault="00023105" w:rsidP="006160B0">
      <w:pPr>
        <w:ind w:firstLine="720"/>
        <w:jc w:val="both"/>
        <w:rPr>
          <w:rFonts w:ascii="Arial" w:hAnsi="Arial" w:cs="Arial"/>
        </w:rPr>
      </w:pPr>
    </w:p>
    <w:tbl>
      <w:tblPr>
        <w:tblW w:w="8425" w:type="dxa"/>
        <w:tblInd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4"/>
        <w:gridCol w:w="4621"/>
      </w:tblGrid>
      <w:tr w:rsidR="00023105" w:rsidRPr="00EE4762" w:rsidTr="00210B71">
        <w:tc>
          <w:tcPr>
            <w:tcW w:w="3804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  <w:b/>
              </w:rPr>
            </w:pPr>
            <w:r w:rsidRPr="00EE4762">
              <w:rPr>
                <w:rFonts w:ascii="Arial" w:hAnsi="Arial" w:cs="Arial"/>
                <w:b/>
              </w:rPr>
              <w:t>Financial Year (over MTEF)</w:t>
            </w:r>
          </w:p>
        </w:tc>
        <w:tc>
          <w:tcPr>
            <w:tcW w:w="4621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  <w:b/>
              </w:rPr>
            </w:pPr>
            <w:r w:rsidRPr="00EE4762">
              <w:rPr>
                <w:rFonts w:ascii="Arial" w:hAnsi="Arial" w:cs="Arial"/>
                <w:b/>
              </w:rPr>
              <w:t>Budget:R’000</w:t>
            </w:r>
          </w:p>
        </w:tc>
      </w:tr>
      <w:tr w:rsidR="00023105" w:rsidRPr="00EE4762" w:rsidTr="00210B71">
        <w:tc>
          <w:tcPr>
            <w:tcW w:w="3804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</w:rPr>
            </w:pPr>
            <w:r w:rsidRPr="00EE4762">
              <w:rPr>
                <w:rFonts w:ascii="Arial" w:hAnsi="Arial" w:cs="Arial"/>
              </w:rPr>
              <w:t>2015/16</w:t>
            </w:r>
          </w:p>
        </w:tc>
        <w:tc>
          <w:tcPr>
            <w:tcW w:w="4621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</w:rPr>
            </w:pPr>
            <w:r w:rsidRPr="00EE4762">
              <w:rPr>
                <w:rFonts w:ascii="Arial" w:hAnsi="Arial" w:cs="Arial"/>
              </w:rPr>
              <w:t>R 227,150</w:t>
            </w:r>
          </w:p>
        </w:tc>
      </w:tr>
      <w:tr w:rsidR="00023105" w:rsidRPr="00EE4762" w:rsidTr="00210B71">
        <w:tc>
          <w:tcPr>
            <w:tcW w:w="3804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</w:rPr>
            </w:pPr>
            <w:r w:rsidRPr="00EE4762">
              <w:rPr>
                <w:rFonts w:ascii="Arial" w:hAnsi="Arial" w:cs="Arial"/>
              </w:rPr>
              <w:t>2016/17</w:t>
            </w:r>
          </w:p>
        </w:tc>
        <w:tc>
          <w:tcPr>
            <w:tcW w:w="4621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</w:rPr>
            </w:pPr>
            <w:r w:rsidRPr="00EE4762">
              <w:rPr>
                <w:rFonts w:ascii="Arial" w:hAnsi="Arial" w:cs="Arial"/>
              </w:rPr>
              <w:t>R 380,181</w:t>
            </w:r>
          </w:p>
        </w:tc>
      </w:tr>
      <w:tr w:rsidR="00023105" w:rsidRPr="00EE4762" w:rsidTr="00210B71">
        <w:tc>
          <w:tcPr>
            <w:tcW w:w="3804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</w:rPr>
            </w:pPr>
            <w:r w:rsidRPr="00EE4762">
              <w:rPr>
                <w:rFonts w:ascii="Arial" w:hAnsi="Arial" w:cs="Arial"/>
              </w:rPr>
              <w:t>2017/18</w:t>
            </w:r>
          </w:p>
        </w:tc>
        <w:tc>
          <w:tcPr>
            <w:tcW w:w="4621" w:type="dxa"/>
          </w:tcPr>
          <w:p w:rsidR="00023105" w:rsidRPr="00EE4762" w:rsidRDefault="00023105" w:rsidP="006160B0">
            <w:pPr>
              <w:jc w:val="both"/>
              <w:rPr>
                <w:rFonts w:ascii="Arial" w:hAnsi="Arial" w:cs="Arial"/>
              </w:rPr>
            </w:pPr>
            <w:r w:rsidRPr="00EE4762">
              <w:rPr>
                <w:rFonts w:ascii="Arial" w:hAnsi="Arial" w:cs="Arial"/>
              </w:rPr>
              <w:t>R 390,361</w:t>
            </w:r>
          </w:p>
        </w:tc>
      </w:tr>
    </w:tbl>
    <w:p w:rsidR="00023105" w:rsidRDefault="00023105" w:rsidP="006160B0">
      <w:pPr>
        <w:ind w:firstLine="720"/>
        <w:jc w:val="both"/>
        <w:rPr>
          <w:rFonts w:ascii="Arial" w:hAnsi="Arial" w:cs="Arial"/>
        </w:rPr>
      </w:pPr>
    </w:p>
    <w:p w:rsidR="00023105" w:rsidRDefault="00023105" w:rsidP="006160B0">
      <w:pPr>
        <w:ind w:firstLine="720"/>
        <w:jc w:val="both"/>
        <w:rPr>
          <w:rFonts w:ascii="Arial" w:hAnsi="Arial" w:cs="Arial"/>
        </w:rPr>
      </w:pPr>
    </w:p>
    <w:p w:rsidR="00023105" w:rsidRDefault="00023105" w:rsidP="005C5EF6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(e)(i)(ii)(iii)</w:t>
      </w:r>
      <w:r>
        <w:rPr>
          <w:rFonts w:ascii="Arial" w:hAnsi="Arial" w:cs="Arial"/>
        </w:rPr>
        <w:tab/>
        <w:t>The mandate is to execute on the four (4) strategies of the SA Connect Policy. The deliverable target is to achieve 100% broadband penetration by 2020 as per Outcome 6 of Medium Term Strategic Framework.</w:t>
      </w:r>
    </w:p>
    <w:p w:rsidR="00023105" w:rsidRDefault="00023105" w:rsidP="005C5EF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3105" w:rsidRDefault="00023105" w:rsidP="00210B71">
      <w:pPr>
        <w:ind w:left="1440" w:hanging="1440"/>
        <w:jc w:val="both"/>
        <w:rPr>
          <w:rFonts w:ascii="Arial" w:hAnsi="Arial" w:cs="Arial"/>
        </w:rPr>
      </w:pPr>
    </w:p>
    <w:p w:rsidR="00023105" w:rsidRDefault="00023105" w:rsidP="00210B71">
      <w:pPr>
        <w:ind w:left="1440" w:hanging="1440"/>
        <w:jc w:val="both"/>
        <w:rPr>
          <w:rFonts w:ascii="Arial" w:hAnsi="Arial" w:cs="Arial"/>
        </w:rPr>
      </w:pPr>
      <w:bookmarkStart w:id="0" w:name="_GoBack"/>
      <w:bookmarkEnd w:id="0"/>
    </w:p>
    <w:sectPr w:rsidR="00023105" w:rsidSect="00844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227D7"/>
    <w:multiLevelType w:val="hybridMultilevel"/>
    <w:tmpl w:val="0CAC9D52"/>
    <w:lvl w:ilvl="0" w:tplc="D4B0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224862"/>
    <w:multiLevelType w:val="hybridMultilevel"/>
    <w:tmpl w:val="CF1040C8"/>
    <w:lvl w:ilvl="0" w:tplc="D3B2F00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253283"/>
    <w:multiLevelType w:val="hybridMultilevel"/>
    <w:tmpl w:val="75D4C70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24F49"/>
    <w:multiLevelType w:val="hybridMultilevel"/>
    <w:tmpl w:val="1D687594"/>
    <w:lvl w:ilvl="0" w:tplc="BEBE2CD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57739"/>
    <w:multiLevelType w:val="hybridMultilevel"/>
    <w:tmpl w:val="CA98CB0E"/>
    <w:lvl w:ilvl="0" w:tplc="FB86CA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ED07E7"/>
    <w:multiLevelType w:val="hybridMultilevel"/>
    <w:tmpl w:val="79FE66E4"/>
    <w:lvl w:ilvl="0" w:tplc="8D346AF4">
      <w:start w:val="1"/>
      <w:numFmt w:val="lowerLetter"/>
      <w:lvlText w:val="(%1)"/>
      <w:lvlJc w:val="left"/>
      <w:pPr>
        <w:ind w:left="50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354F45"/>
    <w:multiLevelType w:val="hybridMultilevel"/>
    <w:tmpl w:val="B75CF362"/>
    <w:lvl w:ilvl="0" w:tplc="6F849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0">
    <w:nsid w:val="61ED7ED3"/>
    <w:multiLevelType w:val="hybridMultilevel"/>
    <w:tmpl w:val="0472E0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7768BD"/>
    <w:multiLevelType w:val="hybridMultilevel"/>
    <w:tmpl w:val="7C228D4A"/>
    <w:lvl w:ilvl="0" w:tplc="FF2E2E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D860B5B"/>
    <w:multiLevelType w:val="hybridMultilevel"/>
    <w:tmpl w:val="1E4CB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9F"/>
    <w:rsid w:val="00005545"/>
    <w:rsid w:val="00012AB7"/>
    <w:rsid w:val="00015536"/>
    <w:rsid w:val="000223FC"/>
    <w:rsid w:val="00023105"/>
    <w:rsid w:val="00027B48"/>
    <w:rsid w:val="00031589"/>
    <w:rsid w:val="00050BD8"/>
    <w:rsid w:val="000915F1"/>
    <w:rsid w:val="000A18F1"/>
    <w:rsid w:val="000A5583"/>
    <w:rsid w:val="00107606"/>
    <w:rsid w:val="00113B10"/>
    <w:rsid w:val="00161EDB"/>
    <w:rsid w:val="00191F66"/>
    <w:rsid w:val="001D2F58"/>
    <w:rsid w:val="001E13A6"/>
    <w:rsid w:val="001F5C11"/>
    <w:rsid w:val="00210B71"/>
    <w:rsid w:val="002350AA"/>
    <w:rsid w:val="002367FE"/>
    <w:rsid w:val="00237524"/>
    <w:rsid w:val="00250FF6"/>
    <w:rsid w:val="00265B5A"/>
    <w:rsid w:val="002916CB"/>
    <w:rsid w:val="002940A5"/>
    <w:rsid w:val="002B1C00"/>
    <w:rsid w:val="002B7EB2"/>
    <w:rsid w:val="002C5854"/>
    <w:rsid w:val="003049F3"/>
    <w:rsid w:val="00346784"/>
    <w:rsid w:val="00390364"/>
    <w:rsid w:val="00395307"/>
    <w:rsid w:val="003E5437"/>
    <w:rsid w:val="00413DE7"/>
    <w:rsid w:val="004151EE"/>
    <w:rsid w:val="0045161D"/>
    <w:rsid w:val="004A306C"/>
    <w:rsid w:val="004F5A59"/>
    <w:rsid w:val="005139F2"/>
    <w:rsid w:val="0051446C"/>
    <w:rsid w:val="00515C54"/>
    <w:rsid w:val="00530278"/>
    <w:rsid w:val="00536DBE"/>
    <w:rsid w:val="005430EA"/>
    <w:rsid w:val="00584C9C"/>
    <w:rsid w:val="005C5EF6"/>
    <w:rsid w:val="006073C3"/>
    <w:rsid w:val="006160B0"/>
    <w:rsid w:val="00644B99"/>
    <w:rsid w:val="006466A3"/>
    <w:rsid w:val="006500D0"/>
    <w:rsid w:val="00651FF0"/>
    <w:rsid w:val="00660484"/>
    <w:rsid w:val="006853F8"/>
    <w:rsid w:val="00686C5E"/>
    <w:rsid w:val="00693267"/>
    <w:rsid w:val="006A2787"/>
    <w:rsid w:val="006A385D"/>
    <w:rsid w:val="006C45C0"/>
    <w:rsid w:val="006C4724"/>
    <w:rsid w:val="006F2723"/>
    <w:rsid w:val="00722C4F"/>
    <w:rsid w:val="0072348E"/>
    <w:rsid w:val="00727FA2"/>
    <w:rsid w:val="007516F5"/>
    <w:rsid w:val="00777F44"/>
    <w:rsid w:val="0079074E"/>
    <w:rsid w:val="00795F50"/>
    <w:rsid w:val="007E732E"/>
    <w:rsid w:val="008058BF"/>
    <w:rsid w:val="00817C74"/>
    <w:rsid w:val="0084426A"/>
    <w:rsid w:val="008512B4"/>
    <w:rsid w:val="0087594A"/>
    <w:rsid w:val="008B29A2"/>
    <w:rsid w:val="008D3AD6"/>
    <w:rsid w:val="00913A13"/>
    <w:rsid w:val="009545A7"/>
    <w:rsid w:val="00977312"/>
    <w:rsid w:val="00A17814"/>
    <w:rsid w:val="00A251EB"/>
    <w:rsid w:val="00A33EBE"/>
    <w:rsid w:val="00A470E1"/>
    <w:rsid w:val="00A60027"/>
    <w:rsid w:val="00A66F73"/>
    <w:rsid w:val="00AA3E84"/>
    <w:rsid w:val="00AA5F9F"/>
    <w:rsid w:val="00AB017C"/>
    <w:rsid w:val="00AD2BE3"/>
    <w:rsid w:val="00AE5C4E"/>
    <w:rsid w:val="00B249D6"/>
    <w:rsid w:val="00B26F39"/>
    <w:rsid w:val="00B76707"/>
    <w:rsid w:val="00BB0406"/>
    <w:rsid w:val="00BC70C7"/>
    <w:rsid w:val="00BD4A33"/>
    <w:rsid w:val="00BD50AD"/>
    <w:rsid w:val="00BF3AE9"/>
    <w:rsid w:val="00C62C70"/>
    <w:rsid w:val="00C90760"/>
    <w:rsid w:val="00D15E85"/>
    <w:rsid w:val="00D221DA"/>
    <w:rsid w:val="00D36C77"/>
    <w:rsid w:val="00D65838"/>
    <w:rsid w:val="00D92A27"/>
    <w:rsid w:val="00DA017E"/>
    <w:rsid w:val="00DD0C07"/>
    <w:rsid w:val="00E07934"/>
    <w:rsid w:val="00E36112"/>
    <w:rsid w:val="00E44BFD"/>
    <w:rsid w:val="00E52036"/>
    <w:rsid w:val="00E5746F"/>
    <w:rsid w:val="00EE4762"/>
    <w:rsid w:val="00EF4304"/>
    <w:rsid w:val="00F339BE"/>
    <w:rsid w:val="00F414F4"/>
    <w:rsid w:val="00F47896"/>
    <w:rsid w:val="00F6309F"/>
    <w:rsid w:val="00FA39EF"/>
    <w:rsid w:val="00FB6BAA"/>
    <w:rsid w:val="00FC162D"/>
    <w:rsid w:val="00FE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D0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86C5E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subject/>
  <dc:creator>NCELE</dc:creator>
  <cp:keywords/>
  <dc:description/>
  <cp:lastModifiedBy>schuene</cp:lastModifiedBy>
  <cp:revision>2</cp:revision>
  <dcterms:created xsi:type="dcterms:W3CDTF">2015-09-08T08:52:00Z</dcterms:created>
  <dcterms:modified xsi:type="dcterms:W3CDTF">2015-09-08T08:52:00Z</dcterms:modified>
</cp:coreProperties>
</file>