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243C" w14:textId="77777777" w:rsidR="0015746A" w:rsidRDefault="0015746A" w:rsidP="0015746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</w:p>
    <w:p w14:paraId="30A1243D" w14:textId="4459DEFA" w:rsidR="0015746A" w:rsidRPr="00BF6E61" w:rsidRDefault="0015746A" w:rsidP="0015746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  <w:r w:rsidRPr="00BF6E61">
        <w:rPr>
          <w:rFonts w:ascii="Arial" w:eastAsia="Times New Roman" w:hAnsi="Arial" w:cs="Arial"/>
          <w:b/>
          <w:color w:val="000000"/>
        </w:rPr>
        <w:t xml:space="preserve">QUESTION FOR </w:t>
      </w:r>
      <w:r w:rsidR="00BE20FC">
        <w:rPr>
          <w:rFonts w:ascii="Arial" w:eastAsia="Times New Roman" w:hAnsi="Arial" w:cs="Arial"/>
          <w:b/>
          <w:color w:val="000000"/>
        </w:rPr>
        <w:t>WRITTEN</w:t>
      </w:r>
      <w:bookmarkStart w:id="0" w:name="_GoBack"/>
      <w:bookmarkEnd w:id="0"/>
      <w:r w:rsidRPr="00BF6E61">
        <w:rPr>
          <w:rFonts w:ascii="Arial" w:eastAsia="Times New Roman" w:hAnsi="Arial" w:cs="Arial"/>
          <w:b/>
          <w:color w:val="000000"/>
        </w:rPr>
        <w:t xml:space="preserve"> REPLY</w:t>
      </w:r>
    </w:p>
    <w:p w14:paraId="30A1243E" w14:textId="77777777" w:rsidR="0015746A" w:rsidRPr="00BF6E61" w:rsidRDefault="0015746A" w:rsidP="0015746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</w:p>
    <w:p w14:paraId="30A12440" w14:textId="77777777" w:rsidR="0015746A" w:rsidRPr="00BF6E61" w:rsidRDefault="0015746A" w:rsidP="0015746A">
      <w:pPr>
        <w:spacing w:after="0" w:line="360" w:lineRule="auto"/>
        <w:ind w:left="816" w:hanging="816"/>
        <w:rPr>
          <w:rFonts w:ascii="Arial" w:hAnsi="Arial" w:cs="Arial"/>
          <w:b/>
        </w:rPr>
      </w:pPr>
    </w:p>
    <w:p w14:paraId="30A12441" w14:textId="77777777" w:rsidR="0015746A" w:rsidRDefault="0015746A" w:rsidP="0015746A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E27013">
        <w:rPr>
          <w:rFonts w:ascii="Arial" w:hAnsi="Arial" w:cs="Arial"/>
          <w:b/>
        </w:rPr>
        <w:t xml:space="preserve">3106. </w:t>
      </w:r>
      <w:r w:rsidRPr="00E27013">
        <w:rPr>
          <w:rFonts w:ascii="Arial" w:hAnsi="Arial" w:cs="Arial"/>
          <w:b/>
        </w:rPr>
        <w:tab/>
        <w:t>Mr H C C Krüger (DA) to ask the Minister of Small Business Development:</w:t>
      </w:r>
    </w:p>
    <w:p w14:paraId="30A12442" w14:textId="77777777" w:rsidR="0015746A" w:rsidRPr="00E27013" w:rsidRDefault="0015746A" w:rsidP="0015746A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0A12443" w14:textId="77777777" w:rsidR="0015746A" w:rsidRDefault="0015746A" w:rsidP="0015746A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27013">
        <w:rPr>
          <w:rFonts w:ascii="Arial" w:hAnsi="Arial" w:cs="Arial"/>
          <w:b/>
        </w:rPr>
        <w:t>(a) What total number of transversal agreements has her department signed with other departments and/or entities, (b) with which departments and/or entities were the specified agreements signed, (c) what did the agreements consist of and (d) what were the outcomes or envisaged outcomes of the agreements in each case?</w:t>
      </w:r>
      <w:r>
        <w:rPr>
          <w:rFonts w:ascii="Arial" w:hAnsi="Arial" w:cs="Arial"/>
          <w:b/>
        </w:rPr>
        <w:t>”</w:t>
      </w:r>
    </w:p>
    <w:p w14:paraId="30A12444" w14:textId="77777777" w:rsidR="0015746A" w:rsidRDefault="0015746A" w:rsidP="0015746A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Arial" w:hAnsi="Arial" w:cs="Arial"/>
          <w:b/>
        </w:rPr>
      </w:pPr>
    </w:p>
    <w:p w14:paraId="30A12445" w14:textId="77777777" w:rsidR="0015746A" w:rsidRDefault="0015746A" w:rsidP="0015746A">
      <w:pPr>
        <w:spacing w:after="0" w:line="360" w:lineRule="auto"/>
        <w:jc w:val="right"/>
        <w:rPr>
          <w:rFonts w:ascii="Arial" w:hAnsi="Arial" w:cs="Arial"/>
          <w:b/>
        </w:rPr>
      </w:pPr>
      <w:r w:rsidRPr="000F3094">
        <w:rPr>
          <w:rFonts w:ascii="Arial" w:hAnsi="Arial" w:cs="Arial"/>
          <w:b/>
        </w:rPr>
        <w:t>NW3422E</w:t>
      </w:r>
    </w:p>
    <w:p w14:paraId="30A12446" w14:textId="77777777" w:rsidR="0015746A" w:rsidRDefault="0015746A" w:rsidP="0015746A">
      <w:pPr>
        <w:spacing w:after="0" w:line="360" w:lineRule="auto"/>
        <w:rPr>
          <w:rFonts w:ascii="Arial" w:hAnsi="Arial" w:cs="Arial"/>
          <w:b/>
        </w:rPr>
      </w:pPr>
    </w:p>
    <w:p w14:paraId="30A12447" w14:textId="77777777" w:rsidR="0015746A" w:rsidRDefault="0015746A" w:rsidP="0015746A">
      <w:pPr>
        <w:spacing w:after="0" w:line="360" w:lineRule="auto"/>
        <w:rPr>
          <w:rFonts w:ascii="Arial" w:hAnsi="Arial" w:cs="Arial"/>
          <w:b/>
        </w:rPr>
      </w:pPr>
      <w:r w:rsidRPr="000D0B57">
        <w:rPr>
          <w:rFonts w:ascii="Arial" w:hAnsi="Arial" w:cs="Arial"/>
          <w:b/>
        </w:rPr>
        <w:t>REPLY:</w:t>
      </w:r>
    </w:p>
    <w:p w14:paraId="30A12448" w14:textId="77777777" w:rsidR="0015746A" w:rsidRDefault="0015746A" w:rsidP="0015746A">
      <w:pPr>
        <w:spacing w:after="0" w:line="360" w:lineRule="auto"/>
        <w:rPr>
          <w:rFonts w:ascii="Arial" w:hAnsi="Arial" w:cs="Arial"/>
          <w:b/>
        </w:rPr>
      </w:pPr>
    </w:p>
    <w:p w14:paraId="30A12449" w14:textId="77777777" w:rsidR="0015746A" w:rsidRDefault="0015746A" w:rsidP="0015746A">
      <w:pPr>
        <w:pStyle w:val="ListParagraph"/>
        <w:numPr>
          <w:ilvl w:val="0"/>
          <w:numId w:val="5"/>
        </w:numPr>
        <w:spacing w:after="0" w:line="360" w:lineRule="auto"/>
        <w:ind w:left="1134" w:hanging="1134"/>
        <w:jc w:val="both"/>
        <w:rPr>
          <w:rFonts w:ascii="Arial" w:eastAsia="Calibri" w:hAnsi="Arial" w:cs="Arial"/>
          <w:bCs/>
        </w:rPr>
      </w:pPr>
      <w:r w:rsidRPr="000F3094">
        <w:rPr>
          <w:rFonts w:ascii="Arial" w:eastAsia="Calibri" w:hAnsi="Arial" w:cs="Arial"/>
          <w:bCs/>
        </w:rPr>
        <w:t>The Department of Small Business Development</w:t>
      </w:r>
      <w:r>
        <w:rPr>
          <w:rFonts w:ascii="Arial" w:eastAsia="Calibri" w:hAnsi="Arial" w:cs="Arial"/>
          <w:bCs/>
        </w:rPr>
        <w:t xml:space="preserve"> (DSBD) has entered into 2</w:t>
      </w:r>
      <w:r w:rsidRPr="000F3094">
        <w:rPr>
          <w:rFonts w:ascii="Arial" w:eastAsia="Calibri" w:hAnsi="Arial" w:cs="Arial"/>
          <w:bCs/>
        </w:rPr>
        <w:t>8 partnership agreements to date.</w:t>
      </w:r>
      <w:r>
        <w:rPr>
          <w:rFonts w:ascii="Arial" w:eastAsia="Calibri" w:hAnsi="Arial" w:cs="Arial"/>
          <w:bCs/>
        </w:rPr>
        <w:t xml:space="preserve"> </w:t>
      </w:r>
      <w:r w:rsidRPr="000F3094">
        <w:rPr>
          <w:rFonts w:ascii="Arial" w:eastAsia="Calibri" w:hAnsi="Arial" w:cs="Arial"/>
          <w:bCs/>
        </w:rPr>
        <w:t xml:space="preserve"> The institutions partnered with encompass public, private</w:t>
      </w:r>
      <w:r w:rsidRPr="00310DE9">
        <w:rPr>
          <w:rFonts w:ascii="Arial" w:eastAsia="Calibri" w:hAnsi="Arial" w:cs="Arial"/>
          <w:bCs/>
        </w:rPr>
        <w:t xml:space="preserve"> </w:t>
      </w:r>
      <w:r w:rsidRPr="000F3094">
        <w:rPr>
          <w:rFonts w:ascii="Arial" w:eastAsia="Calibri" w:hAnsi="Arial" w:cs="Arial"/>
          <w:bCs/>
        </w:rPr>
        <w:t xml:space="preserve">and international organisations. </w:t>
      </w:r>
      <w:r>
        <w:rPr>
          <w:rFonts w:ascii="Arial" w:eastAsia="Calibri" w:hAnsi="Arial" w:cs="Arial"/>
          <w:bCs/>
        </w:rPr>
        <w:t xml:space="preserve"> </w:t>
      </w:r>
      <w:r w:rsidRPr="000F3094">
        <w:rPr>
          <w:rFonts w:ascii="Arial" w:eastAsia="Calibri" w:hAnsi="Arial" w:cs="Arial"/>
          <w:bCs/>
        </w:rPr>
        <w:t>The composition is as follows:</w:t>
      </w:r>
    </w:p>
    <w:p w14:paraId="30A1244A" w14:textId="77777777" w:rsidR="0015746A" w:rsidRDefault="0015746A" w:rsidP="0015746A">
      <w:pPr>
        <w:pStyle w:val="ListParagraph"/>
        <w:spacing w:after="200" w:line="276" w:lineRule="auto"/>
        <w:jc w:val="both"/>
        <w:rPr>
          <w:rFonts w:ascii="Arial" w:eastAsia="Calibri" w:hAnsi="Arial" w:cs="Arial"/>
          <w:bCs/>
        </w:rPr>
      </w:pPr>
    </w:p>
    <w:tbl>
      <w:tblPr>
        <w:tblStyle w:val="TableGrid"/>
        <w:tblW w:w="0" w:type="auto"/>
        <w:tblInd w:w="1149" w:type="dxa"/>
        <w:tblLook w:val="04A0" w:firstRow="1" w:lastRow="0" w:firstColumn="1" w:lastColumn="0" w:noHBand="0" w:noVBand="1"/>
      </w:tblPr>
      <w:tblGrid>
        <w:gridCol w:w="4942"/>
        <w:gridCol w:w="1563"/>
      </w:tblGrid>
      <w:tr w:rsidR="0015746A" w14:paraId="30A1244D" w14:textId="77777777" w:rsidTr="00AA43DB">
        <w:tc>
          <w:tcPr>
            <w:tcW w:w="4942" w:type="dxa"/>
            <w:shd w:val="clear" w:color="auto" w:fill="92D050"/>
          </w:tcPr>
          <w:p w14:paraId="30A1244B" w14:textId="77777777" w:rsidR="0015746A" w:rsidRPr="00526449" w:rsidRDefault="0015746A" w:rsidP="00AA43D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Times New Roman"/>
                <w:b/>
                <w:sz w:val="18"/>
                <w:szCs w:val="18"/>
                <w:lang w:val="en-US"/>
              </w:rPr>
            </w:pPr>
            <w:r w:rsidRPr="00526449">
              <w:rPr>
                <w:rFonts w:ascii="Arial" w:eastAsia="Calibri" w:hAnsi="Arial" w:cs="Times New Roman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1563" w:type="dxa"/>
            <w:shd w:val="clear" w:color="auto" w:fill="92D050"/>
          </w:tcPr>
          <w:p w14:paraId="30A1244C" w14:textId="77777777" w:rsidR="0015746A" w:rsidRPr="00526449" w:rsidRDefault="0015746A" w:rsidP="00AA43D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Times New Roman"/>
                <w:b/>
                <w:sz w:val="18"/>
                <w:szCs w:val="18"/>
                <w:lang w:val="en-US"/>
              </w:rPr>
            </w:pPr>
            <w:r w:rsidRPr="00526449">
              <w:rPr>
                <w:rFonts w:ascii="Arial" w:eastAsia="Calibri" w:hAnsi="Arial" w:cs="Times New Roman"/>
                <w:b/>
                <w:sz w:val="18"/>
                <w:szCs w:val="18"/>
                <w:lang w:val="en-US"/>
              </w:rPr>
              <w:t>No</w:t>
            </w:r>
          </w:p>
        </w:tc>
      </w:tr>
      <w:tr w:rsidR="0015746A" w14:paraId="30A12450" w14:textId="77777777" w:rsidTr="00AA43DB">
        <w:tc>
          <w:tcPr>
            <w:tcW w:w="4942" w:type="dxa"/>
          </w:tcPr>
          <w:p w14:paraId="30A1244E" w14:textId="77777777" w:rsidR="0015746A" w:rsidRPr="000F3094" w:rsidRDefault="0015746A" w:rsidP="0015746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39" w:hanging="43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F3094">
              <w:rPr>
                <w:rFonts w:ascii="Arial" w:eastAsia="Calibri" w:hAnsi="Arial" w:cs="Times New Roman"/>
                <w:sz w:val="18"/>
                <w:szCs w:val="18"/>
                <w:lang w:val="en-US"/>
              </w:rPr>
              <w:t>Public/Government Entities</w:t>
            </w:r>
          </w:p>
        </w:tc>
        <w:tc>
          <w:tcPr>
            <w:tcW w:w="1563" w:type="dxa"/>
          </w:tcPr>
          <w:p w14:paraId="30A1244F" w14:textId="77777777" w:rsidR="0015746A" w:rsidRPr="000F3094" w:rsidRDefault="0015746A" w:rsidP="00AA43D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F3094">
              <w:rPr>
                <w:rFonts w:ascii="Arial" w:eastAsia="Calibri" w:hAnsi="Arial" w:cs="Times New Roman"/>
                <w:sz w:val="18"/>
                <w:szCs w:val="18"/>
                <w:lang w:val="en-US"/>
              </w:rPr>
              <w:t>15</w:t>
            </w:r>
          </w:p>
        </w:tc>
      </w:tr>
      <w:tr w:rsidR="0015746A" w14:paraId="30A12453" w14:textId="77777777" w:rsidTr="00AA43DB">
        <w:tc>
          <w:tcPr>
            <w:tcW w:w="4942" w:type="dxa"/>
          </w:tcPr>
          <w:p w14:paraId="30A12451" w14:textId="77777777" w:rsidR="0015746A" w:rsidRPr="000F3094" w:rsidRDefault="0015746A" w:rsidP="0015746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39" w:hanging="43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F3094">
              <w:rPr>
                <w:rFonts w:ascii="Arial" w:eastAsia="Calibri" w:hAnsi="Arial" w:cs="Times New Roman"/>
                <w:sz w:val="18"/>
                <w:szCs w:val="18"/>
                <w:lang w:val="en-US"/>
              </w:rPr>
              <w:t>Private entities</w:t>
            </w:r>
          </w:p>
        </w:tc>
        <w:tc>
          <w:tcPr>
            <w:tcW w:w="1563" w:type="dxa"/>
          </w:tcPr>
          <w:p w14:paraId="30A12452" w14:textId="77777777" w:rsidR="0015746A" w:rsidRPr="000F3094" w:rsidRDefault="0015746A" w:rsidP="00AA43D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F3094">
              <w:rPr>
                <w:rFonts w:ascii="Arial" w:eastAsia="Calibri" w:hAnsi="Arial" w:cs="Times New Roman"/>
                <w:sz w:val="18"/>
                <w:szCs w:val="18"/>
                <w:lang w:val="en-US"/>
              </w:rPr>
              <w:t>8</w:t>
            </w:r>
          </w:p>
        </w:tc>
      </w:tr>
      <w:tr w:rsidR="0015746A" w14:paraId="30A12456" w14:textId="77777777" w:rsidTr="00AA43DB">
        <w:tc>
          <w:tcPr>
            <w:tcW w:w="4942" w:type="dxa"/>
          </w:tcPr>
          <w:p w14:paraId="30A12454" w14:textId="77777777" w:rsidR="0015746A" w:rsidRPr="000F3094" w:rsidRDefault="0015746A" w:rsidP="0015746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39" w:hanging="43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F3094">
              <w:rPr>
                <w:rFonts w:ascii="Arial" w:eastAsia="Calibri" w:hAnsi="Arial" w:cs="Times New Roman"/>
                <w:sz w:val="18"/>
                <w:szCs w:val="18"/>
                <w:lang w:val="en-US"/>
              </w:rPr>
              <w:t>International Organizations</w:t>
            </w:r>
          </w:p>
        </w:tc>
        <w:tc>
          <w:tcPr>
            <w:tcW w:w="1563" w:type="dxa"/>
          </w:tcPr>
          <w:p w14:paraId="30A12455" w14:textId="77777777" w:rsidR="0015746A" w:rsidRPr="000F3094" w:rsidRDefault="0015746A" w:rsidP="00AA43D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F3094">
              <w:rPr>
                <w:rFonts w:ascii="Arial" w:eastAsia="Calibri" w:hAnsi="Arial" w:cs="Times New Roman"/>
                <w:sz w:val="18"/>
                <w:szCs w:val="18"/>
                <w:lang w:val="en-US"/>
              </w:rPr>
              <w:t>5</w:t>
            </w:r>
          </w:p>
        </w:tc>
      </w:tr>
    </w:tbl>
    <w:p w14:paraId="30A12457" w14:textId="77777777" w:rsidR="0015746A" w:rsidRDefault="0015746A" w:rsidP="0015746A">
      <w:pPr>
        <w:pStyle w:val="ListParagraph"/>
        <w:spacing w:after="200" w:line="276" w:lineRule="auto"/>
        <w:jc w:val="both"/>
        <w:rPr>
          <w:rFonts w:ascii="Arial" w:eastAsia="Calibri" w:hAnsi="Arial" w:cs="Arial"/>
          <w:bCs/>
        </w:rPr>
        <w:sectPr w:rsidR="0015746A" w:rsidSect="00526449">
          <w:footerReference w:type="default" r:id="rId7"/>
          <w:pgSz w:w="12240" w:h="15840"/>
          <w:pgMar w:top="1440" w:right="1183" w:bottom="1135" w:left="1276" w:header="720" w:footer="720" w:gutter="0"/>
          <w:cols w:space="720"/>
          <w:docGrid w:linePitch="360"/>
        </w:sectPr>
      </w:pPr>
    </w:p>
    <w:p w14:paraId="30A12458" w14:textId="77777777" w:rsidR="0015746A" w:rsidRDefault="0015746A" w:rsidP="0015746A">
      <w:pPr>
        <w:pStyle w:val="ListParagraph"/>
        <w:spacing w:after="200" w:line="276" w:lineRule="auto"/>
        <w:ind w:hanging="72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(b)&amp;(d)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>Details of agreements are as follows:</w:t>
      </w:r>
    </w:p>
    <w:p w14:paraId="30A12459" w14:textId="77777777" w:rsidR="0015746A" w:rsidRPr="00C9670E" w:rsidRDefault="0015746A" w:rsidP="0015746A">
      <w:pPr>
        <w:pStyle w:val="ListParagraph"/>
        <w:spacing w:after="200" w:line="276" w:lineRule="auto"/>
        <w:ind w:hanging="720"/>
        <w:jc w:val="both"/>
        <w:rPr>
          <w:rFonts w:ascii="Arial" w:eastAsia="Calibri" w:hAnsi="Arial" w:cs="Arial"/>
          <w:b/>
          <w:bCs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847"/>
        <w:gridCol w:w="3826"/>
        <w:gridCol w:w="8647"/>
      </w:tblGrid>
      <w:tr w:rsidR="0015746A" w:rsidRPr="00540E28" w14:paraId="30A1245B" w14:textId="77777777" w:rsidTr="00AA43DB">
        <w:tc>
          <w:tcPr>
            <w:tcW w:w="13320" w:type="dxa"/>
            <w:gridSpan w:val="3"/>
            <w:shd w:val="clear" w:color="auto" w:fill="92D050"/>
          </w:tcPr>
          <w:p w14:paraId="30A1245A" w14:textId="77777777" w:rsidR="0015746A" w:rsidRPr="001E4323" w:rsidRDefault="0015746A" w:rsidP="00AA43DB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(i) Public / Government entities signed agreements</w:t>
            </w:r>
          </w:p>
        </w:tc>
      </w:tr>
      <w:tr w:rsidR="0015746A" w:rsidRPr="00540E28" w14:paraId="30A1245F" w14:textId="77777777" w:rsidTr="00AA43DB">
        <w:tc>
          <w:tcPr>
            <w:tcW w:w="847" w:type="dxa"/>
            <w:shd w:val="clear" w:color="auto" w:fill="92D050"/>
          </w:tcPr>
          <w:p w14:paraId="30A1245C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826" w:type="dxa"/>
            <w:shd w:val="clear" w:color="auto" w:fill="92D050"/>
          </w:tcPr>
          <w:p w14:paraId="30A1245D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(b)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Name of Department /Entity</w:t>
            </w:r>
          </w:p>
        </w:tc>
        <w:tc>
          <w:tcPr>
            <w:tcW w:w="8647" w:type="dxa"/>
            <w:shd w:val="clear" w:color="auto" w:fill="92D050"/>
          </w:tcPr>
          <w:p w14:paraId="30A1245E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(d)  </w:t>
            </w: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Outcomes or envisaged outcomes of the agreements</w:t>
            </w:r>
          </w:p>
        </w:tc>
      </w:tr>
      <w:tr w:rsidR="0015746A" w:rsidRPr="00540E28" w14:paraId="30A12463" w14:textId="77777777" w:rsidTr="00AA43DB">
        <w:tc>
          <w:tcPr>
            <w:tcW w:w="847" w:type="dxa"/>
          </w:tcPr>
          <w:p w14:paraId="30A12460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14:paraId="30A12461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</w:t>
            </w: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Public Enterprise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 (DPE)</w:t>
            </w:r>
          </w:p>
        </w:tc>
        <w:tc>
          <w:tcPr>
            <w:tcW w:w="8647" w:type="dxa"/>
          </w:tcPr>
          <w:p w14:paraId="30A12462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Market Access opportunities for SMMEs and Co-operatives in the </w:t>
            </w:r>
            <w:r>
              <w:rPr>
                <w:rFonts w:ascii="Arial" w:eastAsia="Calibri" w:hAnsi="Arial" w:cs="Arial"/>
                <w:sz w:val="20"/>
                <w:szCs w:val="20"/>
              </w:rPr>
              <w:t>SOCs procurement value chains.</w:t>
            </w:r>
          </w:p>
        </w:tc>
      </w:tr>
      <w:tr w:rsidR="0015746A" w:rsidRPr="00540E28" w14:paraId="30A12467" w14:textId="77777777" w:rsidTr="00AA43DB">
        <w:tc>
          <w:tcPr>
            <w:tcW w:w="847" w:type="dxa"/>
          </w:tcPr>
          <w:p w14:paraId="30A12464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14:paraId="30A12465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Department of Tourism </w:t>
            </w:r>
          </w:p>
        </w:tc>
        <w:tc>
          <w:tcPr>
            <w:tcW w:w="8647" w:type="dxa"/>
          </w:tcPr>
          <w:p w14:paraId="30A12466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z w:val="20"/>
                <w:szCs w:val="20"/>
              </w:rPr>
              <w:t>evelopment of Start-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>ups, small and black operators and provide market access opportunities and relevant capacity building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15746A" w:rsidRPr="00540E28" w14:paraId="30A1246B" w14:textId="77777777" w:rsidTr="00AA43DB">
        <w:tc>
          <w:tcPr>
            <w:tcW w:w="847" w:type="dxa"/>
          </w:tcPr>
          <w:p w14:paraId="30A12468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14:paraId="30A12469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Social Development (DSD)</w:t>
            </w:r>
          </w:p>
        </w:tc>
        <w:tc>
          <w:tcPr>
            <w:tcW w:w="8647" w:type="dxa"/>
          </w:tcPr>
          <w:p w14:paraId="30A1246A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Collaboration with the intention taking social grants beneficiary out of indigent register through the creation of business opportunities and identification of appropriate markets and capacity building.</w:t>
            </w:r>
          </w:p>
        </w:tc>
      </w:tr>
      <w:tr w:rsidR="0015746A" w:rsidRPr="00540E28" w14:paraId="30A1246F" w14:textId="77777777" w:rsidTr="00AA43DB">
        <w:tc>
          <w:tcPr>
            <w:tcW w:w="847" w:type="dxa"/>
          </w:tcPr>
          <w:p w14:paraId="30A1246C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826" w:type="dxa"/>
          </w:tcPr>
          <w:p w14:paraId="30A1246D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Defence (DoD)</w:t>
            </w:r>
          </w:p>
        </w:tc>
        <w:tc>
          <w:tcPr>
            <w:tcW w:w="8647" w:type="dxa"/>
          </w:tcPr>
          <w:p w14:paraId="30A1246E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Facilitate Co-opera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tives registration and training, f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acilitate Co-operatives funding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dentification of earmarked commodities and services for SMMEs and co-operatives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5746A" w:rsidRPr="00540E28" w14:paraId="30A12473" w14:textId="77777777" w:rsidTr="00AA43DB">
        <w:tc>
          <w:tcPr>
            <w:tcW w:w="847" w:type="dxa"/>
          </w:tcPr>
          <w:p w14:paraId="30A12470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826" w:type="dxa"/>
          </w:tcPr>
          <w:p w14:paraId="30A12471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Rural Development and Land Reform (DRDLR)</w:t>
            </w:r>
          </w:p>
        </w:tc>
        <w:tc>
          <w:tcPr>
            <w:tcW w:w="8647" w:type="dxa"/>
          </w:tcPr>
          <w:p w14:paraId="30A12472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Development of 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>rural and peri-urban enterprises and link them to specific programmes within DSBD agency network for support.</w:t>
            </w:r>
          </w:p>
        </w:tc>
      </w:tr>
      <w:tr w:rsidR="0015746A" w:rsidRPr="00540E28" w14:paraId="30A12478" w14:textId="77777777" w:rsidTr="00AA43DB">
        <w:tc>
          <w:tcPr>
            <w:tcW w:w="847" w:type="dxa"/>
          </w:tcPr>
          <w:p w14:paraId="30A12474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826" w:type="dxa"/>
          </w:tcPr>
          <w:p w14:paraId="30A12475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Road Traffic Infringement Agency</w:t>
            </w:r>
          </w:p>
        </w:tc>
        <w:tc>
          <w:tcPr>
            <w:tcW w:w="8647" w:type="dxa"/>
          </w:tcPr>
          <w:p w14:paraId="30A12476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Selection of enterprise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 to manage pilot phase for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Administrative Adjudication of Road Traffic Offences (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AARTO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) offices finalis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ed. </w:t>
            </w:r>
          </w:p>
          <w:p w14:paraId="30A12477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Selection interviews were held in 10 cities country wide (Polokwane, Ekurhuleni, Durban, Mafikeng, Kimberl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y, Port Elizabeth, Mbombela, Cape Town and Bloemfontein)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5746A" w:rsidRPr="00540E28" w14:paraId="30A1247D" w14:textId="77777777" w:rsidTr="00AA43DB">
        <w:tc>
          <w:tcPr>
            <w:tcW w:w="847" w:type="dxa"/>
          </w:tcPr>
          <w:p w14:paraId="30A12479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826" w:type="dxa"/>
          </w:tcPr>
          <w:p w14:paraId="30A1247A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Telecommunications and Postal Services (DTPS)</w:t>
            </w:r>
          </w:p>
        </w:tc>
        <w:tc>
          <w:tcPr>
            <w:tcW w:w="8647" w:type="dxa"/>
          </w:tcPr>
          <w:p w14:paraId="30A1247B" w14:textId="77777777" w:rsidR="0015746A" w:rsidRPr="00852E45" w:rsidRDefault="0015746A" w:rsidP="00AA43DB">
            <w:pPr>
              <w:spacing w:before="100" w:beforeAutospacing="1" w:after="100" w:afterAutospacing="1" w:line="360" w:lineRule="auto"/>
              <w:jc w:val="both"/>
              <w:rPr>
                <w:rFonts w:ascii="Source Sans Pro" w:eastAsia="Times New Roman" w:hAnsi="Source Sans Pro" w:cs="Helvetica"/>
                <w:sz w:val="24"/>
                <w:szCs w:val="24"/>
                <w:highlight w:val="yellow"/>
                <w:lang w:val="en"/>
              </w:rPr>
            </w:pPr>
            <w:r w:rsidRPr="00310DE9">
              <w:rPr>
                <w:rFonts w:ascii="Arial" w:eastAsia="Calibri" w:hAnsi="Arial" w:cs="Arial"/>
                <w:sz w:val="20"/>
                <w:szCs w:val="20"/>
              </w:rPr>
              <w:t xml:space="preserve">Identification of enterprises that are developing new telecommunication ventures and technologies, link them to various support and market opportunities.  </w:t>
            </w:r>
            <w:r w:rsidRPr="00852E45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This has been linked to the partnership with SETA.   </w:t>
            </w:r>
          </w:p>
          <w:p w14:paraId="30A1247C" w14:textId="77777777" w:rsidR="0015746A" w:rsidRPr="001A47DD" w:rsidRDefault="0015746A" w:rsidP="00AA43D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"/>
              </w:rPr>
            </w:pPr>
            <w:r w:rsidRPr="00852E45">
              <w:rPr>
                <w:rFonts w:ascii="Arial" w:eastAsia="Times New Roman" w:hAnsi="Arial" w:cs="Arial"/>
                <w:sz w:val="20"/>
                <w:szCs w:val="24"/>
                <w:highlight w:val="yellow"/>
                <w:lang w:val="en"/>
              </w:rPr>
              <w:lastRenderedPageBreak/>
              <w:t>The recent GovTech Conference hosted by SITA, had a major focus on SMME’s in general across all tracks with a specific focus in the Economic Cluster track facilitated by DSBD. The track focused on two of the key challenges facing SMME’s, namely: a lack of access to markets for SMME's and limited support for commercialisation of innovation by SMME’s. These deliberations yielded numerous outcomes with proposed delivery dates which will be driven by a task team.</w:t>
            </w:r>
            <w:r w:rsidRPr="00310DE9">
              <w:rPr>
                <w:rFonts w:ascii="Arial" w:eastAsia="Times New Roman" w:hAnsi="Arial" w:cs="Arial"/>
                <w:sz w:val="20"/>
                <w:szCs w:val="24"/>
                <w:lang w:val="en"/>
              </w:rPr>
              <w:t xml:space="preserve"> </w:t>
            </w:r>
          </w:p>
        </w:tc>
      </w:tr>
      <w:tr w:rsidR="0015746A" w:rsidRPr="00540E28" w14:paraId="30A12481" w14:textId="77777777" w:rsidTr="00AA43DB">
        <w:tc>
          <w:tcPr>
            <w:tcW w:w="847" w:type="dxa"/>
          </w:tcPr>
          <w:p w14:paraId="30A1247E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826" w:type="dxa"/>
          </w:tcPr>
          <w:p w14:paraId="30A1247F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Labour (DoL)</w:t>
            </w:r>
          </w:p>
        </w:tc>
        <w:tc>
          <w:tcPr>
            <w:tcW w:w="8647" w:type="dxa"/>
          </w:tcPr>
          <w:p w14:paraId="30A12480" w14:textId="77777777" w:rsidR="0015746A" w:rsidRPr="004A5F77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Identify and support 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mall businesses and cooperatives that can </w:t>
            </w:r>
            <w:r>
              <w:rPr>
                <w:rFonts w:ascii="Arial" w:eastAsia="Calibri" w:hAnsi="Arial" w:cs="Arial"/>
                <w:sz w:val="20"/>
                <w:szCs w:val="20"/>
              </w:rPr>
              <w:t>participate in the following: Do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L training on safety programmes; and Productivity South Africa programmes.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>Identify SMMEs and cooperatives that are eligible to benefit from the D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>L rescue programmes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DoL procurement opportunities</w:t>
            </w:r>
            <w:r w:rsidRPr="00310DE9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r w:rsidRPr="00852E45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DoL has also offered free training to Informal Business.</w:t>
            </w:r>
            <w:r w:rsidRPr="00310DE9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15746A" w:rsidRPr="00540E28" w14:paraId="30A12485" w14:textId="77777777" w:rsidTr="00AA43DB">
        <w:tc>
          <w:tcPr>
            <w:tcW w:w="847" w:type="dxa"/>
          </w:tcPr>
          <w:p w14:paraId="30A12482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826" w:type="dxa"/>
          </w:tcPr>
          <w:p w14:paraId="30A12483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Public Works (DPW)</w:t>
            </w:r>
          </w:p>
        </w:tc>
        <w:tc>
          <w:tcPr>
            <w:tcW w:w="8647" w:type="dxa"/>
          </w:tcPr>
          <w:p w14:paraId="30A12484" w14:textId="77777777" w:rsidR="0015746A" w:rsidRPr="00526449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Development of Small Contractors and identify new markets such and property development and maintenance for participation by small businesses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9B198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852E45">
              <w:rPr>
                <w:rFonts w:ascii="Arial" w:eastAsia="Calibri" w:hAnsi="Arial" w:cs="Arial"/>
                <w:sz w:val="20"/>
                <w:szCs w:val="20"/>
                <w:highlight w:val="yellow"/>
              </w:rPr>
              <w:t>In particular, the Department has successfully piloted and launched a model of creating businesses for beneficiaries exiting the Expanded Public Works Programme, setting them up with Cooperatives linking them with off-take agreements</w:t>
            </w:r>
          </w:p>
        </w:tc>
      </w:tr>
      <w:tr w:rsidR="0015746A" w:rsidRPr="00540E28" w14:paraId="30A12489" w14:textId="77777777" w:rsidTr="00AA43DB">
        <w:tc>
          <w:tcPr>
            <w:tcW w:w="847" w:type="dxa"/>
          </w:tcPr>
          <w:p w14:paraId="30A12486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826" w:type="dxa"/>
          </w:tcPr>
          <w:p w14:paraId="30A12487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Science and Technology (DST)</w:t>
            </w:r>
          </w:p>
        </w:tc>
        <w:tc>
          <w:tcPr>
            <w:tcW w:w="8647" w:type="dxa"/>
          </w:tcPr>
          <w:p w14:paraId="30A12488" w14:textId="77777777" w:rsidR="0015746A" w:rsidRPr="00526449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identify areas of technological support and improvement to enhance competitiveness and sustainability of SMMEs to access opportunities in both local and international market value </w:t>
            </w:r>
            <w:r w:rsidRPr="00310DE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chains.  </w:t>
            </w:r>
            <w:r w:rsidRPr="00852E45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Co-funding ICT start-ups in the French-SA Tech Labs and will co- host the SMME and Innovation Fund.</w:t>
            </w:r>
          </w:p>
        </w:tc>
      </w:tr>
      <w:tr w:rsidR="0015746A" w:rsidRPr="00540E28" w14:paraId="30A1248D" w14:textId="77777777" w:rsidTr="00AA43DB">
        <w:tc>
          <w:tcPr>
            <w:tcW w:w="847" w:type="dxa"/>
          </w:tcPr>
          <w:p w14:paraId="30A1248A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826" w:type="dxa"/>
          </w:tcPr>
          <w:p w14:paraId="30A1248B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Department of Environmental Affairs (DEA)</w:t>
            </w:r>
          </w:p>
        </w:tc>
        <w:tc>
          <w:tcPr>
            <w:tcW w:w="8647" w:type="dxa"/>
          </w:tcPr>
          <w:p w14:paraId="30A1248C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To develop SMME’s and Co-operatives that will partake in the value – chains of environmental sector (such as but not limited to the bio - prospecting, wildlife subsectors and waste sub – sectors).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  <w:r w:rsidRPr="00852E45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Cross-cutting opportunities identified in the Chemicals and Waste Economy Phakisa.</w:t>
            </w:r>
          </w:p>
        </w:tc>
      </w:tr>
      <w:tr w:rsidR="0015746A" w:rsidRPr="00540E28" w14:paraId="30A12494" w14:textId="77777777" w:rsidTr="00AA43DB">
        <w:tc>
          <w:tcPr>
            <w:tcW w:w="847" w:type="dxa"/>
          </w:tcPr>
          <w:p w14:paraId="30A1248E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26" w:type="dxa"/>
          </w:tcPr>
          <w:p w14:paraId="30A1248F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Johannesburg City Parks and Zoo (JCPZ)</w:t>
            </w:r>
          </w:p>
          <w:p w14:paraId="30A12490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647" w:type="dxa"/>
          </w:tcPr>
          <w:p w14:paraId="30A12491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Development of small scale service providers approved for contracts with JCPZ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30A12492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0A12493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8 cooperatives from JCPZ were approved for Co-operatives Incentive Scheme (CIS). They 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were all assisted with equipment for grass cutting and a vehicle to the tune of R 350 000 per coop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erative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to service the contracts provided by JCPZ (grass cutting)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5746A" w:rsidRPr="00540E28" w14:paraId="30A12498" w14:textId="77777777" w:rsidTr="00AA43DB">
        <w:tc>
          <w:tcPr>
            <w:tcW w:w="847" w:type="dxa"/>
          </w:tcPr>
          <w:p w14:paraId="30A12495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26" w:type="dxa"/>
          </w:tcPr>
          <w:p w14:paraId="30A12496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Manufacturing, Engineering and Related Services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Sector Education and Training Authority 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>(MERSETA)</w:t>
            </w:r>
          </w:p>
        </w:tc>
        <w:tc>
          <w:tcPr>
            <w:tcW w:w="8647" w:type="dxa"/>
          </w:tcPr>
          <w:p w14:paraId="30A12497" w14:textId="77777777" w:rsidR="0015746A" w:rsidRPr="004A5F77" w:rsidRDefault="0015746A" w:rsidP="00AA43DB">
            <w:pPr>
              <w:shd w:val="clear" w:color="auto" w:fill="FFFFFF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To provide capacity building for the informal businesses through the training and mentorship programmes within the manufacturing, engineering and r</w:t>
            </w:r>
            <w:r>
              <w:rPr>
                <w:rFonts w:ascii="Arial" w:eastAsia="Calibri" w:hAnsi="Arial" w:cs="Arial"/>
                <w:sz w:val="20"/>
                <w:szCs w:val="20"/>
              </w:rPr>
              <w:t>elated service sectors.</w:t>
            </w:r>
          </w:p>
        </w:tc>
      </w:tr>
      <w:tr w:rsidR="0015746A" w:rsidRPr="00540E28" w14:paraId="30A1249C" w14:textId="77777777" w:rsidTr="00AA43DB">
        <w:tc>
          <w:tcPr>
            <w:tcW w:w="847" w:type="dxa"/>
          </w:tcPr>
          <w:p w14:paraId="30A12499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26" w:type="dxa"/>
          </w:tcPr>
          <w:p w14:paraId="30A1249A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Wholesale and Retail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Sector Education and Training Authority 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 (W</w:t>
            </w:r>
            <w:r>
              <w:rPr>
                <w:rFonts w:ascii="Arial" w:eastAsia="Calibri" w:hAnsi="Arial" w:cs="Arial"/>
                <w:sz w:val="20"/>
                <w:szCs w:val="20"/>
              </w:rPr>
              <w:t>&amp;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>RSETA)</w:t>
            </w:r>
          </w:p>
        </w:tc>
        <w:tc>
          <w:tcPr>
            <w:tcW w:w="8647" w:type="dxa"/>
          </w:tcPr>
          <w:p w14:paraId="30A1249B" w14:textId="77777777" w:rsidR="0015746A" w:rsidRPr="001555CE" w:rsidRDefault="0015746A" w:rsidP="00AA43DB">
            <w:pPr>
              <w:shd w:val="clear" w:color="auto" w:fill="FFFFFF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Support the implementation of the Informal Traders Upliftment Programme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(ITUP)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 through relevant training and mentorship.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F07B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852E45">
              <w:rPr>
                <w:rFonts w:ascii="Arial" w:eastAsia="Calibri" w:hAnsi="Arial" w:cs="Arial"/>
                <w:sz w:val="20"/>
                <w:szCs w:val="20"/>
                <w:highlight w:val="yellow"/>
              </w:rPr>
              <w:t>Trained 1060 businesses in 2015/16.</w:t>
            </w:r>
          </w:p>
        </w:tc>
      </w:tr>
    </w:tbl>
    <w:p w14:paraId="30A1249D" w14:textId="77777777" w:rsidR="0015746A" w:rsidRDefault="0015746A" w:rsidP="0015746A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847"/>
        <w:gridCol w:w="3826"/>
        <w:gridCol w:w="8647"/>
      </w:tblGrid>
      <w:tr w:rsidR="0015746A" w:rsidRPr="00540E28" w14:paraId="30A124A1" w14:textId="77777777" w:rsidTr="00AA43DB">
        <w:tc>
          <w:tcPr>
            <w:tcW w:w="847" w:type="dxa"/>
          </w:tcPr>
          <w:p w14:paraId="30A1249E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26" w:type="dxa"/>
          </w:tcPr>
          <w:p w14:paraId="30A1249F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Energy and Water Sector Education and Training Authority (</w:t>
            </w:r>
            <w:r w:rsidRPr="001555CE">
              <w:rPr>
                <w:rFonts w:ascii="Arial" w:eastAsia="Calibri" w:hAnsi="Arial" w:cs="Arial"/>
                <w:sz w:val="20"/>
                <w:szCs w:val="20"/>
              </w:rPr>
              <w:t>EWSETA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14:paraId="30A124A0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To provide capacity building for the informal businesses through the training and mentorship programmes within the manufacturing, engineering and related service sectors</w:t>
            </w:r>
          </w:p>
        </w:tc>
      </w:tr>
      <w:tr w:rsidR="0015746A" w14:paraId="30A124A3" w14:textId="77777777" w:rsidTr="00AA43DB">
        <w:tc>
          <w:tcPr>
            <w:tcW w:w="13320" w:type="dxa"/>
            <w:gridSpan w:val="3"/>
            <w:shd w:val="clear" w:color="auto" w:fill="92D050"/>
          </w:tcPr>
          <w:p w14:paraId="30A124A2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(ii) Private entities signed agreements </w:t>
            </w:r>
          </w:p>
        </w:tc>
      </w:tr>
      <w:tr w:rsidR="0015746A" w:rsidRPr="00540E28" w14:paraId="30A124A7" w14:textId="77777777" w:rsidTr="00AA43DB">
        <w:tc>
          <w:tcPr>
            <w:tcW w:w="847" w:type="dxa"/>
            <w:shd w:val="clear" w:color="auto" w:fill="92D050"/>
          </w:tcPr>
          <w:p w14:paraId="30A124A4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826" w:type="dxa"/>
            <w:shd w:val="clear" w:color="auto" w:fill="92D050"/>
          </w:tcPr>
          <w:p w14:paraId="30A124A5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(b)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8647" w:type="dxa"/>
            <w:shd w:val="clear" w:color="auto" w:fill="92D050"/>
          </w:tcPr>
          <w:p w14:paraId="30A124A6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(d)  </w:t>
            </w: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Outcomes or envisaged outcomes of the agreements</w:t>
            </w:r>
          </w:p>
        </w:tc>
      </w:tr>
      <w:tr w:rsidR="0015746A" w:rsidRPr="00540E28" w14:paraId="30A124C2" w14:textId="77777777" w:rsidTr="00AA43DB">
        <w:tc>
          <w:tcPr>
            <w:tcW w:w="847" w:type="dxa"/>
          </w:tcPr>
          <w:p w14:paraId="30A124A8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14:paraId="30A124A9" w14:textId="77777777" w:rsidR="0015746A" w:rsidRPr="001555CE" w:rsidRDefault="0015746A" w:rsidP="00AA43DB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South African Breweries (SAB) Miller</w:t>
            </w:r>
          </w:p>
        </w:tc>
        <w:tc>
          <w:tcPr>
            <w:tcW w:w="8647" w:type="dxa"/>
          </w:tcPr>
          <w:p w14:paraId="30A124AA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Provide access to financial resources primarily through the WiM grant fund while leveraging;</w:t>
            </w:r>
          </w:p>
          <w:p w14:paraId="30A124AB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Develop skills of women farmers operating in underserved communities through training and mentorship;</w:t>
            </w:r>
          </w:p>
          <w:p w14:paraId="30A124AC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Share information for the benefit of the farmers;</w:t>
            </w:r>
          </w:p>
          <w:p w14:paraId="30A124AD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Increase farmer  technical expertise for improved market competence;</w:t>
            </w:r>
          </w:p>
          <w:p w14:paraId="30A124AE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 xml:space="preserve">Provide access to market by guaranteeing purchase of apt output; </w:t>
            </w:r>
          </w:p>
          <w:p w14:paraId="30A124AF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Improve community livelihoods by increasing income;</w:t>
            </w:r>
          </w:p>
          <w:p w14:paraId="30A124B0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Form strengthened and sustainable co-operatives;</w:t>
            </w:r>
          </w:p>
          <w:p w14:paraId="30A124B1" w14:textId="77777777" w:rsidR="0015746A" w:rsidRPr="001555CE" w:rsidRDefault="0015746A" w:rsidP="0015746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Increase inclusion of Black Women Owned entities in SAB’s supply chain; and</w:t>
            </w:r>
          </w:p>
          <w:p w14:paraId="30A124B2" w14:textId="77777777" w:rsidR="0015746A" w:rsidRPr="001555CE" w:rsidRDefault="0015746A" w:rsidP="0015746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Stimulate local economies by increasing procurement from local suppliers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A124B3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124B4" w14:textId="77777777" w:rsidR="0015746A" w:rsidRPr="004A5F77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5F77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Crop 16: </w:t>
            </w:r>
          </w:p>
          <w:p w14:paraId="30A124B5" w14:textId="77777777" w:rsidR="0015746A" w:rsidRPr="001555CE" w:rsidRDefault="0015746A" w:rsidP="0015746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36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1887 hectares planted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124B6" w14:textId="77777777" w:rsidR="0015746A" w:rsidRPr="001555CE" w:rsidRDefault="0015746A" w:rsidP="0015746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36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4 Provinces participated: North West, Mpumalanga, KwaZulu Natal and Gauteng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124B7" w14:textId="77777777" w:rsidR="0015746A" w:rsidRDefault="0015746A" w:rsidP="0015746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36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11 farmers : 7 women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A124B8" w14:textId="77777777" w:rsidR="0015746A" w:rsidRPr="001555CE" w:rsidRDefault="0015746A" w:rsidP="00AA43DB">
            <w:pPr>
              <w:spacing w:line="360" w:lineRule="auto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124B9" w14:textId="77777777" w:rsidR="0015746A" w:rsidRPr="004A5F77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5F77">
              <w:rPr>
                <w:rFonts w:ascii="Arial" w:hAnsi="Arial" w:cs="Arial"/>
                <w:sz w:val="20"/>
                <w:szCs w:val="20"/>
                <w:u w:val="single"/>
              </w:rPr>
              <w:t xml:space="preserve">Crop 17 : </w:t>
            </w:r>
          </w:p>
          <w:p w14:paraId="30A124BA" w14:textId="77777777" w:rsidR="0015746A" w:rsidRPr="001555CE" w:rsidRDefault="0015746A" w:rsidP="0015746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32 Women owned Cooperatives were supported from the programme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A124BB" w14:textId="77777777" w:rsidR="0015746A" w:rsidRPr="001555CE" w:rsidRDefault="0015746A" w:rsidP="0015746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 xml:space="preserve">4 Provinces participated in Crop 17: Gauteng, Mpumalanga, Kwa-Zulu Natal and North West. </w:t>
            </w:r>
          </w:p>
          <w:p w14:paraId="30A124BC" w14:textId="77777777" w:rsidR="0015746A" w:rsidRPr="001555CE" w:rsidRDefault="0015746A" w:rsidP="0015746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Total Hectares planted for crop 17 = 1011.</w:t>
            </w:r>
          </w:p>
          <w:p w14:paraId="30A124BD" w14:textId="77777777" w:rsidR="0015746A" w:rsidRPr="001555CE" w:rsidRDefault="0015746A" w:rsidP="0015746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Planted in October 2016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124BE" w14:textId="77777777" w:rsidR="0015746A" w:rsidRPr="001555CE" w:rsidRDefault="0015746A" w:rsidP="0015746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A total of 160 jobs were created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A124BF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124C0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Only 2 out of 13 farmers/coops harvested. Others will commence late June/early July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. Awaiting </w:t>
            </w:r>
            <w:r>
              <w:rPr>
                <w:rFonts w:ascii="Arial" w:hAnsi="Arial" w:cs="Arial"/>
                <w:sz w:val="20"/>
                <w:szCs w:val="20"/>
              </w:rPr>
              <w:t xml:space="preserve">Farmsol to provide a financial 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report indicating their profit/loss. The 5 selected as part of Pick N Pay Supplier Development Programme failed to qualify for BBSDP due to inadequate financial performance. </w:t>
            </w:r>
          </w:p>
          <w:p w14:paraId="30A124C1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DSBD will alternatively facilitate funding through Start-up Enterprise Development Programme (SEDP).</w:t>
            </w:r>
          </w:p>
        </w:tc>
      </w:tr>
      <w:tr w:rsidR="0015746A" w:rsidRPr="00540E28" w14:paraId="30A124C8" w14:textId="77777777" w:rsidTr="00AA43DB">
        <w:tc>
          <w:tcPr>
            <w:tcW w:w="847" w:type="dxa"/>
          </w:tcPr>
          <w:p w14:paraId="30A124C3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826" w:type="dxa"/>
          </w:tcPr>
          <w:p w14:paraId="30A124C4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Pick n Pay</w:t>
            </w:r>
          </w:p>
        </w:tc>
        <w:tc>
          <w:tcPr>
            <w:tcW w:w="8647" w:type="dxa"/>
          </w:tcPr>
          <w:p w14:paraId="30A124C5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To facilitate mentorship and coaching programmes for the development of the identified businesses and to build their institutional capacity; and facilitate market access linkages.</w:t>
            </w:r>
          </w:p>
          <w:p w14:paraId="30A124C6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124C7" w14:textId="77777777" w:rsidR="0015746A" w:rsidRPr="004A5F77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10 SMMEs have been identified and the list completed to link and Cooperatives linked to Pick ‘n</w:t>
            </w:r>
            <w:r>
              <w:rPr>
                <w:rFonts w:ascii="Arial" w:hAnsi="Arial" w:cs="Arial"/>
                <w:sz w:val="20"/>
                <w:szCs w:val="20"/>
              </w:rPr>
              <w:t xml:space="preserve"> Pay Procurement Opportunities.</w:t>
            </w:r>
          </w:p>
        </w:tc>
      </w:tr>
      <w:tr w:rsidR="0015746A" w:rsidRPr="00540E28" w14:paraId="30A124CC" w14:textId="77777777" w:rsidTr="00AA43DB">
        <w:tc>
          <w:tcPr>
            <w:tcW w:w="847" w:type="dxa"/>
          </w:tcPr>
          <w:p w14:paraId="30A124C9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826" w:type="dxa"/>
          </w:tcPr>
          <w:p w14:paraId="30A124CA" w14:textId="77777777" w:rsidR="0015746A" w:rsidRPr="001555CE" w:rsidRDefault="0015746A" w:rsidP="00AA43DB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nternational Labour Organization (ILO)</w:t>
            </w:r>
          </w:p>
        </w:tc>
        <w:tc>
          <w:tcPr>
            <w:tcW w:w="8647" w:type="dxa"/>
          </w:tcPr>
          <w:p w14:paraId="30A124CB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hAnsi="Arial" w:cs="Arial"/>
                <w:sz w:val="20"/>
                <w:szCs w:val="20"/>
                <w:lang w:val="en-US"/>
              </w:rPr>
              <w:t xml:space="preserve">To provide technical assistance to the department to implement strategic projects such as SMME database, Chamber support programme, Red tape reduction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1555CE">
              <w:rPr>
                <w:rFonts w:ascii="Arial" w:hAnsi="Arial" w:cs="Arial"/>
                <w:sz w:val="20"/>
                <w:szCs w:val="20"/>
                <w:lang w:val="en-US"/>
              </w:rPr>
              <w:t>he Provincial Informal Business summits.</w:t>
            </w:r>
          </w:p>
        </w:tc>
      </w:tr>
      <w:tr w:rsidR="0015746A" w:rsidRPr="00540E28" w14:paraId="30A124D0" w14:textId="77777777" w:rsidTr="00AA43DB">
        <w:tc>
          <w:tcPr>
            <w:tcW w:w="847" w:type="dxa"/>
          </w:tcPr>
          <w:p w14:paraId="30A124CD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26" w:type="dxa"/>
          </w:tcPr>
          <w:p w14:paraId="30A124CE" w14:textId="77777777" w:rsidR="0015746A" w:rsidRPr="001555CE" w:rsidRDefault="0015746A" w:rsidP="00AA43DB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Bakgatla Tribal Authority</w:t>
            </w:r>
          </w:p>
        </w:tc>
        <w:tc>
          <w:tcPr>
            <w:tcW w:w="8647" w:type="dxa"/>
          </w:tcPr>
          <w:p w14:paraId="30A124CF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To establish a relationship with the Bakgatla Bagafela Tribal Authority to identify and support small businesses through our agency support network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46A" w:rsidRPr="00540E28" w14:paraId="30A124D4" w14:textId="77777777" w:rsidTr="00AA43DB">
        <w:tc>
          <w:tcPr>
            <w:tcW w:w="847" w:type="dxa"/>
          </w:tcPr>
          <w:p w14:paraId="30A124D1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26" w:type="dxa"/>
          </w:tcPr>
          <w:p w14:paraId="30A124D2" w14:textId="77777777" w:rsidR="0015746A" w:rsidRPr="001555CE" w:rsidRDefault="0015746A" w:rsidP="00AA43DB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AfriGrow</w:t>
            </w:r>
          </w:p>
        </w:tc>
        <w:tc>
          <w:tcPr>
            <w:tcW w:w="8647" w:type="dxa"/>
          </w:tcPr>
          <w:p w14:paraId="30A124D3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hAnsi="Arial" w:cs="Arial"/>
                <w:sz w:val="20"/>
                <w:szCs w:val="20"/>
                <w:lang w:val="en-US"/>
              </w:rPr>
              <w:t>To tab into the organisation’s capacity and expertise to enhance the development of SMMEs and Cooperatives in the agricultural sector.</w:t>
            </w:r>
          </w:p>
        </w:tc>
      </w:tr>
      <w:tr w:rsidR="0015746A" w:rsidRPr="00540E28" w14:paraId="30A124DA" w14:textId="77777777" w:rsidTr="00AA43DB">
        <w:tc>
          <w:tcPr>
            <w:tcW w:w="847" w:type="dxa"/>
          </w:tcPr>
          <w:p w14:paraId="30A124D5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826" w:type="dxa"/>
          </w:tcPr>
          <w:p w14:paraId="30A124D6" w14:textId="77777777" w:rsidR="0015746A" w:rsidRPr="001555CE" w:rsidRDefault="0015746A" w:rsidP="00AA43DB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Rustenburg Platinum Mines (PTY) Ltd</w:t>
            </w:r>
          </w:p>
        </w:tc>
        <w:tc>
          <w:tcPr>
            <w:tcW w:w="8647" w:type="dxa"/>
            <w:shd w:val="clear" w:color="auto" w:fill="FFFFFF" w:themeFill="background1"/>
          </w:tcPr>
          <w:p w14:paraId="30A124D7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Leverage on the Enterprise and Supplier Development and Corporate Social Investment programmes to develop enterprises and social upliftment in the surrounding communities. A recent tripartite arrangement made with A</w:t>
            </w:r>
            <w:r>
              <w:rPr>
                <w:rFonts w:ascii="Arial" w:hAnsi="Arial" w:cs="Arial"/>
                <w:sz w:val="20"/>
                <w:szCs w:val="20"/>
              </w:rPr>
              <w:t>nheuser-Busch (AB) I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nBev to plough barley in the Tribal authority land in the said communities.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5CE">
              <w:rPr>
                <w:rFonts w:ascii="Arial" w:hAnsi="Arial" w:cs="Arial"/>
                <w:sz w:val="20"/>
                <w:szCs w:val="20"/>
              </w:rPr>
              <w:t>Anglo</w:t>
            </w:r>
            <w:r>
              <w:rPr>
                <w:rFonts w:ascii="Arial" w:hAnsi="Arial" w:cs="Arial"/>
                <w:sz w:val="20"/>
                <w:szCs w:val="20"/>
              </w:rPr>
              <w:t xml:space="preserve"> Platinum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 has invested R45 Million for this project.</w:t>
            </w:r>
          </w:p>
          <w:p w14:paraId="30A124D8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Anglo through the tribal authority has committed 320 hectors to AB Inbev to plant barley.</w:t>
            </w:r>
          </w:p>
          <w:p w14:paraId="30A124D9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 xml:space="preserve">Negotiations on-going between DSBD, Anglo Platinum and AB Inbev in line with planting barley.  </w:t>
            </w:r>
          </w:p>
        </w:tc>
      </w:tr>
      <w:tr w:rsidR="0015746A" w:rsidRPr="00540E28" w14:paraId="30A124DE" w14:textId="77777777" w:rsidTr="00AA43DB">
        <w:tc>
          <w:tcPr>
            <w:tcW w:w="847" w:type="dxa"/>
          </w:tcPr>
          <w:p w14:paraId="30A124DB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26" w:type="dxa"/>
          </w:tcPr>
          <w:p w14:paraId="30A124DC" w14:textId="77777777" w:rsidR="0015746A" w:rsidRPr="001555CE" w:rsidRDefault="0015746A" w:rsidP="00AA43DB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Sumitomo Rubber South Africa Pty (ltd)</w:t>
            </w:r>
          </w:p>
        </w:tc>
        <w:tc>
          <w:tcPr>
            <w:tcW w:w="8647" w:type="dxa"/>
          </w:tcPr>
          <w:p w14:paraId="30A124DD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To establish new businesses through containers that would provide t</w:t>
            </w:r>
            <w:r>
              <w:rPr>
                <w:rFonts w:ascii="Arial" w:hAnsi="Arial" w:cs="Arial"/>
                <w:sz w:val="20"/>
                <w:szCs w:val="20"/>
              </w:rPr>
              <w:t>yres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 fitment and repair services.  The current target is 33 businesses that comprise 20 containers and 13 express in targeted provinces (North West, Limpopo, Northern Cape and Eastern Cape).</w:t>
            </w:r>
          </w:p>
        </w:tc>
      </w:tr>
      <w:tr w:rsidR="0015746A" w:rsidRPr="00540E28" w14:paraId="30A124E8" w14:textId="77777777" w:rsidTr="00AA43DB">
        <w:tc>
          <w:tcPr>
            <w:tcW w:w="847" w:type="dxa"/>
          </w:tcPr>
          <w:p w14:paraId="30A124DF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826" w:type="dxa"/>
          </w:tcPr>
          <w:p w14:paraId="30A124E0" w14:textId="77777777" w:rsidR="0015746A" w:rsidRPr="001555CE" w:rsidRDefault="0015746A" w:rsidP="00AA43DB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NESTLE</w:t>
            </w:r>
          </w:p>
        </w:tc>
        <w:tc>
          <w:tcPr>
            <w:tcW w:w="8647" w:type="dxa"/>
          </w:tcPr>
          <w:p w14:paraId="30A124E1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To establish new businesses and support the existing ones by providing distribution opportunities of the Nestle products to informal retail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55CE">
              <w:rPr>
                <w:rFonts w:ascii="Arial" w:hAnsi="Arial" w:cs="Arial"/>
                <w:sz w:val="20"/>
                <w:szCs w:val="20"/>
              </w:rPr>
              <w:t>rs by SMMEs and cooperatives. The target for this financial year is 50 micro distributors with ultimate support of 350 enterprises by 2019. To date 43 have already been selected.</w:t>
            </w:r>
          </w:p>
          <w:p w14:paraId="30A124E2" w14:textId="77777777" w:rsidR="0015746A" w:rsidRPr="001555CE" w:rsidRDefault="0015746A" w:rsidP="0015746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To support to co-operatives and SMMEs through its various programmes, such as its Enterprise Development Programmes.</w:t>
            </w:r>
          </w:p>
          <w:p w14:paraId="30A124E3" w14:textId="77777777" w:rsidR="0015746A" w:rsidRDefault="0015746A" w:rsidP="0015746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lastRenderedPageBreak/>
              <w:t>Development of a “Route to Market” for the enterprises.</w:t>
            </w:r>
          </w:p>
          <w:p w14:paraId="30A124E4" w14:textId="77777777" w:rsidR="0015746A" w:rsidRPr="004A5F77" w:rsidRDefault="0015746A" w:rsidP="00AA43DB">
            <w:pPr>
              <w:pStyle w:val="ListParagraph"/>
              <w:spacing w:line="360" w:lineRule="auto"/>
              <w:ind w:left="45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124E5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 xml:space="preserve">Provincial Workshops: </w:t>
            </w:r>
          </w:p>
          <w:p w14:paraId="30A124E6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>Holding of provincial workshops held on 05 June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 for North West, Mpumalanga, KwaZulu Natal, Western Cape, Eastern Cape and 09 June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1555CE">
              <w:rPr>
                <w:rFonts w:ascii="Arial" w:hAnsi="Arial" w:cs="Arial"/>
                <w:sz w:val="20"/>
                <w:szCs w:val="20"/>
              </w:rPr>
              <w:t xml:space="preserve"> in Limpopo Province and Gauteng;</w:t>
            </w:r>
          </w:p>
          <w:p w14:paraId="30A124E7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hAnsi="Arial" w:cs="Arial"/>
                <w:sz w:val="20"/>
                <w:szCs w:val="20"/>
              </w:rPr>
              <w:t xml:space="preserve">43 applications submitted for SEDP funding </w:t>
            </w:r>
          </w:p>
        </w:tc>
      </w:tr>
      <w:tr w:rsidR="0015746A" w:rsidRPr="00540E28" w14:paraId="30A124EA" w14:textId="77777777" w:rsidTr="00AA43DB">
        <w:tc>
          <w:tcPr>
            <w:tcW w:w="13320" w:type="dxa"/>
            <w:gridSpan w:val="3"/>
            <w:shd w:val="clear" w:color="auto" w:fill="92D050"/>
          </w:tcPr>
          <w:p w14:paraId="30A124E9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lastRenderedPageBreak/>
              <w:t xml:space="preserve">(iii) International Organisations signed agreements </w:t>
            </w:r>
          </w:p>
        </w:tc>
      </w:tr>
      <w:tr w:rsidR="0015746A" w:rsidRPr="00540E28" w14:paraId="30A124EE" w14:textId="77777777" w:rsidTr="00AA43DB">
        <w:tc>
          <w:tcPr>
            <w:tcW w:w="847" w:type="dxa"/>
            <w:shd w:val="clear" w:color="auto" w:fill="92D050"/>
          </w:tcPr>
          <w:p w14:paraId="30A124EB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826" w:type="dxa"/>
            <w:shd w:val="clear" w:color="auto" w:fill="92D050"/>
          </w:tcPr>
          <w:p w14:paraId="30A124EC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(b) Organisation</w:t>
            </w:r>
          </w:p>
        </w:tc>
        <w:tc>
          <w:tcPr>
            <w:tcW w:w="8647" w:type="dxa"/>
            <w:shd w:val="clear" w:color="auto" w:fill="92D050"/>
          </w:tcPr>
          <w:p w14:paraId="30A124ED" w14:textId="77777777" w:rsidR="0015746A" w:rsidRPr="001E4323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(d)  </w:t>
            </w:r>
            <w:r w:rsidRPr="001E432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Status:  Implementation Plan</w:t>
            </w:r>
          </w:p>
        </w:tc>
      </w:tr>
      <w:tr w:rsidR="0015746A" w:rsidRPr="00540E28" w14:paraId="30A124F4" w14:textId="77777777" w:rsidTr="00AA43DB">
        <w:tc>
          <w:tcPr>
            <w:tcW w:w="847" w:type="dxa"/>
          </w:tcPr>
          <w:p w14:paraId="30A124EF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14:paraId="30A124F0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 xml:space="preserve">The Netherlands Government </w:t>
            </w:r>
          </w:p>
        </w:tc>
        <w:tc>
          <w:tcPr>
            <w:tcW w:w="8647" w:type="dxa"/>
          </w:tcPr>
          <w:p w14:paraId="30A124F1" w14:textId="77777777" w:rsidR="0015746A" w:rsidRPr="008460D4" w:rsidRDefault="0015746A" w:rsidP="0015746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Promotion of the development and growth of New Generation Cooperatives; Promotion of trade between South Africa and Netherlands; </w:t>
            </w:r>
          </w:p>
          <w:p w14:paraId="30A124F2" w14:textId="77777777" w:rsidR="0015746A" w:rsidRPr="008460D4" w:rsidRDefault="0015746A" w:rsidP="0015746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>Provisioning of technical assistance to support the development of infrastructure to improve market efficiencies; and</w:t>
            </w:r>
          </w:p>
          <w:p w14:paraId="30A124F3" w14:textId="77777777" w:rsidR="0015746A" w:rsidRPr="008460D4" w:rsidRDefault="0015746A" w:rsidP="0015746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</w:pP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>Assistance with education and technical training of cooperative members.</w:t>
            </w:r>
          </w:p>
        </w:tc>
      </w:tr>
      <w:tr w:rsidR="0015746A" w:rsidRPr="00540E28" w14:paraId="30A124F8" w14:textId="77777777" w:rsidTr="00AA43DB">
        <w:tc>
          <w:tcPr>
            <w:tcW w:w="847" w:type="dxa"/>
          </w:tcPr>
          <w:p w14:paraId="30A124F5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14:paraId="30A124F6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Deutschen Gernossenschafts – Fund Raiffenisenverband (DGRV)</w:t>
            </w:r>
          </w:p>
        </w:tc>
        <w:tc>
          <w:tcPr>
            <w:tcW w:w="8647" w:type="dxa"/>
          </w:tcPr>
          <w:p w14:paraId="30A124F7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Provisioning of Cooperative Governance and Book Keeping Training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5746A" w:rsidRPr="00540E28" w14:paraId="30A124FF" w14:textId="77777777" w:rsidTr="00AA43DB">
        <w:tc>
          <w:tcPr>
            <w:tcW w:w="847" w:type="dxa"/>
          </w:tcPr>
          <w:p w14:paraId="30A124F9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14:paraId="30A124FA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United Nations Development Programme (UNDP)</w:t>
            </w:r>
          </w:p>
        </w:tc>
        <w:tc>
          <w:tcPr>
            <w:tcW w:w="8647" w:type="dxa"/>
          </w:tcPr>
          <w:p w14:paraId="30A124FB" w14:textId="77777777" w:rsidR="0015746A" w:rsidRPr="008460D4" w:rsidRDefault="0015746A" w:rsidP="0015746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Access to markets and capacity building for suppliers; </w:t>
            </w:r>
          </w:p>
          <w:p w14:paraId="30A124FC" w14:textId="77777777" w:rsidR="0015746A" w:rsidRPr="008460D4" w:rsidRDefault="0015746A" w:rsidP="0015746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Technical Assistance and support to DSBD capacity building activities; </w:t>
            </w:r>
          </w:p>
          <w:p w14:paraId="30A124FD" w14:textId="77777777" w:rsidR="0015746A" w:rsidRPr="008460D4" w:rsidRDefault="0015746A" w:rsidP="0015746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>Access to finance for existing small businesses and cooperatives and potential suppliers; and</w:t>
            </w:r>
          </w:p>
          <w:p w14:paraId="30A124FE" w14:textId="77777777" w:rsidR="0015746A" w:rsidRPr="008460D4" w:rsidRDefault="0015746A" w:rsidP="0015746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>Joint resource mobilisation for the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Supplier Development Programme (</w:t>
            </w: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>SDP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 w:rsidRPr="008460D4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5746A" w:rsidRPr="00540E28" w14:paraId="30A12503" w14:textId="77777777" w:rsidTr="00AA43DB">
        <w:tc>
          <w:tcPr>
            <w:tcW w:w="847" w:type="dxa"/>
          </w:tcPr>
          <w:p w14:paraId="30A12500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26" w:type="dxa"/>
          </w:tcPr>
          <w:p w14:paraId="30A12501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UN WOMEN</w:t>
            </w:r>
          </w:p>
        </w:tc>
        <w:tc>
          <w:tcPr>
            <w:tcW w:w="8647" w:type="dxa"/>
          </w:tcPr>
          <w:p w14:paraId="30A12502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color w:val="00B050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Market Access, Funding and Capacity Building for women SMMEs and Coops to access opportunities across various industries.</w:t>
            </w:r>
          </w:p>
        </w:tc>
      </w:tr>
      <w:tr w:rsidR="0015746A" w:rsidRPr="00540E28" w14:paraId="30A1250A" w14:textId="77777777" w:rsidTr="00AA43DB">
        <w:tc>
          <w:tcPr>
            <w:tcW w:w="847" w:type="dxa"/>
          </w:tcPr>
          <w:p w14:paraId="30A12504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26" w:type="dxa"/>
          </w:tcPr>
          <w:p w14:paraId="30A12505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</w:rPr>
              <w:t>Masisizane Fund (MF)</w:t>
            </w:r>
          </w:p>
        </w:tc>
        <w:tc>
          <w:tcPr>
            <w:tcW w:w="8647" w:type="dxa"/>
          </w:tcPr>
          <w:p w14:paraId="30A12506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Leveraging on the resources of each party and work together for the benefit of SMME’s and Co-operatives to benefit from MF Post Investment Programmes, soft loans and capacity </w:t>
            </w: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building. DSBD will also consider projects supported by MF from various incentive schemes.</w:t>
            </w:r>
          </w:p>
          <w:p w14:paraId="30A12507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0A12508" w14:textId="77777777" w:rsidR="0015746A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555CE">
              <w:rPr>
                <w:rFonts w:ascii="Arial" w:eastAsia="Calibri" w:hAnsi="Arial" w:cs="Arial"/>
                <w:sz w:val="20"/>
                <w:szCs w:val="20"/>
                <w:lang w:val="en-US"/>
              </w:rPr>
              <w:t>A list of 29 projects has been consolidated for DSBD consideration (SMME’s and Co-operatives incentives). MF will be submitting 13 Co-operatives Incentive (CIS) application forms for all the Co-operatives they’ve supported for grant funding. DSBD is in a process of compiling SMME’s and Co-operatives to benefit from MF various Programmes; UJ is in a process of compiling business cases of SMMES that were referred by DSBD to be submitted at MF.</w:t>
            </w:r>
          </w:p>
          <w:p w14:paraId="30A12509" w14:textId="77777777" w:rsidR="0015746A" w:rsidRPr="001555CE" w:rsidRDefault="0015746A" w:rsidP="00AA43DB">
            <w:pPr>
              <w:spacing w:line="360" w:lineRule="auto"/>
              <w:jc w:val="both"/>
              <w:rPr>
                <w:rFonts w:ascii="Arial" w:eastAsia="Calibri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</w:tbl>
    <w:p w14:paraId="30A1250B" w14:textId="77777777" w:rsidR="0015746A" w:rsidRDefault="0015746A" w:rsidP="0015746A">
      <w:pPr>
        <w:spacing w:after="0" w:line="276" w:lineRule="auto"/>
        <w:ind w:left="720" w:hanging="720"/>
        <w:rPr>
          <w:rFonts w:ascii="Arial" w:eastAsia="Calibri" w:hAnsi="Arial" w:cs="Times New Roman"/>
          <w:lang w:val="en-US"/>
        </w:rPr>
      </w:pPr>
    </w:p>
    <w:p w14:paraId="30A1250C" w14:textId="77777777" w:rsidR="0015746A" w:rsidRPr="000F3094" w:rsidRDefault="0015746A" w:rsidP="0015746A">
      <w:pPr>
        <w:spacing w:after="0" w:line="276" w:lineRule="auto"/>
        <w:ind w:left="720" w:hanging="720"/>
        <w:rPr>
          <w:rFonts w:ascii="Arial" w:eastAsia="Calibri" w:hAnsi="Arial" w:cs="Times New Roman"/>
          <w:lang w:val="en-US"/>
        </w:rPr>
      </w:pPr>
      <w:r>
        <w:rPr>
          <w:rFonts w:ascii="Arial" w:eastAsia="Calibri" w:hAnsi="Arial" w:cs="Times New Roman"/>
          <w:lang w:val="en-US"/>
        </w:rPr>
        <w:t xml:space="preserve"> (c</w:t>
      </w:r>
      <w:r w:rsidRPr="00285E34">
        <w:rPr>
          <w:rFonts w:ascii="Arial" w:eastAsia="Calibri" w:hAnsi="Arial" w:cs="Times New Roman"/>
          <w:lang w:val="en-US"/>
        </w:rPr>
        <w:t>)</w:t>
      </w:r>
      <w:r w:rsidRPr="00285E34">
        <w:rPr>
          <w:rFonts w:ascii="Arial" w:eastAsia="Calibri" w:hAnsi="Arial" w:cs="Times New Roman"/>
          <w:lang w:val="en-US"/>
        </w:rPr>
        <w:tab/>
      </w:r>
      <w:r w:rsidRPr="000F3094">
        <w:rPr>
          <w:rFonts w:ascii="Arial" w:eastAsia="Calibri" w:hAnsi="Arial" w:cs="Times New Roman"/>
          <w:lang w:val="en-US"/>
        </w:rPr>
        <w:t>The department signed agreements with public and private entities in order to provide both financial and non-financial support to SMMEs and Co-operatives, and they consist mainly of:</w:t>
      </w:r>
    </w:p>
    <w:p w14:paraId="30A1250D" w14:textId="77777777" w:rsidR="0015746A" w:rsidRPr="000F3094" w:rsidRDefault="0015746A" w:rsidP="0015746A">
      <w:pPr>
        <w:numPr>
          <w:ilvl w:val="0"/>
          <w:numId w:val="4"/>
        </w:numPr>
        <w:spacing w:after="0" w:line="276" w:lineRule="auto"/>
        <w:ind w:hanging="75"/>
        <w:contextualSpacing/>
        <w:rPr>
          <w:rFonts w:ascii="Arial" w:eastAsia="Calibri" w:hAnsi="Arial" w:cs="Times New Roman"/>
          <w:lang w:val="en-US"/>
        </w:rPr>
      </w:pPr>
      <w:r w:rsidRPr="000F3094">
        <w:rPr>
          <w:rFonts w:ascii="Arial" w:eastAsia="Calibri" w:hAnsi="Arial" w:cs="Times New Roman"/>
          <w:lang w:val="en-US"/>
        </w:rPr>
        <w:t>Market opportunities in the procurement value chain;</w:t>
      </w:r>
    </w:p>
    <w:p w14:paraId="30A1250E" w14:textId="77777777" w:rsidR="0015746A" w:rsidRPr="000F3094" w:rsidRDefault="0015746A" w:rsidP="0015746A">
      <w:pPr>
        <w:numPr>
          <w:ilvl w:val="0"/>
          <w:numId w:val="4"/>
        </w:numPr>
        <w:spacing w:after="0" w:line="276" w:lineRule="auto"/>
        <w:ind w:hanging="75"/>
        <w:contextualSpacing/>
        <w:rPr>
          <w:rFonts w:ascii="Arial" w:eastAsia="Calibri" w:hAnsi="Arial" w:cs="Times New Roman"/>
          <w:lang w:val="en-US"/>
        </w:rPr>
      </w:pPr>
      <w:r w:rsidRPr="000F3094">
        <w:rPr>
          <w:rFonts w:ascii="Arial" w:eastAsia="Calibri" w:hAnsi="Arial" w:cs="Times New Roman"/>
          <w:lang w:val="en-US"/>
        </w:rPr>
        <w:t>Funding; and</w:t>
      </w:r>
    </w:p>
    <w:p w14:paraId="30A1250F" w14:textId="77777777" w:rsidR="0015746A" w:rsidRPr="000F3094" w:rsidRDefault="0015746A" w:rsidP="0015746A">
      <w:pPr>
        <w:numPr>
          <w:ilvl w:val="0"/>
          <w:numId w:val="4"/>
        </w:numPr>
        <w:spacing w:after="0" w:line="276" w:lineRule="auto"/>
        <w:ind w:hanging="75"/>
        <w:contextualSpacing/>
        <w:rPr>
          <w:rFonts w:ascii="Arial" w:eastAsia="Calibri" w:hAnsi="Arial" w:cs="Times New Roman"/>
          <w:lang w:val="en-US"/>
        </w:rPr>
      </w:pPr>
      <w:r w:rsidRPr="000F3094">
        <w:rPr>
          <w:rFonts w:ascii="Arial" w:eastAsia="Calibri" w:hAnsi="Arial" w:cs="Times New Roman"/>
          <w:lang w:val="en-US"/>
        </w:rPr>
        <w:t>Capacity building.</w:t>
      </w:r>
    </w:p>
    <w:p w14:paraId="30A12510" w14:textId="77777777" w:rsidR="0015746A" w:rsidRPr="000F3094" w:rsidRDefault="0015746A" w:rsidP="0015746A">
      <w:pPr>
        <w:spacing w:after="0" w:line="276" w:lineRule="auto"/>
        <w:rPr>
          <w:rFonts w:ascii="Arial" w:eastAsia="Calibri" w:hAnsi="Arial" w:cs="Times New Roman"/>
          <w:lang w:val="en-US"/>
        </w:rPr>
      </w:pPr>
    </w:p>
    <w:p w14:paraId="30A12511" w14:textId="77777777" w:rsidR="0015746A" w:rsidRDefault="0015746A" w:rsidP="0015746A">
      <w:pPr>
        <w:spacing w:after="200" w:line="276" w:lineRule="auto"/>
        <w:rPr>
          <w:rFonts w:ascii="Arial" w:eastAsia="Calibri" w:hAnsi="Arial" w:cs="Arial"/>
          <w:b/>
          <w:lang w:val="en-US"/>
        </w:rPr>
        <w:sectPr w:rsidR="0015746A" w:rsidSect="00540E28">
          <w:pgSz w:w="15840" w:h="12240" w:orient="landscape"/>
          <w:pgMar w:top="1276" w:right="1440" w:bottom="1183" w:left="1135" w:header="720" w:footer="720" w:gutter="0"/>
          <w:cols w:space="720"/>
          <w:docGrid w:linePitch="360"/>
        </w:sectPr>
      </w:pPr>
    </w:p>
    <w:p w14:paraId="30A12512" w14:textId="77777777" w:rsidR="00077D8E" w:rsidRDefault="00077D8E"/>
    <w:p w14:paraId="30A12513" w14:textId="77777777" w:rsidR="0015746A" w:rsidRDefault="0015746A"/>
    <w:sectPr w:rsidR="0015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251A" w14:textId="77777777" w:rsidR="00000000" w:rsidRDefault="00BE20FC">
      <w:pPr>
        <w:spacing w:after="0" w:line="240" w:lineRule="auto"/>
      </w:pPr>
      <w:r>
        <w:separator/>
      </w:r>
    </w:p>
  </w:endnote>
  <w:endnote w:type="continuationSeparator" w:id="0">
    <w:p w14:paraId="30A1251C" w14:textId="77777777" w:rsidR="00000000" w:rsidRDefault="00BE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64101286"/>
      <w:docPartObj>
        <w:docPartGallery w:val="Page Numbers (Bottom of Page)"/>
        <w:docPartUnique/>
      </w:docPartObj>
    </w:sdtPr>
    <w:sdtEndPr/>
    <w:sdtContent>
      <w:p w14:paraId="30A12514" w14:textId="37AEF81E" w:rsidR="00744036" w:rsidRPr="005B0BCF" w:rsidRDefault="0015746A" w:rsidP="00BF6E61">
        <w:pPr>
          <w:pStyle w:val="Footer"/>
          <w:rPr>
            <w:rFonts w:ascii="Arial" w:hAnsi="Arial" w:cs="Arial"/>
            <w:sz w:val="16"/>
            <w:szCs w:val="16"/>
          </w:rPr>
        </w:pPr>
        <w:r w:rsidRPr="005B0BCF">
          <w:rPr>
            <w:rFonts w:ascii="Arial" w:hAnsi="Arial" w:cs="Arial"/>
            <w:sz w:val="16"/>
            <w:szCs w:val="16"/>
          </w:rPr>
          <w:t>DSBD-Response</w:t>
        </w:r>
        <w:r>
          <w:rPr>
            <w:rFonts w:ascii="Arial" w:hAnsi="Arial" w:cs="Arial"/>
            <w:sz w:val="16"/>
            <w:szCs w:val="16"/>
          </w:rPr>
          <w:t xml:space="preserve"> to WPQ 3106 –</w:t>
        </w:r>
        <w:r w:rsidRPr="005B0BCF">
          <w:rPr>
            <w:rFonts w:ascii="Arial" w:hAnsi="Arial" w:cs="Arial"/>
            <w:sz w:val="16"/>
            <w:szCs w:val="16"/>
          </w:rPr>
          <w:t xml:space="preserve"> </w:t>
        </w:r>
        <w:r w:rsidRPr="000F3094">
          <w:rPr>
            <w:rFonts w:ascii="Arial" w:hAnsi="Arial" w:cs="Arial"/>
            <w:sz w:val="16"/>
            <w:szCs w:val="16"/>
          </w:rPr>
          <w:t>NW3422E</w:t>
        </w:r>
        <w:r w:rsidRPr="005B0BCF">
          <w:rPr>
            <w:rFonts w:ascii="Arial" w:hAnsi="Arial" w:cs="Arial"/>
            <w:sz w:val="16"/>
            <w:szCs w:val="16"/>
          </w:rPr>
          <w:tab/>
        </w:r>
        <w:r w:rsidRPr="005B0BCF">
          <w:rPr>
            <w:rFonts w:ascii="Arial" w:hAnsi="Arial" w:cs="Arial"/>
            <w:sz w:val="16"/>
            <w:szCs w:val="16"/>
          </w:rPr>
          <w:tab/>
        </w:r>
        <w:r w:rsidRPr="005B0BCF">
          <w:rPr>
            <w:rFonts w:ascii="Arial" w:hAnsi="Arial" w:cs="Arial"/>
            <w:sz w:val="16"/>
            <w:szCs w:val="16"/>
          </w:rPr>
          <w:fldChar w:fldCharType="begin"/>
        </w:r>
        <w:r w:rsidRPr="005B0BC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B0BCF">
          <w:rPr>
            <w:rFonts w:ascii="Arial" w:hAnsi="Arial" w:cs="Arial"/>
            <w:sz w:val="16"/>
            <w:szCs w:val="16"/>
          </w:rPr>
          <w:fldChar w:fldCharType="separate"/>
        </w:r>
        <w:r w:rsidR="00BE20FC">
          <w:rPr>
            <w:rFonts w:ascii="Arial" w:hAnsi="Arial" w:cs="Arial"/>
            <w:noProof/>
            <w:sz w:val="16"/>
            <w:szCs w:val="16"/>
          </w:rPr>
          <w:t>1</w:t>
        </w:r>
        <w:r w:rsidRPr="005B0BC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12515" w14:textId="77777777" w:rsidR="00744036" w:rsidRPr="005B0BCF" w:rsidRDefault="00BE20F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2516" w14:textId="77777777" w:rsidR="00000000" w:rsidRDefault="00BE20FC">
      <w:pPr>
        <w:spacing w:after="0" w:line="240" w:lineRule="auto"/>
      </w:pPr>
      <w:r>
        <w:separator/>
      </w:r>
    </w:p>
  </w:footnote>
  <w:footnote w:type="continuationSeparator" w:id="0">
    <w:p w14:paraId="30A12518" w14:textId="77777777" w:rsidR="00000000" w:rsidRDefault="00BE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3A3"/>
    <w:multiLevelType w:val="hybridMultilevel"/>
    <w:tmpl w:val="74D69CCE"/>
    <w:lvl w:ilvl="0" w:tplc="55065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4FE4"/>
    <w:multiLevelType w:val="hybridMultilevel"/>
    <w:tmpl w:val="60C4C842"/>
    <w:lvl w:ilvl="0" w:tplc="1ADAA4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5D3"/>
    <w:multiLevelType w:val="hybridMultilevel"/>
    <w:tmpl w:val="5BCACA3C"/>
    <w:lvl w:ilvl="0" w:tplc="DF684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82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A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8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2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A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E1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8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324D28"/>
    <w:multiLevelType w:val="hybridMultilevel"/>
    <w:tmpl w:val="7926068A"/>
    <w:lvl w:ilvl="0" w:tplc="55065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D7A"/>
    <w:multiLevelType w:val="hybridMultilevel"/>
    <w:tmpl w:val="62FCB8CE"/>
    <w:lvl w:ilvl="0" w:tplc="CF3E0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22B5"/>
    <w:multiLevelType w:val="hybridMultilevel"/>
    <w:tmpl w:val="64BABFEA"/>
    <w:lvl w:ilvl="0" w:tplc="55065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7301"/>
    <w:multiLevelType w:val="hybridMultilevel"/>
    <w:tmpl w:val="6952DE22"/>
    <w:lvl w:ilvl="0" w:tplc="1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5BF22735"/>
    <w:multiLevelType w:val="hybridMultilevel"/>
    <w:tmpl w:val="8E4A4F84"/>
    <w:lvl w:ilvl="0" w:tplc="0828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6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67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7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1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6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9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A73576"/>
    <w:multiLevelType w:val="hybridMultilevel"/>
    <w:tmpl w:val="5F2802B4"/>
    <w:lvl w:ilvl="0" w:tplc="5506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4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C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6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A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6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6A"/>
    <w:rsid w:val="00077D8E"/>
    <w:rsid w:val="0015746A"/>
    <w:rsid w:val="00B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1243C"/>
  <w15:docId w15:val="{662521B9-A262-4027-99FF-0287F8E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6A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6A"/>
    <w:pPr>
      <w:ind w:left="720"/>
      <w:contextualSpacing/>
    </w:pPr>
  </w:style>
  <w:style w:type="table" w:styleId="TableGrid">
    <w:name w:val="Table Grid"/>
    <w:basedOn w:val="TableNormal"/>
    <w:uiPriority w:val="59"/>
    <w:rsid w:val="0015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6A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Philby Lorraine Petersen</cp:lastModifiedBy>
  <cp:revision>2</cp:revision>
  <dcterms:created xsi:type="dcterms:W3CDTF">2017-12-04T11:23:00Z</dcterms:created>
  <dcterms:modified xsi:type="dcterms:W3CDTF">2017-12-05T08:36:00Z</dcterms:modified>
</cp:coreProperties>
</file>