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B1313C">
        <w:rPr>
          <w:rFonts w:cs="Tunga"/>
          <w:b/>
          <w:szCs w:val="24"/>
          <w:lang w:val="en-ZA"/>
        </w:rPr>
        <w:t>3</w:t>
      </w:r>
      <w:r w:rsidR="00E41448">
        <w:rPr>
          <w:rFonts w:cs="Tunga"/>
          <w:b/>
          <w:szCs w:val="24"/>
          <w:lang w:val="en-ZA"/>
        </w:rPr>
        <w:t>105</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B50242">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E41448">
        <w:rPr>
          <w:rFonts w:ascii="Arial" w:hAnsi="Arial" w:cs="Arial"/>
          <w:b/>
          <w:szCs w:val="24"/>
        </w:rPr>
        <w:t>3105</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E41448">
        <w:rPr>
          <w:rFonts w:ascii="Arial" w:hAnsi="Arial" w:cs="Arial"/>
          <w:b/>
          <w:szCs w:val="24"/>
        </w:rPr>
        <w:t xml:space="preserve"> NW3421</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B50242">
        <w:rPr>
          <w:rFonts w:ascii="Arial" w:hAnsi="Arial" w:cs="Arial"/>
          <w:b/>
          <w:szCs w:val="24"/>
        </w:rPr>
        <w:t xml:space="preserve"> 13</w:t>
      </w:r>
      <w:r w:rsidR="0050339F">
        <w:rPr>
          <w:rFonts w:ascii="Arial" w:hAnsi="Arial" w:cs="Arial"/>
          <w:b/>
          <w:szCs w:val="24"/>
        </w:rPr>
        <w:t xml:space="preserve"> October</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B50242">
        <w:rPr>
          <w:rFonts w:ascii="Arial" w:hAnsi="Arial" w:cs="Arial"/>
          <w:b/>
          <w:szCs w:val="24"/>
        </w:rPr>
        <w:t xml:space="preserve"> 36</w:t>
      </w:r>
    </w:p>
    <w:p w:rsidR="00E41448" w:rsidRPr="00F15423" w:rsidRDefault="00E41448" w:rsidP="00E41448">
      <w:pPr>
        <w:spacing w:before="100" w:beforeAutospacing="1" w:after="100" w:afterAutospacing="1"/>
        <w:ind w:left="851" w:hanging="851"/>
        <w:jc w:val="left"/>
        <w:rPr>
          <w:rFonts w:ascii="Arial" w:eastAsia="Calibri" w:hAnsi="Arial" w:cs="Arial"/>
          <w:b/>
          <w:snapToGrid/>
          <w:color w:val="auto"/>
          <w:szCs w:val="24"/>
        </w:rPr>
      </w:pPr>
      <w:r w:rsidRPr="00F15423">
        <w:rPr>
          <w:rFonts w:ascii="Arial" w:eastAsia="Calibri" w:hAnsi="Arial" w:cs="Arial"/>
          <w:b/>
          <w:snapToGrid/>
          <w:color w:val="auto"/>
          <w:szCs w:val="24"/>
          <w:lang w:val="en-ZA"/>
        </w:rPr>
        <w:t>3105</w:t>
      </w:r>
      <w:r w:rsidRPr="00F15423">
        <w:rPr>
          <w:rFonts w:ascii="Arial" w:eastAsia="Calibri" w:hAnsi="Arial" w:cs="Arial"/>
          <w:b/>
          <w:snapToGrid/>
          <w:color w:val="auto"/>
          <w:szCs w:val="24"/>
        </w:rPr>
        <w:t>.</w:t>
      </w:r>
      <w:r w:rsidRPr="00F15423">
        <w:rPr>
          <w:rFonts w:ascii="Arial" w:eastAsia="Calibri" w:hAnsi="Arial" w:cs="Arial"/>
          <w:b/>
          <w:snapToGrid/>
          <w:color w:val="auto"/>
          <w:szCs w:val="24"/>
        </w:rPr>
        <w:tab/>
        <w:t>Adv H C Schmidt (DA) to ask the Minister of Mineral Resources:</w:t>
      </w:r>
    </w:p>
    <w:p w:rsidR="00E41448" w:rsidRPr="00F15423" w:rsidRDefault="00E41448" w:rsidP="00F15423">
      <w:pPr>
        <w:spacing w:before="100" w:beforeAutospacing="1" w:after="100" w:afterAutospacing="1" w:line="360" w:lineRule="auto"/>
        <w:ind w:left="1440" w:hanging="629"/>
        <w:rPr>
          <w:rFonts w:ascii="Arial" w:eastAsia="Calibri" w:hAnsi="Arial" w:cs="Arial"/>
          <w:snapToGrid/>
          <w:color w:val="auto"/>
          <w:szCs w:val="24"/>
        </w:rPr>
      </w:pPr>
      <w:r w:rsidRPr="00F15423">
        <w:rPr>
          <w:rFonts w:ascii="Arial" w:eastAsia="Calibri" w:hAnsi="Arial" w:cs="Arial"/>
          <w:snapToGrid/>
          <w:color w:val="auto"/>
          <w:szCs w:val="24"/>
          <w:lang w:val="en-ZA"/>
        </w:rPr>
        <w:t>(1)</w:t>
      </w:r>
      <w:r w:rsidRPr="00F15423">
        <w:rPr>
          <w:rFonts w:ascii="Arial" w:eastAsia="Calibri" w:hAnsi="Arial" w:cs="Arial"/>
          <w:snapToGrid/>
          <w:color w:val="auto"/>
          <w:szCs w:val="24"/>
        </w:rPr>
        <w:tab/>
        <w:t>Whether his department has received any complaints with regard to mining activities conducted by a certain company (name furnished) on any of the sites in Portion 3, the remaining extent of Portion 1 and the remaining extent of the farm Woodlands 407 in the Magisterial District of Parys, Free State; if so,</w:t>
      </w:r>
    </w:p>
    <w:p w:rsidR="00E41448" w:rsidRPr="00F15423" w:rsidRDefault="00E41448" w:rsidP="00F15423">
      <w:pPr>
        <w:spacing w:before="100" w:beforeAutospacing="1" w:after="100" w:afterAutospacing="1" w:line="360" w:lineRule="auto"/>
        <w:ind w:left="1440" w:hanging="629"/>
        <w:rPr>
          <w:rFonts w:ascii="Arial" w:eastAsia="Calibri" w:hAnsi="Arial" w:cs="Arial"/>
          <w:snapToGrid/>
          <w:color w:val="auto"/>
          <w:szCs w:val="24"/>
          <w:lang w:eastAsia="en-ZA"/>
        </w:rPr>
      </w:pPr>
      <w:r w:rsidRPr="00F15423">
        <w:rPr>
          <w:rFonts w:ascii="Arial" w:eastAsia="Calibri" w:hAnsi="Arial" w:cs="Arial"/>
          <w:snapToGrid/>
          <w:color w:val="auto"/>
          <w:szCs w:val="24"/>
        </w:rPr>
        <w:t>(2)</w:t>
      </w:r>
      <w:r w:rsidRPr="00F15423">
        <w:rPr>
          <w:rFonts w:ascii="Arial" w:eastAsia="Calibri" w:hAnsi="Arial" w:cs="Arial"/>
          <w:snapToGrid/>
          <w:color w:val="auto"/>
          <w:szCs w:val="24"/>
        </w:rPr>
        <w:tab/>
        <w:t xml:space="preserve">whether inspectors and/or other officials from his department inspected the mining activities at the specified sites since </w:t>
      </w:r>
      <w:r w:rsidRPr="00F15423">
        <w:rPr>
          <w:rFonts w:ascii="Arial" w:eastAsia="Calibri" w:hAnsi="Arial" w:cs="Arial"/>
          <w:snapToGrid/>
          <w:color w:val="auto"/>
          <w:szCs w:val="24"/>
          <w:lang w:val="en-ZA"/>
        </w:rPr>
        <w:t>November</w:t>
      </w:r>
      <w:r w:rsidRPr="00F15423">
        <w:rPr>
          <w:rFonts w:ascii="Arial" w:eastAsia="Calibri" w:hAnsi="Arial" w:cs="Arial"/>
          <w:snapToGrid/>
          <w:color w:val="auto"/>
          <w:szCs w:val="24"/>
        </w:rPr>
        <w:t xml:space="preserve"> 2016; if so, what are the (a) dates on which inspectors and/or other officials inspected the sites and (b) findings and recommendations of the inspectors and/or other officials;</w:t>
      </w:r>
    </w:p>
    <w:p w:rsidR="00E41448" w:rsidRPr="00F15423" w:rsidRDefault="00E41448" w:rsidP="00F15423">
      <w:pPr>
        <w:spacing w:before="100" w:beforeAutospacing="1" w:after="100" w:afterAutospacing="1" w:line="360" w:lineRule="auto"/>
        <w:ind w:left="1440" w:hanging="629"/>
        <w:rPr>
          <w:rFonts w:ascii="Arial" w:eastAsia="Calibri" w:hAnsi="Arial" w:cs="Arial"/>
          <w:snapToGrid/>
          <w:color w:val="auto"/>
          <w:szCs w:val="24"/>
        </w:rPr>
      </w:pPr>
      <w:r w:rsidRPr="00F15423">
        <w:rPr>
          <w:rFonts w:ascii="Arial" w:eastAsia="Calibri" w:hAnsi="Arial" w:cs="Arial"/>
          <w:snapToGrid/>
          <w:szCs w:val="24"/>
          <w:lang w:val="en-ZA"/>
        </w:rPr>
        <w:t>(3)</w:t>
      </w:r>
      <w:r w:rsidRPr="00F15423">
        <w:rPr>
          <w:rFonts w:ascii="Arial" w:eastAsia="Calibri" w:hAnsi="Arial" w:cs="Arial"/>
          <w:snapToGrid/>
          <w:szCs w:val="24"/>
          <w:lang w:val="en-ZA"/>
        </w:rPr>
        <w:tab/>
      </w:r>
      <w:r w:rsidRPr="00F15423">
        <w:rPr>
          <w:rFonts w:ascii="Arial" w:eastAsia="Calibri" w:hAnsi="Arial" w:cs="Arial"/>
          <w:snapToGrid/>
          <w:color w:val="auto"/>
          <w:szCs w:val="24"/>
        </w:rPr>
        <w:t>on which dates did his department receive applications by the specified company for the renewal of mining permits submitted in respect of each individual application;</w:t>
      </w:r>
    </w:p>
    <w:p w:rsidR="00E41448" w:rsidRPr="00F15423" w:rsidRDefault="00E41448" w:rsidP="00F15423">
      <w:pPr>
        <w:spacing w:before="100" w:beforeAutospacing="1" w:after="100" w:afterAutospacing="1" w:line="360" w:lineRule="auto"/>
        <w:ind w:left="1440" w:hanging="629"/>
        <w:rPr>
          <w:rFonts w:ascii="Arial" w:eastAsia="Calibri" w:hAnsi="Arial" w:cs="Arial"/>
          <w:snapToGrid/>
          <w:color w:val="auto"/>
          <w:szCs w:val="24"/>
        </w:rPr>
      </w:pPr>
      <w:r w:rsidRPr="00F15423">
        <w:rPr>
          <w:rFonts w:ascii="Arial" w:eastAsia="Calibri" w:hAnsi="Arial" w:cs="Arial"/>
          <w:snapToGrid/>
          <w:color w:val="auto"/>
          <w:szCs w:val="24"/>
          <w:lang w:val="en-ZA"/>
        </w:rPr>
        <w:t>(4)</w:t>
      </w:r>
      <w:r w:rsidRPr="00F15423">
        <w:rPr>
          <w:rFonts w:ascii="Arial" w:eastAsia="Calibri" w:hAnsi="Arial" w:cs="Arial"/>
          <w:snapToGrid/>
          <w:color w:val="auto"/>
          <w:szCs w:val="24"/>
        </w:rPr>
        <w:tab/>
        <w:t xml:space="preserve">(a) on which dates were the specified mining permits renewed and (b) for which </w:t>
      </w:r>
      <w:r w:rsidRPr="00F15423">
        <w:rPr>
          <w:rFonts w:ascii="Arial" w:eastAsia="Calibri" w:hAnsi="Arial" w:cs="Arial"/>
          <w:snapToGrid/>
          <w:color w:val="auto"/>
          <w:szCs w:val="24"/>
          <w:lang w:val="en-ZA"/>
        </w:rPr>
        <w:t>periods</w:t>
      </w:r>
      <w:r w:rsidRPr="00F15423">
        <w:rPr>
          <w:rFonts w:ascii="Arial" w:eastAsia="Calibri" w:hAnsi="Arial" w:cs="Arial"/>
          <w:snapToGrid/>
          <w:color w:val="auto"/>
          <w:szCs w:val="24"/>
        </w:rPr>
        <w:t>;</w:t>
      </w:r>
    </w:p>
    <w:p w:rsidR="00E41448" w:rsidRPr="00F15423" w:rsidRDefault="00E41448" w:rsidP="00F15423">
      <w:pPr>
        <w:spacing w:before="100" w:beforeAutospacing="1" w:after="100" w:afterAutospacing="1" w:line="360" w:lineRule="auto"/>
        <w:ind w:left="1440" w:hanging="629"/>
        <w:rPr>
          <w:rFonts w:ascii="Arial" w:eastAsia="Calibri" w:hAnsi="Arial" w:cs="Arial"/>
          <w:snapToGrid/>
          <w:color w:val="auto"/>
          <w:szCs w:val="24"/>
        </w:rPr>
      </w:pPr>
      <w:r w:rsidRPr="00F15423">
        <w:rPr>
          <w:rFonts w:ascii="Arial" w:eastAsia="Calibri" w:hAnsi="Arial" w:cs="Arial"/>
          <w:snapToGrid/>
          <w:color w:val="auto"/>
          <w:szCs w:val="24"/>
          <w:lang w:val="en-ZA"/>
        </w:rPr>
        <w:t>(5)</w:t>
      </w:r>
      <w:r w:rsidRPr="00F15423">
        <w:rPr>
          <w:rFonts w:ascii="Arial" w:eastAsia="Calibri" w:hAnsi="Arial" w:cs="Arial"/>
          <w:snapToGrid/>
          <w:color w:val="auto"/>
          <w:szCs w:val="24"/>
        </w:rPr>
        <w:tab/>
        <w:t>what kind of documentation and/or permission and/or authorisation from the Department of Water and Sanitation has been accepted by his department</w:t>
      </w:r>
      <w:r w:rsidRPr="00F15423">
        <w:rPr>
          <w:rFonts w:ascii="Arial" w:eastAsia="Calibri" w:hAnsi="Arial" w:cs="Arial"/>
          <w:snapToGrid/>
          <w:color w:val="auto"/>
          <w:szCs w:val="24"/>
          <w:lang w:val="en-ZA"/>
        </w:rPr>
        <w:t xml:space="preserve"> to</w:t>
      </w:r>
      <w:r w:rsidRPr="00F15423">
        <w:rPr>
          <w:rFonts w:ascii="Arial" w:eastAsia="Calibri" w:hAnsi="Arial" w:cs="Arial"/>
          <w:snapToGrid/>
          <w:color w:val="auto"/>
          <w:szCs w:val="24"/>
        </w:rPr>
        <w:t xml:space="preserve"> the effect that the specified company may use water for mining activities on the three mining areas</w:t>
      </w:r>
      <w:r w:rsidRPr="00F15423">
        <w:rPr>
          <w:rFonts w:ascii="Arial" w:eastAsia="Calibri" w:hAnsi="Arial" w:cs="Arial"/>
          <w:snapToGrid/>
          <w:color w:val="auto"/>
          <w:szCs w:val="24"/>
          <w:lang w:val="en-ZA"/>
        </w:rPr>
        <w:t>?</w:t>
      </w:r>
      <w:r w:rsidR="00F15423">
        <w:rPr>
          <w:rFonts w:ascii="Arial" w:eastAsia="Calibri" w:hAnsi="Arial" w:cs="Arial"/>
          <w:snapToGrid/>
          <w:color w:val="auto"/>
          <w:szCs w:val="24"/>
          <w:lang w:val="en-ZA"/>
        </w:rPr>
        <w:t xml:space="preserve"> </w:t>
      </w:r>
      <w:r w:rsidRPr="00F15423">
        <w:rPr>
          <w:rFonts w:ascii="Arial" w:eastAsia="Calibri" w:hAnsi="Arial" w:cs="Arial"/>
          <w:snapToGrid/>
          <w:color w:val="auto"/>
          <w:szCs w:val="24"/>
          <w:lang w:val="en-ZA"/>
        </w:rPr>
        <w:tab/>
      </w:r>
      <w:r w:rsidRPr="00F15423">
        <w:rPr>
          <w:rFonts w:ascii="Arial" w:eastAsia="Calibri" w:hAnsi="Arial" w:cs="Arial"/>
          <w:snapToGrid/>
          <w:color w:val="auto"/>
          <w:szCs w:val="24"/>
          <w:lang w:val="en-ZA"/>
        </w:rPr>
        <w:tab/>
      </w:r>
      <w:r w:rsidRPr="00F15423">
        <w:rPr>
          <w:rFonts w:ascii="Arial" w:eastAsia="Calibri" w:hAnsi="Arial" w:cs="Arial"/>
          <w:snapToGrid/>
          <w:color w:val="auto"/>
          <w:szCs w:val="24"/>
          <w:lang w:val="en-ZA"/>
        </w:rPr>
        <w:tab/>
      </w:r>
      <w:r w:rsidRPr="00F15423">
        <w:rPr>
          <w:rFonts w:ascii="Arial" w:eastAsia="Calibri" w:hAnsi="Arial" w:cs="Arial"/>
          <w:snapToGrid/>
          <w:color w:val="auto"/>
          <w:szCs w:val="24"/>
          <w:lang w:val="en-ZA"/>
        </w:rPr>
        <w:tab/>
      </w:r>
      <w:r w:rsidRPr="00F15423">
        <w:rPr>
          <w:rFonts w:ascii="Arial" w:eastAsia="Calibri" w:hAnsi="Arial" w:cs="Arial"/>
          <w:snapToGrid/>
          <w:color w:val="auto"/>
          <w:szCs w:val="24"/>
          <w:lang w:val="en-ZA"/>
        </w:rPr>
        <w:tab/>
      </w:r>
      <w:r w:rsidRPr="00F15423">
        <w:rPr>
          <w:rFonts w:ascii="Arial" w:eastAsia="Calibri" w:hAnsi="Arial" w:cs="Arial"/>
          <w:snapToGrid/>
          <w:color w:val="auto"/>
          <w:szCs w:val="24"/>
          <w:lang w:val="en-ZA"/>
        </w:rPr>
        <w:tab/>
        <w:t>NW3421E</w:t>
      </w:r>
    </w:p>
    <w:p w:rsidR="00B50242" w:rsidRDefault="00B50242" w:rsidP="00CF0E84">
      <w:pPr>
        <w:spacing w:before="100" w:beforeAutospacing="1" w:after="100" w:afterAutospacing="1" w:line="480" w:lineRule="auto"/>
        <w:rPr>
          <w:rFonts w:ascii="Arial" w:hAnsi="Arial" w:cs="Arial"/>
          <w:b/>
          <w:lang w:val="en-ZA"/>
        </w:rPr>
      </w:pP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rsidR="00F15423" w:rsidRPr="008901A0" w:rsidRDefault="00F15423" w:rsidP="00F15423">
      <w:pPr>
        <w:spacing w:before="100" w:beforeAutospacing="1" w:after="100" w:afterAutospacing="1"/>
        <w:ind w:left="1440" w:hanging="629"/>
        <w:rPr>
          <w:rFonts w:ascii="Arial" w:eastAsia="Calibri" w:hAnsi="Arial" w:cs="Arial"/>
          <w:bCs/>
          <w:snapToGrid/>
          <w:color w:val="auto"/>
          <w:szCs w:val="24"/>
        </w:rPr>
      </w:pPr>
      <w:r w:rsidRPr="008901A0">
        <w:rPr>
          <w:rFonts w:ascii="Arial" w:eastAsia="Calibri" w:hAnsi="Arial" w:cs="Arial"/>
          <w:snapToGrid/>
          <w:color w:val="auto"/>
          <w:szCs w:val="24"/>
          <w:lang w:val="en-ZA"/>
        </w:rPr>
        <w:t>(1)</w:t>
      </w:r>
      <w:r>
        <w:rPr>
          <w:rFonts w:ascii="Arial" w:eastAsia="Calibri" w:hAnsi="Arial" w:cs="Arial"/>
          <w:snapToGrid/>
          <w:color w:val="auto"/>
          <w:szCs w:val="24"/>
        </w:rPr>
        <w:tab/>
      </w:r>
      <w:r w:rsidRPr="008901A0">
        <w:rPr>
          <w:rFonts w:ascii="Arial" w:eastAsia="Calibri" w:hAnsi="Arial" w:cs="Arial"/>
          <w:bCs/>
          <w:snapToGrid/>
          <w:color w:val="auto"/>
          <w:szCs w:val="24"/>
        </w:rPr>
        <w:t>Yes, the DMR has received complaints in respect to mining activities being conducted by Winners Point 117 Trading (Pty) Ltd.</w:t>
      </w:r>
    </w:p>
    <w:p w:rsidR="00F15423" w:rsidRPr="008901A0" w:rsidRDefault="00F15423" w:rsidP="00F15423">
      <w:pPr>
        <w:spacing w:before="100" w:beforeAutospacing="1" w:after="100" w:afterAutospacing="1"/>
        <w:ind w:left="1440" w:hanging="629"/>
        <w:rPr>
          <w:rFonts w:ascii="Arial" w:eastAsia="Calibri" w:hAnsi="Arial" w:cs="Arial"/>
          <w:snapToGrid/>
          <w:color w:val="auto"/>
          <w:szCs w:val="24"/>
        </w:rPr>
      </w:pPr>
      <w:r w:rsidRPr="008901A0">
        <w:rPr>
          <w:rFonts w:ascii="Arial" w:eastAsia="Calibri" w:hAnsi="Arial" w:cs="Arial"/>
          <w:snapToGrid/>
          <w:color w:val="auto"/>
          <w:szCs w:val="24"/>
        </w:rPr>
        <w:t>(2)</w:t>
      </w:r>
      <w:r w:rsidRPr="008901A0">
        <w:rPr>
          <w:rFonts w:ascii="Arial" w:eastAsia="Calibri" w:hAnsi="Arial" w:cs="Arial"/>
          <w:snapToGrid/>
          <w:color w:val="auto"/>
          <w:szCs w:val="24"/>
        </w:rPr>
        <w:tab/>
      </w:r>
    </w:p>
    <w:tbl>
      <w:tblPr>
        <w:tblStyle w:val="TableGrid"/>
        <w:tblW w:w="9923" w:type="dxa"/>
        <w:tblInd w:w="137" w:type="dxa"/>
        <w:tblLook w:val="04A0" w:firstRow="1" w:lastRow="0" w:firstColumn="1" w:lastColumn="0" w:noHBand="0" w:noVBand="1"/>
      </w:tblPr>
      <w:tblGrid>
        <w:gridCol w:w="2835"/>
        <w:gridCol w:w="3529"/>
        <w:gridCol w:w="3559"/>
      </w:tblGrid>
      <w:tr w:rsidR="00F15423" w:rsidRPr="008901A0" w:rsidTr="00F15423">
        <w:tc>
          <w:tcPr>
            <w:tcW w:w="2835"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Date inspection conducted</w:t>
            </w:r>
          </w:p>
        </w:tc>
        <w:tc>
          <w:tcPr>
            <w:tcW w:w="3529"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 xml:space="preserve">Findings </w:t>
            </w:r>
          </w:p>
        </w:tc>
        <w:tc>
          <w:tcPr>
            <w:tcW w:w="3559"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Recommendations</w:t>
            </w:r>
          </w:p>
        </w:tc>
      </w:tr>
      <w:tr w:rsidR="00F15423" w:rsidRPr="008901A0" w:rsidTr="00F15423">
        <w:tc>
          <w:tcPr>
            <w:tcW w:w="2835"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24 November 2016</w:t>
            </w:r>
          </w:p>
        </w:tc>
        <w:tc>
          <w:tcPr>
            <w:tcW w:w="352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Dust</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Noise</w:t>
            </w:r>
          </w:p>
          <w:p w:rsidR="00F15423" w:rsidRPr="008901A0" w:rsidRDefault="00F15423" w:rsidP="00015046">
            <w:pPr>
              <w:spacing w:before="100" w:beforeAutospacing="1" w:after="100" w:afterAutospacing="1"/>
              <w:rPr>
                <w:rFonts w:ascii="Arial" w:eastAsia="Calibri" w:hAnsi="Arial" w:cs="Arial"/>
                <w:bCs/>
                <w:snapToGrid/>
                <w:color w:val="auto"/>
                <w:szCs w:val="24"/>
              </w:rPr>
            </w:pPr>
          </w:p>
        </w:tc>
        <w:tc>
          <w:tcPr>
            <w:tcW w:w="355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A letter was sent to the company regarding the findings of the inspection and the company was directed to communicate with residence of Vaal Eden around the mining areas in order to resolve issues relating to mining. The company was also directed put in place a monitoring programme for dust and noise.</w:t>
            </w:r>
          </w:p>
        </w:tc>
      </w:tr>
      <w:tr w:rsidR="00F15423" w:rsidRPr="008901A0" w:rsidTr="00F15423">
        <w:tc>
          <w:tcPr>
            <w:tcW w:w="2835"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24 August 2017</w:t>
            </w:r>
          </w:p>
        </w:tc>
        <w:tc>
          <w:tcPr>
            <w:tcW w:w="352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 xml:space="preserve">The complaint was about illegal mining taking place on the area, dust, noise and accumulative effects of mining affecting the road. The </w:t>
            </w:r>
            <w:r w:rsidR="00A047B2">
              <w:rPr>
                <w:rFonts w:ascii="Arial" w:eastAsia="Calibri" w:hAnsi="Arial" w:cs="Arial"/>
                <w:bCs/>
                <w:snapToGrid/>
                <w:color w:val="auto"/>
                <w:szCs w:val="24"/>
              </w:rPr>
              <w:t>findings of the inspection were:</w:t>
            </w:r>
          </w:p>
          <w:p w:rsidR="00F15423" w:rsidRPr="008901A0" w:rsidRDefault="00F15423" w:rsidP="00F15423">
            <w:pPr>
              <w:pStyle w:val="ListParagraph"/>
              <w:numPr>
                <w:ilvl w:val="0"/>
                <w:numId w:val="10"/>
              </w:num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There was no illegal mining activities identified within the Vaal Eden area</w:t>
            </w:r>
          </w:p>
          <w:p w:rsidR="00F15423" w:rsidRPr="008901A0" w:rsidRDefault="00F15423" w:rsidP="00F15423">
            <w:pPr>
              <w:pStyle w:val="ListParagraph"/>
              <w:numPr>
                <w:ilvl w:val="0"/>
                <w:numId w:val="10"/>
              </w:num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Dust pollution was identified however, it was being managed and monitored according to the approved EMP.</w:t>
            </w:r>
          </w:p>
          <w:p w:rsidR="00F15423" w:rsidRPr="008901A0" w:rsidRDefault="00F15423" w:rsidP="00F15423">
            <w:pPr>
              <w:pStyle w:val="ListParagraph"/>
              <w:numPr>
                <w:ilvl w:val="0"/>
                <w:numId w:val="10"/>
              </w:num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Noise pollution was not encountered except from the trucks utilizing the Vaal Eden road</w:t>
            </w:r>
          </w:p>
          <w:p w:rsidR="00F15423" w:rsidRPr="008901A0" w:rsidRDefault="00F15423" w:rsidP="00F15423">
            <w:pPr>
              <w:pStyle w:val="ListParagraph"/>
              <w:numPr>
                <w:ilvl w:val="0"/>
                <w:numId w:val="10"/>
              </w:num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Accumulative effects of new mining activities and negative effects emanating from trucks on the Vaal Eden road have been encountered however, the Free State Provincial Department of Police Roads and  Transport are currently repairing and filling pot holes along the road</w:t>
            </w:r>
          </w:p>
        </w:tc>
        <w:tc>
          <w:tcPr>
            <w:tcW w:w="355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The company will be monitored continually to ensure compliance to the approved documents.</w:t>
            </w:r>
          </w:p>
        </w:tc>
      </w:tr>
      <w:tr w:rsidR="00F15423" w:rsidRPr="008901A0" w:rsidTr="00F15423">
        <w:tc>
          <w:tcPr>
            <w:tcW w:w="2835"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30 August 2017</w:t>
            </w:r>
          </w:p>
        </w:tc>
        <w:tc>
          <w:tcPr>
            <w:tcW w:w="352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There was no mining activities taking place on FS 30/5/1/3/2/302 MP and FS 30/5/1/3/2/342 MP. Mining activities were taking place on FS 30/5/1/3/2/303 MP</w:t>
            </w:r>
          </w:p>
        </w:tc>
        <w:tc>
          <w:tcPr>
            <w:tcW w:w="3559"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Letters were sent to the company regarding submission of financial provision and performance assessment report for on FS 30/5/1/3/2/302 MP and FS 30/5/1/3/2/304 MP on the 11</w:t>
            </w:r>
            <w:r w:rsidRPr="008901A0">
              <w:rPr>
                <w:rFonts w:ascii="Arial" w:eastAsia="Calibri" w:hAnsi="Arial" w:cs="Arial"/>
                <w:bCs/>
                <w:snapToGrid/>
                <w:color w:val="auto"/>
                <w:szCs w:val="24"/>
                <w:vertAlign w:val="superscript"/>
              </w:rPr>
              <w:t>th</w:t>
            </w:r>
            <w:r w:rsidRPr="008901A0">
              <w:rPr>
                <w:rFonts w:ascii="Arial" w:eastAsia="Calibri" w:hAnsi="Arial" w:cs="Arial"/>
                <w:bCs/>
                <w:snapToGrid/>
                <w:color w:val="auto"/>
                <w:szCs w:val="24"/>
              </w:rPr>
              <w:t xml:space="preserve"> of September 2017 and 12</w:t>
            </w:r>
            <w:r w:rsidRPr="008901A0">
              <w:rPr>
                <w:rFonts w:ascii="Arial" w:eastAsia="Calibri" w:hAnsi="Arial" w:cs="Arial"/>
                <w:bCs/>
                <w:snapToGrid/>
                <w:color w:val="auto"/>
                <w:szCs w:val="24"/>
                <w:vertAlign w:val="superscript"/>
              </w:rPr>
              <w:t>th</w:t>
            </w:r>
            <w:r w:rsidR="00CC20AD">
              <w:rPr>
                <w:rFonts w:ascii="Arial" w:eastAsia="Calibri" w:hAnsi="Arial" w:cs="Arial"/>
                <w:bCs/>
                <w:snapToGrid/>
                <w:color w:val="auto"/>
                <w:szCs w:val="24"/>
              </w:rPr>
              <w:t xml:space="preserve"> of September 2017. A pre</w:t>
            </w:r>
            <w:r w:rsidRPr="008901A0">
              <w:rPr>
                <w:rFonts w:ascii="Arial" w:eastAsia="Calibri" w:hAnsi="Arial" w:cs="Arial"/>
                <w:bCs/>
                <w:snapToGrid/>
                <w:color w:val="auto"/>
                <w:szCs w:val="24"/>
              </w:rPr>
              <w:t>–compliance notice was sent to the company regarding non-compliances observed on FS 30/5/1/3/2/303 MP on the 28</w:t>
            </w:r>
            <w:r w:rsidRPr="008901A0">
              <w:rPr>
                <w:rFonts w:ascii="Arial" w:eastAsia="Calibri" w:hAnsi="Arial" w:cs="Arial"/>
                <w:bCs/>
                <w:snapToGrid/>
                <w:color w:val="auto"/>
                <w:szCs w:val="24"/>
                <w:vertAlign w:val="superscript"/>
              </w:rPr>
              <w:t>th</w:t>
            </w:r>
            <w:r w:rsidRPr="008901A0">
              <w:rPr>
                <w:rFonts w:ascii="Arial" w:eastAsia="Calibri" w:hAnsi="Arial" w:cs="Arial"/>
                <w:bCs/>
                <w:snapToGrid/>
                <w:color w:val="auto"/>
                <w:szCs w:val="24"/>
              </w:rPr>
              <w:t xml:space="preserve"> of September 2017.</w:t>
            </w:r>
          </w:p>
        </w:tc>
      </w:tr>
    </w:tbl>
    <w:p w:rsidR="00F15423" w:rsidRPr="008901A0" w:rsidRDefault="00F15423" w:rsidP="00F15423">
      <w:pPr>
        <w:spacing w:before="100" w:beforeAutospacing="1" w:after="100" w:afterAutospacing="1"/>
        <w:ind w:left="1440" w:hanging="629"/>
        <w:rPr>
          <w:rFonts w:ascii="Arial" w:eastAsia="Calibri" w:hAnsi="Arial" w:cs="Arial"/>
          <w:snapToGrid/>
          <w:color w:val="auto"/>
          <w:szCs w:val="24"/>
        </w:rPr>
      </w:pPr>
      <w:r w:rsidRPr="008901A0">
        <w:rPr>
          <w:rFonts w:ascii="Arial" w:eastAsia="Calibri" w:hAnsi="Arial" w:cs="Arial"/>
          <w:snapToGrid/>
          <w:szCs w:val="24"/>
          <w:lang w:val="en-ZA"/>
        </w:rPr>
        <w:t>(3)</w:t>
      </w:r>
      <w:r w:rsidRPr="008901A0">
        <w:rPr>
          <w:rFonts w:ascii="Arial" w:eastAsia="Calibri" w:hAnsi="Arial" w:cs="Arial"/>
          <w:snapToGrid/>
          <w:szCs w:val="24"/>
          <w:lang w:val="en-ZA"/>
        </w:rPr>
        <w:tab/>
      </w:r>
    </w:p>
    <w:tbl>
      <w:tblPr>
        <w:tblStyle w:val="TableGrid"/>
        <w:tblW w:w="9923" w:type="dxa"/>
        <w:tblInd w:w="137" w:type="dxa"/>
        <w:tblLook w:val="04A0" w:firstRow="1" w:lastRow="0" w:firstColumn="1" w:lastColumn="0" w:noHBand="0" w:noVBand="1"/>
      </w:tblPr>
      <w:tblGrid>
        <w:gridCol w:w="4536"/>
        <w:gridCol w:w="5387"/>
      </w:tblGrid>
      <w:tr w:rsidR="00F15423" w:rsidRPr="008901A0" w:rsidTr="00F15423">
        <w:tc>
          <w:tcPr>
            <w:tcW w:w="4536"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Ref No.</w:t>
            </w:r>
          </w:p>
        </w:tc>
        <w:tc>
          <w:tcPr>
            <w:tcW w:w="5387"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Date received</w:t>
            </w:r>
          </w:p>
        </w:tc>
      </w:tr>
      <w:tr w:rsidR="00F15423" w:rsidRPr="008901A0" w:rsidTr="00F15423">
        <w:tc>
          <w:tcPr>
            <w:tcW w:w="4536"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FS 30/5/1/3/2/302 MP</w:t>
            </w:r>
          </w:p>
        </w:tc>
        <w:tc>
          <w:tcPr>
            <w:tcW w:w="5387"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renewal-25/11/2011</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renewal-23/04/2013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renewal-25/05/2015</w:t>
            </w:r>
          </w:p>
        </w:tc>
      </w:tr>
      <w:tr w:rsidR="00F15423" w:rsidRPr="008901A0" w:rsidTr="00F15423">
        <w:tc>
          <w:tcPr>
            <w:tcW w:w="4536" w:type="dxa"/>
          </w:tcPr>
          <w:p w:rsidR="00F15423" w:rsidRPr="008901A0" w:rsidRDefault="00F15423" w:rsidP="00015046">
            <w:pPr>
              <w:rPr>
                <w:rFonts w:ascii="Arial" w:hAnsi="Arial" w:cs="Arial"/>
                <w:bCs/>
                <w:szCs w:val="24"/>
              </w:rPr>
            </w:pPr>
            <w:r w:rsidRPr="008901A0">
              <w:rPr>
                <w:rFonts w:ascii="Arial" w:eastAsia="Calibri" w:hAnsi="Arial" w:cs="Arial"/>
                <w:bCs/>
                <w:snapToGrid/>
                <w:color w:val="auto"/>
                <w:szCs w:val="24"/>
              </w:rPr>
              <w:t>FS 30/5/1/3/2/303 MP</w:t>
            </w:r>
          </w:p>
        </w:tc>
        <w:tc>
          <w:tcPr>
            <w:tcW w:w="5387"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renewal-25/11/2011</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renewal-23/04/2013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renewal-25/05/2015</w:t>
            </w:r>
          </w:p>
        </w:tc>
      </w:tr>
      <w:tr w:rsidR="00F15423" w:rsidRPr="008901A0" w:rsidTr="00F15423">
        <w:tc>
          <w:tcPr>
            <w:tcW w:w="4536" w:type="dxa"/>
          </w:tcPr>
          <w:p w:rsidR="00F15423" w:rsidRPr="008901A0" w:rsidRDefault="00F15423" w:rsidP="00015046">
            <w:pPr>
              <w:rPr>
                <w:rFonts w:ascii="Arial" w:hAnsi="Arial" w:cs="Arial"/>
                <w:bCs/>
                <w:szCs w:val="24"/>
              </w:rPr>
            </w:pPr>
            <w:r w:rsidRPr="008901A0">
              <w:rPr>
                <w:rFonts w:ascii="Arial" w:eastAsia="Calibri" w:hAnsi="Arial" w:cs="Arial"/>
                <w:bCs/>
                <w:snapToGrid/>
                <w:color w:val="auto"/>
                <w:szCs w:val="24"/>
              </w:rPr>
              <w:t>FS 30/5/1/3/2/304 MP</w:t>
            </w:r>
          </w:p>
        </w:tc>
        <w:tc>
          <w:tcPr>
            <w:tcW w:w="5387"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renewal-25/11/2011</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renewal-23/05/2013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renewal-25/05/2015</w:t>
            </w:r>
          </w:p>
        </w:tc>
      </w:tr>
    </w:tbl>
    <w:p w:rsidR="00F15423" w:rsidRPr="008901A0" w:rsidRDefault="00F15423" w:rsidP="00F15423">
      <w:pPr>
        <w:spacing w:before="100" w:beforeAutospacing="1" w:after="100" w:afterAutospacing="1"/>
        <w:ind w:left="1440" w:hanging="629"/>
        <w:rPr>
          <w:rFonts w:ascii="Arial" w:eastAsia="Calibri" w:hAnsi="Arial" w:cs="Arial"/>
          <w:snapToGrid/>
          <w:color w:val="auto"/>
          <w:szCs w:val="24"/>
        </w:rPr>
      </w:pPr>
    </w:p>
    <w:p w:rsidR="00F15423" w:rsidRPr="008901A0" w:rsidRDefault="00F15423" w:rsidP="00CC20AD">
      <w:pPr>
        <w:spacing w:before="100" w:beforeAutospacing="1" w:after="100" w:afterAutospacing="1"/>
        <w:ind w:left="567" w:hanging="141"/>
        <w:rPr>
          <w:rFonts w:ascii="Arial" w:eastAsia="Calibri" w:hAnsi="Arial" w:cs="Arial"/>
          <w:snapToGrid/>
          <w:color w:val="auto"/>
          <w:szCs w:val="24"/>
        </w:rPr>
      </w:pPr>
      <w:r w:rsidRPr="008901A0">
        <w:rPr>
          <w:rFonts w:ascii="Arial" w:eastAsia="Calibri" w:hAnsi="Arial" w:cs="Arial"/>
          <w:snapToGrid/>
          <w:color w:val="auto"/>
          <w:szCs w:val="24"/>
          <w:lang w:val="en-ZA"/>
        </w:rPr>
        <w:t>(4)</w:t>
      </w:r>
      <w:r w:rsidRPr="008901A0">
        <w:rPr>
          <w:rFonts w:ascii="Arial" w:eastAsia="Calibri" w:hAnsi="Arial" w:cs="Arial"/>
          <w:snapToGrid/>
          <w:color w:val="auto"/>
          <w:szCs w:val="24"/>
        </w:rPr>
        <w:tab/>
      </w:r>
      <w:r>
        <w:rPr>
          <w:rFonts w:ascii="Arial" w:eastAsia="Calibri" w:hAnsi="Arial" w:cs="Arial"/>
          <w:snapToGrid/>
          <w:color w:val="auto"/>
          <w:szCs w:val="24"/>
        </w:rPr>
        <w:t xml:space="preserve">(a)(b) </w:t>
      </w:r>
    </w:p>
    <w:tbl>
      <w:tblPr>
        <w:tblStyle w:val="TableGrid"/>
        <w:tblW w:w="9923" w:type="dxa"/>
        <w:tblInd w:w="137" w:type="dxa"/>
        <w:tblLook w:val="04A0" w:firstRow="1" w:lastRow="0" w:firstColumn="1" w:lastColumn="0" w:noHBand="0" w:noVBand="1"/>
      </w:tblPr>
      <w:tblGrid>
        <w:gridCol w:w="3402"/>
        <w:gridCol w:w="3030"/>
        <w:gridCol w:w="3491"/>
      </w:tblGrid>
      <w:tr w:rsidR="00F15423" w:rsidRPr="008901A0" w:rsidTr="00F15423">
        <w:tc>
          <w:tcPr>
            <w:tcW w:w="3402"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Ref No.</w:t>
            </w:r>
          </w:p>
        </w:tc>
        <w:tc>
          <w:tcPr>
            <w:tcW w:w="3030"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 xml:space="preserve">Date renewed </w:t>
            </w:r>
          </w:p>
        </w:tc>
        <w:tc>
          <w:tcPr>
            <w:tcW w:w="3491" w:type="dxa"/>
          </w:tcPr>
          <w:p w:rsidR="00F15423" w:rsidRPr="008901A0" w:rsidRDefault="00F15423" w:rsidP="00015046">
            <w:pPr>
              <w:spacing w:before="100" w:beforeAutospacing="1" w:after="100" w:afterAutospacing="1"/>
              <w:rPr>
                <w:rFonts w:ascii="Arial" w:eastAsia="Calibri" w:hAnsi="Arial" w:cs="Arial"/>
                <w:b/>
                <w:bCs/>
                <w:snapToGrid/>
                <w:color w:val="auto"/>
                <w:szCs w:val="24"/>
              </w:rPr>
            </w:pPr>
            <w:r w:rsidRPr="008901A0">
              <w:rPr>
                <w:rFonts w:ascii="Arial" w:eastAsia="Calibri" w:hAnsi="Arial" w:cs="Arial"/>
                <w:b/>
                <w:bCs/>
                <w:snapToGrid/>
                <w:color w:val="auto"/>
                <w:szCs w:val="24"/>
              </w:rPr>
              <w:t>Period of renewal</w:t>
            </w:r>
          </w:p>
        </w:tc>
      </w:tr>
      <w:tr w:rsidR="00F15423" w:rsidRPr="008901A0" w:rsidTr="00F15423">
        <w:tc>
          <w:tcPr>
            <w:tcW w:w="3402"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FS 30/5/1/3/2/302 MP</w:t>
            </w:r>
          </w:p>
        </w:tc>
        <w:tc>
          <w:tcPr>
            <w:tcW w:w="3030"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renewal-26/04/2012 to 25/04/2013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renewal- 26/05/2014 to 25/05/2015</w:t>
            </w:r>
          </w:p>
          <w:p w:rsidR="00F15423" w:rsidRPr="008901A0" w:rsidRDefault="00F15423" w:rsidP="00015046">
            <w:pPr>
              <w:spacing w:before="100" w:beforeAutospacing="1" w:after="100" w:afterAutospacing="1"/>
              <w:rPr>
                <w:rFonts w:ascii="Arial" w:eastAsia="Calibri" w:hAnsi="Arial" w:cs="Arial"/>
                <w:bCs/>
                <w:snapToGrid/>
                <w:color w:val="auto"/>
                <w:szCs w:val="24"/>
              </w:rPr>
            </w:pPr>
          </w:p>
        </w:tc>
        <w:tc>
          <w:tcPr>
            <w:tcW w:w="3491"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renewal- 1 year</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 xml:space="preserve"> renewal- 1 year</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 xml:space="preserve"> renewal- still in process</w:t>
            </w:r>
          </w:p>
        </w:tc>
      </w:tr>
      <w:tr w:rsidR="00F15423" w:rsidRPr="008901A0" w:rsidTr="00F15423">
        <w:tc>
          <w:tcPr>
            <w:tcW w:w="3402" w:type="dxa"/>
          </w:tcPr>
          <w:p w:rsidR="00F15423" w:rsidRPr="008901A0" w:rsidRDefault="00F15423" w:rsidP="00015046">
            <w:pPr>
              <w:rPr>
                <w:rFonts w:ascii="Arial" w:hAnsi="Arial" w:cs="Arial"/>
                <w:bCs/>
                <w:szCs w:val="24"/>
              </w:rPr>
            </w:pPr>
            <w:r w:rsidRPr="008901A0">
              <w:rPr>
                <w:rFonts w:ascii="Arial" w:eastAsia="Calibri" w:hAnsi="Arial" w:cs="Arial"/>
                <w:bCs/>
                <w:snapToGrid/>
                <w:color w:val="auto"/>
                <w:szCs w:val="24"/>
              </w:rPr>
              <w:t>FS 30/5/1/3/2/303 MP</w:t>
            </w:r>
          </w:p>
        </w:tc>
        <w:tc>
          <w:tcPr>
            <w:tcW w:w="3030"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renewal-24/04/2012 to 23/04/2013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renewal- 26/05/2014 to 25/05/2015</w:t>
            </w:r>
          </w:p>
        </w:tc>
        <w:tc>
          <w:tcPr>
            <w:tcW w:w="3491"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renewal- 1 year</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 xml:space="preserve"> renewal- 1 year</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 xml:space="preserve"> renewal- still in process</w:t>
            </w:r>
          </w:p>
        </w:tc>
      </w:tr>
      <w:tr w:rsidR="00F15423" w:rsidRPr="008901A0" w:rsidTr="00F15423">
        <w:tc>
          <w:tcPr>
            <w:tcW w:w="3402" w:type="dxa"/>
          </w:tcPr>
          <w:p w:rsidR="00F15423" w:rsidRPr="008901A0" w:rsidRDefault="00F15423" w:rsidP="00015046">
            <w:pPr>
              <w:rPr>
                <w:rFonts w:ascii="Arial" w:hAnsi="Arial" w:cs="Arial"/>
                <w:bCs/>
                <w:szCs w:val="24"/>
              </w:rPr>
            </w:pPr>
            <w:r w:rsidRPr="008901A0">
              <w:rPr>
                <w:rFonts w:ascii="Arial" w:eastAsia="Calibri" w:hAnsi="Arial" w:cs="Arial"/>
                <w:bCs/>
                <w:snapToGrid/>
                <w:color w:val="auto"/>
                <w:szCs w:val="24"/>
              </w:rPr>
              <w:t>FS 30/5/1/3/2/304 MP</w:t>
            </w:r>
          </w:p>
        </w:tc>
        <w:tc>
          <w:tcPr>
            <w:tcW w:w="3030"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renewal- 17/04/2012 to 16/04/2013</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009A3E51">
              <w:rPr>
                <w:rFonts w:ascii="Arial" w:eastAsia="Calibri" w:hAnsi="Arial" w:cs="Arial"/>
                <w:bCs/>
                <w:snapToGrid/>
                <w:color w:val="auto"/>
                <w:szCs w:val="24"/>
              </w:rPr>
              <w:t>renewal-26/05/2014 to 25/04/201</w:t>
            </w:r>
          </w:p>
        </w:tc>
        <w:tc>
          <w:tcPr>
            <w:tcW w:w="3491" w:type="dxa"/>
          </w:tcPr>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1</w:t>
            </w:r>
            <w:r w:rsidRPr="008901A0">
              <w:rPr>
                <w:rFonts w:ascii="Arial" w:eastAsia="Calibri" w:hAnsi="Arial" w:cs="Arial"/>
                <w:bCs/>
                <w:snapToGrid/>
                <w:color w:val="auto"/>
                <w:szCs w:val="24"/>
                <w:vertAlign w:val="superscript"/>
              </w:rPr>
              <w:t>st</w:t>
            </w:r>
            <w:r w:rsidRPr="008901A0">
              <w:rPr>
                <w:rFonts w:ascii="Arial" w:eastAsia="Calibri" w:hAnsi="Arial" w:cs="Arial"/>
                <w:bCs/>
                <w:snapToGrid/>
                <w:color w:val="auto"/>
                <w:szCs w:val="24"/>
              </w:rPr>
              <w:t xml:space="preserve"> renewal- 1 year </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2</w:t>
            </w:r>
            <w:r w:rsidRPr="008901A0">
              <w:rPr>
                <w:rFonts w:ascii="Arial" w:eastAsia="Calibri" w:hAnsi="Arial" w:cs="Arial"/>
                <w:bCs/>
                <w:snapToGrid/>
                <w:color w:val="auto"/>
                <w:szCs w:val="24"/>
                <w:vertAlign w:val="superscript"/>
              </w:rPr>
              <w:t>nd</w:t>
            </w:r>
            <w:r w:rsidRPr="008901A0">
              <w:rPr>
                <w:rFonts w:ascii="Arial" w:eastAsia="Calibri" w:hAnsi="Arial" w:cs="Arial"/>
                <w:bCs/>
                <w:snapToGrid/>
                <w:color w:val="auto"/>
                <w:szCs w:val="24"/>
              </w:rPr>
              <w:t xml:space="preserve"> renewal- 1 year</w:t>
            </w:r>
          </w:p>
          <w:p w:rsidR="00F15423" w:rsidRPr="008901A0" w:rsidRDefault="00F15423" w:rsidP="00015046">
            <w:pPr>
              <w:spacing w:before="100" w:beforeAutospacing="1" w:after="100" w:afterAutospacing="1"/>
              <w:rPr>
                <w:rFonts w:ascii="Arial" w:eastAsia="Calibri" w:hAnsi="Arial" w:cs="Arial"/>
                <w:bCs/>
                <w:snapToGrid/>
                <w:color w:val="auto"/>
                <w:szCs w:val="24"/>
              </w:rPr>
            </w:pPr>
            <w:r w:rsidRPr="008901A0">
              <w:rPr>
                <w:rFonts w:ascii="Arial" w:eastAsia="Calibri" w:hAnsi="Arial" w:cs="Arial"/>
                <w:bCs/>
                <w:snapToGrid/>
                <w:color w:val="auto"/>
                <w:szCs w:val="24"/>
              </w:rPr>
              <w:t>3</w:t>
            </w:r>
            <w:r w:rsidRPr="008901A0">
              <w:rPr>
                <w:rFonts w:ascii="Arial" w:eastAsia="Calibri" w:hAnsi="Arial" w:cs="Arial"/>
                <w:bCs/>
                <w:snapToGrid/>
                <w:color w:val="auto"/>
                <w:szCs w:val="24"/>
                <w:vertAlign w:val="superscript"/>
              </w:rPr>
              <w:t>rd</w:t>
            </w:r>
            <w:r w:rsidRPr="008901A0">
              <w:rPr>
                <w:rFonts w:ascii="Arial" w:eastAsia="Calibri" w:hAnsi="Arial" w:cs="Arial"/>
                <w:bCs/>
                <w:snapToGrid/>
                <w:color w:val="auto"/>
                <w:szCs w:val="24"/>
              </w:rPr>
              <w:t xml:space="preserve"> renewal- still in process</w:t>
            </w:r>
          </w:p>
        </w:tc>
      </w:tr>
    </w:tbl>
    <w:p w:rsidR="00F15423" w:rsidRPr="008901A0" w:rsidRDefault="00F15423" w:rsidP="00F15423">
      <w:pPr>
        <w:spacing w:before="100" w:beforeAutospacing="1" w:after="100" w:afterAutospacing="1"/>
        <w:ind w:left="1440" w:hanging="629"/>
        <w:rPr>
          <w:rFonts w:ascii="Arial" w:eastAsia="Calibri" w:hAnsi="Arial" w:cs="Arial"/>
          <w:snapToGrid/>
          <w:color w:val="auto"/>
          <w:szCs w:val="24"/>
        </w:rPr>
      </w:pPr>
    </w:p>
    <w:p w:rsidR="00F15423" w:rsidRPr="008901A0" w:rsidRDefault="00F15423" w:rsidP="00F15423">
      <w:pPr>
        <w:spacing w:before="100" w:beforeAutospacing="1" w:after="100" w:afterAutospacing="1" w:line="360" w:lineRule="auto"/>
        <w:ind w:left="1440" w:hanging="629"/>
        <w:rPr>
          <w:rFonts w:ascii="Arial" w:eastAsia="Calibri" w:hAnsi="Arial" w:cs="Arial"/>
          <w:bCs/>
          <w:snapToGrid/>
          <w:color w:val="auto"/>
          <w:szCs w:val="24"/>
          <w:lang w:val="en-ZA"/>
        </w:rPr>
      </w:pPr>
      <w:r w:rsidRPr="008901A0">
        <w:rPr>
          <w:rFonts w:ascii="Arial" w:eastAsia="Calibri" w:hAnsi="Arial" w:cs="Arial"/>
          <w:snapToGrid/>
          <w:color w:val="auto"/>
          <w:szCs w:val="24"/>
          <w:lang w:val="en-ZA"/>
        </w:rPr>
        <w:t>(5)</w:t>
      </w:r>
      <w:r>
        <w:rPr>
          <w:rFonts w:ascii="Arial" w:eastAsia="Calibri" w:hAnsi="Arial" w:cs="Arial"/>
          <w:snapToGrid/>
          <w:color w:val="auto"/>
          <w:szCs w:val="24"/>
        </w:rPr>
        <w:tab/>
      </w:r>
      <w:r w:rsidR="00EA3D41">
        <w:rPr>
          <w:rFonts w:ascii="Arial" w:eastAsia="Calibri" w:hAnsi="Arial" w:cs="Arial"/>
          <w:bCs/>
          <w:snapToGrid/>
          <w:color w:val="auto"/>
          <w:szCs w:val="24"/>
          <w:lang w:val="en-ZA"/>
        </w:rPr>
        <w:t>The Department</w:t>
      </w:r>
      <w:r w:rsidRPr="008901A0">
        <w:rPr>
          <w:rFonts w:ascii="Arial" w:eastAsia="Calibri" w:hAnsi="Arial" w:cs="Arial"/>
          <w:bCs/>
          <w:snapToGrid/>
          <w:color w:val="auto"/>
          <w:szCs w:val="24"/>
          <w:lang w:val="en-ZA"/>
        </w:rPr>
        <w:t xml:space="preserve"> does not have jurisdiction over water use lice</w:t>
      </w:r>
      <w:r w:rsidR="00EA3D41">
        <w:rPr>
          <w:rFonts w:ascii="Arial" w:eastAsia="Calibri" w:hAnsi="Arial" w:cs="Arial"/>
          <w:bCs/>
          <w:snapToGrid/>
          <w:color w:val="auto"/>
          <w:szCs w:val="24"/>
          <w:lang w:val="en-ZA"/>
        </w:rPr>
        <w:t>nse applications however, the Department</w:t>
      </w:r>
      <w:r w:rsidRPr="008901A0">
        <w:rPr>
          <w:rFonts w:ascii="Arial" w:eastAsia="Calibri" w:hAnsi="Arial" w:cs="Arial"/>
          <w:bCs/>
          <w:snapToGrid/>
          <w:color w:val="auto"/>
          <w:szCs w:val="24"/>
          <w:lang w:val="en-ZA"/>
        </w:rPr>
        <w:t xml:space="preserve"> is required to consult the Department of Water and Sanitation regarding all mining and </w:t>
      </w:r>
      <w:r w:rsidR="00EA3D41">
        <w:rPr>
          <w:rFonts w:ascii="Arial" w:eastAsia="Calibri" w:hAnsi="Arial" w:cs="Arial"/>
          <w:bCs/>
          <w:snapToGrid/>
          <w:color w:val="auto"/>
          <w:szCs w:val="24"/>
          <w:lang w:val="en-ZA"/>
        </w:rPr>
        <w:t>prospecting applications. The Department</w:t>
      </w:r>
      <w:r w:rsidRPr="008901A0">
        <w:rPr>
          <w:rFonts w:ascii="Arial" w:eastAsia="Calibri" w:hAnsi="Arial" w:cs="Arial"/>
          <w:bCs/>
          <w:snapToGrid/>
          <w:color w:val="auto"/>
          <w:szCs w:val="24"/>
          <w:lang w:val="en-ZA"/>
        </w:rPr>
        <w:t xml:space="preserve"> consulted the Department of Water and Sanitation regarding the application by </w:t>
      </w:r>
      <w:proofErr w:type="spellStart"/>
      <w:r w:rsidRPr="008901A0">
        <w:rPr>
          <w:rFonts w:ascii="Arial" w:eastAsia="Calibri" w:hAnsi="Arial" w:cs="Arial"/>
          <w:bCs/>
          <w:snapToGrid/>
          <w:color w:val="auto"/>
          <w:szCs w:val="24"/>
          <w:lang w:val="en-ZA"/>
        </w:rPr>
        <w:t>Winnerspoint</w:t>
      </w:r>
      <w:proofErr w:type="spellEnd"/>
      <w:r w:rsidRPr="008901A0">
        <w:rPr>
          <w:rFonts w:ascii="Arial" w:eastAsia="Calibri" w:hAnsi="Arial" w:cs="Arial"/>
          <w:bCs/>
          <w:snapToGrid/>
          <w:color w:val="auto"/>
          <w:szCs w:val="24"/>
          <w:lang w:val="en-ZA"/>
        </w:rPr>
        <w:t xml:space="preserve"> 117 Trading (Pty) Ltd on the 26</w:t>
      </w:r>
      <w:r w:rsidRPr="008901A0">
        <w:rPr>
          <w:rFonts w:ascii="Arial" w:eastAsia="Calibri" w:hAnsi="Arial" w:cs="Arial"/>
          <w:bCs/>
          <w:snapToGrid/>
          <w:color w:val="auto"/>
          <w:szCs w:val="24"/>
          <w:vertAlign w:val="superscript"/>
          <w:lang w:val="en-ZA"/>
        </w:rPr>
        <w:t>th</w:t>
      </w:r>
      <w:r w:rsidRPr="008901A0">
        <w:rPr>
          <w:rFonts w:ascii="Arial" w:eastAsia="Calibri" w:hAnsi="Arial" w:cs="Arial"/>
          <w:bCs/>
          <w:snapToGrid/>
          <w:color w:val="auto"/>
          <w:szCs w:val="24"/>
          <w:lang w:val="en-ZA"/>
        </w:rPr>
        <w:t xml:space="preserve"> of October 2009, 10/09/2009 and 18/09/2009 respectively and it is also a legal condition to the approved </w:t>
      </w:r>
      <w:proofErr w:type="spellStart"/>
      <w:r w:rsidRPr="008901A0">
        <w:rPr>
          <w:rFonts w:ascii="Arial" w:eastAsia="Calibri" w:hAnsi="Arial" w:cs="Arial"/>
          <w:bCs/>
          <w:snapToGrid/>
          <w:color w:val="auto"/>
          <w:szCs w:val="24"/>
          <w:lang w:val="en-ZA"/>
        </w:rPr>
        <w:t>EMPr</w:t>
      </w:r>
      <w:proofErr w:type="spellEnd"/>
      <w:r w:rsidRPr="008901A0">
        <w:rPr>
          <w:rFonts w:ascii="Arial" w:eastAsia="Calibri" w:hAnsi="Arial" w:cs="Arial"/>
          <w:bCs/>
          <w:snapToGrid/>
          <w:color w:val="auto"/>
          <w:szCs w:val="24"/>
          <w:lang w:val="en-ZA"/>
        </w:rPr>
        <w:t xml:space="preserve"> that the holder must ensure that any water uses listed in terms of section 21 of NWA must get authorization from the Department of Water and Sanitation prior to the commencement of such activity.</w:t>
      </w: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15423">
      <w:headerReference w:type="default" r:id="rId7"/>
      <w:pgSz w:w="12240" w:h="15840"/>
      <w:pgMar w:top="1440" w:right="14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EC" w:rsidRDefault="003621EC" w:rsidP="0012321F">
      <w:r>
        <w:separator/>
      </w:r>
    </w:p>
  </w:endnote>
  <w:endnote w:type="continuationSeparator" w:id="0">
    <w:p w:rsidR="003621EC" w:rsidRDefault="003621EC"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EC" w:rsidRDefault="003621EC" w:rsidP="0012321F">
      <w:r>
        <w:separator/>
      </w:r>
    </w:p>
  </w:footnote>
  <w:footnote w:type="continuationSeparator" w:id="0">
    <w:p w:rsidR="003621EC" w:rsidRDefault="003621EC"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9" name="Picture 9"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EED2B7B"/>
    <w:multiLevelType w:val="hybridMultilevel"/>
    <w:tmpl w:val="9738E6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3"/>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0F7ACA"/>
    <w:rsid w:val="0012321F"/>
    <w:rsid w:val="00140786"/>
    <w:rsid w:val="00142115"/>
    <w:rsid w:val="00153858"/>
    <w:rsid w:val="00161355"/>
    <w:rsid w:val="001A6171"/>
    <w:rsid w:val="001C29FE"/>
    <w:rsid w:val="001D4A99"/>
    <w:rsid w:val="001F4B6F"/>
    <w:rsid w:val="002264FA"/>
    <w:rsid w:val="002312A6"/>
    <w:rsid w:val="00242027"/>
    <w:rsid w:val="00245861"/>
    <w:rsid w:val="0024652D"/>
    <w:rsid w:val="00250E00"/>
    <w:rsid w:val="002555DE"/>
    <w:rsid w:val="00270EB4"/>
    <w:rsid w:val="00271A0D"/>
    <w:rsid w:val="002803CB"/>
    <w:rsid w:val="002838E1"/>
    <w:rsid w:val="00294F5D"/>
    <w:rsid w:val="002B0515"/>
    <w:rsid w:val="002C4587"/>
    <w:rsid w:val="002D378D"/>
    <w:rsid w:val="002F32B6"/>
    <w:rsid w:val="003067FE"/>
    <w:rsid w:val="0031331C"/>
    <w:rsid w:val="00322C6A"/>
    <w:rsid w:val="0034091C"/>
    <w:rsid w:val="00342AA4"/>
    <w:rsid w:val="00343991"/>
    <w:rsid w:val="00360282"/>
    <w:rsid w:val="003621EC"/>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4420A"/>
    <w:rsid w:val="00453E03"/>
    <w:rsid w:val="004568DE"/>
    <w:rsid w:val="00481E65"/>
    <w:rsid w:val="004859C3"/>
    <w:rsid w:val="004A090B"/>
    <w:rsid w:val="004A1D94"/>
    <w:rsid w:val="004D7CCF"/>
    <w:rsid w:val="004F0568"/>
    <w:rsid w:val="004F252D"/>
    <w:rsid w:val="004F4DFF"/>
    <w:rsid w:val="0050339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A3E51"/>
    <w:rsid w:val="009C2715"/>
    <w:rsid w:val="009C7542"/>
    <w:rsid w:val="009D035E"/>
    <w:rsid w:val="009E7F84"/>
    <w:rsid w:val="009F5FF1"/>
    <w:rsid w:val="00A040D1"/>
    <w:rsid w:val="00A047B2"/>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1313C"/>
    <w:rsid w:val="00B23333"/>
    <w:rsid w:val="00B27BBA"/>
    <w:rsid w:val="00B4258D"/>
    <w:rsid w:val="00B42A7A"/>
    <w:rsid w:val="00B50242"/>
    <w:rsid w:val="00B56E60"/>
    <w:rsid w:val="00B81428"/>
    <w:rsid w:val="00B91B5B"/>
    <w:rsid w:val="00B95B9A"/>
    <w:rsid w:val="00BB434F"/>
    <w:rsid w:val="00BC1876"/>
    <w:rsid w:val="00BD43C4"/>
    <w:rsid w:val="00BD55E4"/>
    <w:rsid w:val="00BD58C0"/>
    <w:rsid w:val="00BF541B"/>
    <w:rsid w:val="00C04964"/>
    <w:rsid w:val="00C05847"/>
    <w:rsid w:val="00C05A5F"/>
    <w:rsid w:val="00C1782E"/>
    <w:rsid w:val="00C21927"/>
    <w:rsid w:val="00C30EC1"/>
    <w:rsid w:val="00C360D8"/>
    <w:rsid w:val="00C77CC9"/>
    <w:rsid w:val="00C8125C"/>
    <w:rsid w:val="00CB7801"/>
    <w:rsid w:val="00CC20AD"/>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1448"/>
    <w:rsid w:val="00E47E63"/>
    <w:rsid w:val="00E54818"/>
    <w:rsid w:val="00E677C4"/>
    <w:rsid w:val="00E71F77"/>
    <w:rsid w:val="00E86441"/>
    <w:rsid w:val="00EA3D41"/>
    <w:rsid w:val="00EA50FC"/>
    <w:rsid w:val="00EB6435"/>
    <w:rsid w:val="00ED2E43"/>
    <w:rsid w:val="00EE0A89"/>
    <w:rsid w:val="00EE24E4"/>
    <w:rsid w:val="00EF1F2B"/>
    <w:rsid w:val="00EF232F"/>
    <w:rsid w:val="00F04314"/>
    <w:rsid w:val="00F15423"/>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2017-03-10T06:30:00Z</cp:lastPrinted>
  <dcterms:created xsi:type="dcterms:W3CDTF">2017-11-06T10:47:00Z</dcterms:created>
  <dcterms:modified xsi:type="dcterms:W3CDTF">2017-11-06T10:47:00Z</dcterms:modified>
</cp:coreProperties>
</file>