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006F0" w:rsidRDefault="009006F0" w:rsidP="002561C9">
      <w:pPr>
        <w:outlineLvl w:val="0"/>
        <w:rPr>
          <w:rFonts w:ascii="Arial" w:hAnsi="Arial" w:cs="Arial"/>
          <w:sz w:val="20"/>
          <w:szCs w:val="20"/>
        </w:rPr>
      </w:pPr>
    </w:p>
    <w:p w:rsidR="00CF39DB" w:rsidRPr="005A7498" w:rsidRDefault="00CF39DB" w:rsidP="00CF39D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A7498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00382</w:t>
      </w:r>
    </w:p>
    <w:p w:rsidR="00CF39DB" w:rsidRPr="005A7498" w:rsidRDefault="00CF39DB" w:rsidP="00CF39D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A7498">
        <w:rPr>
          <w:rFonts w:ascii="Arial" w:hAnsi="Arial" w:cs="Arial"/>
          <w:b/>
          <w:lang w:val="en-GB"/>
        </w:rPr>
        <w:t>NATIONAL ASSEMBLY</w:t>
      </w:r>
    </w:p>
    <w:p w:rsidR="00CF39DB" w:rsidRPr="005A7498" w:rsidRDefault="00CF39DB" w:rsidP="00CF39D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F39DB" w:rsidRPr="005A7498" w:rsidRDefault="00CF39DB" w:rsidP="00CF39D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A7498">
        <w:rPr>
          <w:rFonts w:ascii="Arial" w:hAnsi="Arial" w:cs="Arial"/>
          <w:b/>
          <w:u w:val="single"/>
          <w:lang w:val="en-GB"/>
        </w:rPr>
        <w:t>FOR WRITTEN REPLY</w:t>
      </w:r>
    </w:p>
    <w:p w:rsidR="00CF39DB" w:rsidRPr="005A7498" w:rsidRDefault="00CF39DB" w:rsidP="00CF39D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F39DB" w:rsidRPr="005A7498" w:rsidRDefault="00CF39DB" w:rsidP="00CF39D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A7498">
        <w:rPr>
          <w:rFonts w:ascii="Arial" w:hAnsi="Arial" w:cs="Arial"/>
          <w:b/>
          <w:u w:val="single"/>
          <w:lang w:val="en-GB"/>
        </w:rPr>
        <w:t>QUESTION 3101</w:t>
      </w:r>
    </w:p>
    <w:p w:rsidR="00CF39DB" w:rsidRPr="005A7498" w:rsidRDefault="00CF39DB" w:rsidP="00CF39D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F39DB" w:rsidRPr="005A7498" w:rsidRDefault="00CF39DB" w:rsidP="00CF39D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A7498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CF39DB" w:rsidRPr="005A7498" w:rsidRDefault="00CF39DB" w:rsidP="00CF39DB">
      <w:pPr>
        <w:jc w:val="center"/>
        <w:rPr>
          <w:rFonts w:ascii="Arial" w:hAnsi="Arial" w:cs="Arial"/>
          <w:b/>
          <w:u w:val="single"/>
          <w:lang w:val="en-GB"/>
        </w:rPr>
      </w:pPr>
      <w:r w:rsidRPr="005A7498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CF39DB" w:rsidRDefault="00CF39DB" w:rsidP="00CF39DB">
      <w:pPr>
        <w:pStyle w:val="Default"/>
        <w:rPr>
          <w:rFonts w:ascii="Arial" w:hAnsi="Arial" w:cs="Arial"/>
          <w:b/>
          <w:bCs/>
        </w:rPr>
      </w:pPr>
    </w:p>
    <w:p w:rsidR="00CF39DB" w:rsidRPr="005A7498" w:rsidRDefault="00CF39DB" w:rsidP="00CF39DB">
      <w:pPr>
        <w:pStyle w:val="Default"/>
        <w:rPr>
          <w:rFonts w:ascii="Arial" w:hAnsi="Arial" w:cs="Arial"/>
        </w:rPr>
      </w:pPr>
      <w:r w:rsidRPr="005A7498">
        <w:rPr>
          <w:rFonts w:ascii="Arial" w:hAnsi="Arial" w:cs="Arial"/>
          <w:b/>
          <w:bCs/>
        </w:rPr>
        <w:t>3101. Ms J Edwards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CF39DB" w:rsidRDefault="00CF39DB" w:rsidP="00CF39DB">
      <w:pPr>
        <w:rPr>
          <w:rFonts w:ascii="Arial" w:hAnsi="Arial" w:cs="Arial"/>
        </w:rPr>
      </w:pPr>
    </w:p>
    <w:p w:rsidR="00CF39DB" w:rsidRDefault="00CF39DB" w:rsidP="00CF39DB">
      <w:pPr>
        <w:jc w:val="both"/>
        <w:rPr>
          <w:rFonts w:ascii="Arial" w:hAnsi="Arial" w:cs="Arial"/>
        </w:rPr>
      </w:pPr>
      <w:r w:rsidRPr="005A7498">
        <w:rPr>
          <w:rFonts w:ascii="Arial" w:hAnsi="Arial" w:cs="Arial"/>
        </w:rPr>
        <w:t xml:space="preserve">How many (a) analyses of soil and related materials, (b) analyses of ivory samples, (c) print and impressions comparisons, (d) analysis of explosive and propellant residues and (e) </w:t>
      </w:r>
      <w:proofErr w:type="spellStart"/>
      <w:r w:rsidRPr="005A7498">
        <w:rPr>
          <w:rFonts w:ascii="Arial" w:hAnsi="Arial" w:cs="Arial"/>
        </w:rPr>
        <w:t>specialised</w:t>
      </w:r>
      <w:proofErr w:type="spellEnd"/>
      <w:r w:rsidRPr="005A7498">
        <w:rPr>
          <w:rFonts w:ascii="Arial" w:hAnsi="Arial" w:cs="Arial"/>
        </w:rPr>
        <w:t xml:space="preserve"> forensic photograph sets were </w:t>
      </w:r>
      <w:proofErr w:type="spellStart"/>
      <w:r w:rsidRPr="005A7498">
        <w:rPr>
          <w:rFonts w:ascii="Arial" w:hAnsi="Arial" w:cs="Arial"/>
        </w:rPr>
        <w:t>finalised</w:t>
      </w:r>
      <w:proofErr w:type="spellEnd"/>
      <w:r w:rsidRPr="005A7498">
        <w:rPr>
          <w:rFonts w:ascii="Arial" w:hAnsi="Arial" w:cs="Arial"/>
        </w:rPr>
        <w:t xml:space="preserve"> by the Forensic Service Division of the SA Police Service (</w:t>
      </w:r>
      <w:proofErr w:type="spellStart"/>
      <w:r w:rsidRPr="005A7498">
        <w:rPr>
          <w:rFonts w:ascii="Arial" w:hAnsi="Arial" w:cs="Arial"/>
        </w:rPr>
        <w:t>i</w:t>
      </w:r>
      <w:proofErr w:type="spellEnd"/>
      <w:r w:rsidRPr="005A7498">
        <w:rPr>
          <w:rFonts w:ascii="Arial" w:hAnsi="Arial" w:cs="Arial"/>
        </w:rPr>
        <w:t xml:space="preserve">) in each of the past five financial years and (ii) since </w:t>
      </w:r>
      <w:r>
        <w:rPr>
          <w:rFonts w:ascii="Arial" w:hAnsi="Arial" w:cs="Arial"/>
        </w:rPr>
        <w:t>1 April 2017?</w:t>
      </w:r>
    </w:p>
    <w:p w:rsidR="00CF39DB" w:rsidRDefault="00CF39DB" w:rsidP="00CF39DB">
      <w:pPr>
        <w:jc w:val="right"/>
        <w:rPr>
          <w:rFonts w:ascii="Arial" w:hAnsi="Arial" w:cs="Arial"/>
        </w:rPr>
      </w:pPr>
      <w:r w:rsidRPr="005A7498">
        <w:rPr>
          <w:rFonts w:ascii="Arial" w:hAnsi="Arial" w:cs="Arial"/>
        </w:rPr>
        <w:t>NW3417E</w:t>
      </w:r>
    </w:p>
    <w:p w:rsidR="00CF39DB" w:rsidRDefault="00CF39DB" w:rsidP="00CF39DB">
      <w:pPr>
        <w:rPr>
          <w:rFonts w:ascii="Arial" w:hAnsi="Arial" w:cs="Arial"/>
        </w:rPr>
      </w:pPr>
      <w:r w:rsidRPr="005A7498">
        <w:rPr>
          <w:rFonts w:ascii="Arial" w:hAnsi="Arial" w:cs="Arial"/>
          <w:b/>
        </w:rPr>
        <w:t>REPLY:</w:t>
      </w:r>
    </w:p>
    <w:p w:rsidR="00CF39DB" w:rsidRDefault="00CF39DB" w:rsidP="00CF39DB">
      <w:pPr>
        <w:rPr>
          <w:rFonts w:ascii="Arial" w:hAnsi="Arial" w:cs="Arial"/>
        </w:rPr>
      </w:pPr>
    </w:p>
    <w:p w:rsidR="00CF39DB" w:rsidRPr="003A45D4" w:rsidRDefault="00CF39DB" w:rsidP="00CF39DB">
      <w:pPr>
        <w:rPr>
          <w:rFonts w:ascii="Arial" w:hAnsi="Arial" w:cs="Arial"/>
        </w:rPr>
      </w:pPr>
      <w:r>
        <w:rPr>
          <w:rFonts w:ascii="Arial" w:hAnsi="Arial" w:cs="Arial"/>
        </w:rPr>
        <w:t>(a)(b)(c)(d)(e)(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</w:p>
    <w:p w:rsidR="00CF39DB" w:rsidRDefault="00CF39DB" w:rsidP="00CF39DB">
      <w:pPr>
        <w:rPr>
          <w:rFonts w:ascii="Arial" w:hAnsi="Arial" w:cs="Arial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162"/>
        <w:gridCol w:w="1531"/>
      </w:tblGrid>
      <w:tr w:rsidR="00CF39DB" w:rsidTr="009C4A4D">
        <w:tc>
          <w:tcPr>
            <w:tcW w:w="2552" w:type="dxa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9DB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F39DB" w:rsidRPr="003A45D4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D4">
              <w:rPr>
                <w:rFonts w:ascii="Arial" w:hAnsi="Arial" w:cs="Arial"/>
                <w:b/>
                <w:sz w:val="20"/>
                <w:szCs w:val="20"/>
              </w:rPr>
              <w:t>2013/2014</w:t>
            </w:r>
          </w:p>
        </w:tc>
        <w:tc>
          <w:tcPr>
            <w:tcW w:w="1275" w:type="dxa"/>
          </w:tcPr>
          <w:p w:rsidR="00CF39DB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F39DB" w:rsidRPr="003A45D4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D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276" w:type="dxa"/>
          </w:tcPr>
          <w:p w:rsidR="00CF39DB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F39DB" w:rsidRPr="003A45D4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D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162" w:type="dxa"/>
          </w:tcPr>
          <w:p w:rsidR="00CF39DB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F39DB" w:rsidRPr="003A45D4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D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531" w:type="dxa"/>
          </w:tcPr>
          <w:p w:rsidR="00CF39DB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(ii) </w:t>
            </w:r>
          </w:p>
          <w:p w:rsidR="00CF39DB" w:rsidRPr="003A45D4" w:rsidRDefault="00CF39DB" w:rsidP="009C4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Since </w:t>
            </w:r>
            <w:r w:rsidRPr="003A45D4">
              <w:rPr>
                <w:rFonts w:ascii="Arial" w:hAnsi="Arial" w:cs="Arial"/>
                <w:b/>
                <w:sz w:val="20"/>
                <w:szCs w:val="20"/>
              </w:rPr>
              <w:t>1 April 2017</w:t>
            </w:r>
          </w:p>
        </w:tc>
      </w:tr>
      <w:tr w:rsidR="00CF39DB" w:rsidTr="009C4A4D">
        <w:tc>
          <w:tcPr>
            <w:tcW w:w="2552" w:type="dxa"/>
            <w:vAlign w:val="center"/>
          </w:tcPr>
          <w:p w:rsidR="00CF39DB" w:rsidRPr="003A45D4" w:rsidRDefault="00CF39DB" w:rsidP="009C4A4D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A</w:t>
            </w:r>
            <w:r w:rsidRPr="003A45D4">
              <w:rPr>
                <w:rFonts w:ascii="Arial" w:hAnsi="Arial" w:cs="Arial"/>
                <w:sz w:val="20"/>
                <w:szCs w:val="20"/>
              </w:rPr>
              <w:t>nalyses of soil and related materials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62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1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F39DB" w:rsidTr="009C4A4D">
        <w:tc>
          <w:tcPr>
            <w:tcW w:w="2552" w:type="dxa"/>
            <w:vAlign w:val="center"/>
          </w:tcPr>
          <w:p w:rsidR="00CF39DB" w:rsidRPr="003A45D4" w:rsidRDefault="00CF39DB" w:rsidP="009C4A4D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A45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A45D4">
              <w:rPr>
                <w:rFonts w:ascii="Arial" w:hAnsi="Arial" w:cs="Arial"/>
                <w:sz w:val="20"/>
                <w:szCs w:val="20"/>
              </w:rPr>
              <w:t>nalyses of ivory samples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F39DB" w:rsidTr="009C4A4D">
        <w:tc>
          <w:tcPr>
            <w:tcW w:w="2552" w:type="dxa"/>
            <w:vAlign w:val="center"/>
          </w:tcPr>
          <w:p w:rsidR="00CF39DB" w:rsidRPr="003A45D4" w:rsidRDefault="00CF39DB" w:rsidP="009C4A4D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 xml:space="preserve">(c)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</w:t>
            </w:r>
            <w:r w:rsidRPr="003A45D4">
              <w:rPr>
                <w:rFonts w:ascii="Arial" w:hAnsi="Arial" w:cs="Arial"/>
                <w:sz w:val="20"/>
                <w:szCs w:val="20"/>
              </w:rPr>
              <w:t>rint and impressions comparisons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39DB" w:rsidTr="009C4A4D">
        <w:tc>
          <w:tcPr>
            <w:tcW w:w="2552" w:type="dxa"/>
            <w:vAlign w:val="center"/>
          </w:tcPr>
          <w:p w:rsidR="00CF39DB" w:rsidRPr="003A45D4" w:rsidRDefault="00CF39DB" w:rsidP="009C4A4D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45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A45D4">
              <w:rPr>
                <w:rFonts w:ascii="Arial" w:hAnsi="Arial" w:cs="Arial"/>
                <w:sz w:val="20"/>
                <w:szCs w:val="20"/>
              </w:rPr>
              <w:t>nalysis of explosive and propellant residues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62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531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CF39DB" w:rsidTr="009C4A4D">
        <w:tc>
          <w:tcPr>
            <w:tcW w:w="2552" w:type="dxa"/>
            <w:vAlign w:val="center"/>
          </w:tcPr>
          <w:p w:rsidR="00CF39DB" w:rsidRPr="003A45D4" w:rsidRDefault="00CF39DB" w:rsidP="009C4A4D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lastRenderedPageBreak/>
              <w:t xml:space="preserve">(e)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S</w:t>
            </w:r>
            <w:r w:rsidRPr="003A45D4">
              <w:rPr>
                <w:rFonts w:ascii="Arial" w:hAnsi="Arial" w:cs="Arial"/>
                <w:sz w:val="20"/>
                <w:szCs w:val="20"/>
              </w:rPr>
              <w:t>pecialised forensic photograph sets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75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62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1" w:type="dxa"/>
            <w:vAlign w:val="center"/>
          </w:tcPr>
          <w:p w:rsidR="00CF39DB" w:rsidRPr="003A45D4" w:rsidRDefault="00CF39DB" w:rsidP="009C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D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CF39DB" w:rsidRDefault="00CF39DB" w:rsidP="00CF39DB">
      <w:pPr>
        <w:rPr>
          <w:rFonts w:ascii="Arial" w:hAnsi="Arial" w:cs="Arial"/>
        </w:rPr>
      </w:pPr>
    </w:p>
    <w:p w:rsidR="00CF39DB" w:rsidRDefault="00CF39DB" w:rsidP="00CF39DB">
      <w:pPr>
        <w:rPr>
          <w:rFonts w:ascii="Arial" w:hAnsi="Arial" w:cs="Arial"/>
        </w:rPr>
      </w:pPr>
    </w:p>
    <w:p w:rsidR="00CF39DB" w:rsidRDefault="00CF39DB" w:rsidP="00CF39DB">
      <w:pPr>
        <w:rPr>
          <w:rFonts w:ascii="Arial" w:hAnsi="Arial" w:cs="Arial"/>
        </w:rPr>
      </w:pPr>
    </w:p>
    <w:p w:rsidR="00CF39DB" w:rsidRDefault="00CF39DB" w:rsidP="00CF39DB">
      <w:pPr>
        <w:rPr>
          <w:rFonts w:ascii="Arial" w:hAnsi="Arial" w:cs="Arial"/>
        </w:rPr>
      </w:pPr>
    </w:p>
    <w:p w:rsidR="00CF39DB" w:rsidRDefault="00CF39DB" w:rsidP="00CF39DB">
      <w:pPr>
        <w:rPr>
          <w:rFonts w:ascii="Arial" w:hAnsi="Arial" w:cs="Arial"/>
        </w:rPr>
      </w:pPr>
    </w:p>
    <w:p w:rsidR="00CF39DB" w:rsidRPr="00397B0A" w:rsidRDefault="00CF39DB" w:rsidP="00CF39DB">
      <w:pPr>
        <w:rPr>
          <w:rFonts w:ascii="Arial" w:hAnsi="Arial" w:cs="Arial"/>
        </w:rPr>
      </w:pPr>
    </w:p>
    <w:p w:rsidR="00CF39DB" w:rsidRPr="00D155D8" w:rsidRDefault="00CF39DB" w:rsidP="00CF39DB">
      <w:pPr>
        <w:rPr>
          <w:rFonts w:ascii="Arial" w:hAnsi="Arial" w:cs="Arial"/>
        </w:rPr>
      </w:pPr>
      <w:bookmarkStart w:id="0" w:name="_GoBack"/>
      <w:bookmarkEnd w:id="0"/>
    </w:p>
    <w:p w:rsidR="00CF39DB" w:rsidRDefault="00CF39DB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CF39D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71" w:rsidRDefault="00C63971" w:rsidP="00020C8A">
      <w:r>
        <w:separator/>
      </w:r>
    </w:p>
  </w:endnote>
  <w:endnote w:type="continuationSeparator" w:id="0">
    <w:p w:rsidR="00C63971" w:rsidRDefault="00C6397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71" w:rsidRDefault="00C63971" w:rsidP="00020C8A">
      <w:r>
        <w:separator/>
      </w:r>
    </w:p>
  </w:footnote>
  <w:footnote w:type="continuationSeparator" w:id="0">
    <w:p w:rsidR="00C63971" w:rsidRDefault="00C6397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2E3E"/>
    <w:rsid w:val="00C046CD"/>
    <w:rsid w:val="00C304FB"/>
    <w:rsid w:val="00C35239"/>
    <w:rsid w:val="00C573BC"/>
    <w:rsid w:val="00C605B1"/>
    <w:rsid w:val="00C6397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2017-10-30T09:21:00Z</dcterms:created>
  <dcterms:modified xsi:type="dcterms:W3CDTF">2017-10-30T09:21:00Z</dcterms:modified>
</cp:coreProperties>
</file>