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BDE" w:rsidRPr="0001461E" w:rsidRDefault="004B5BDE">
      <w:pPr>
        <w:pStyle w:val="Heading1"/>
        <w:jc w:val="center"/>
        <w:rPr>
          <w:sz w:val="24"/>
          <w:u w:val="single"/>
        </w:rPr>
      </w:pPr>
      <w:r w:rsidRPr="0001461E">
        <w:rPr>
          <w:sz w:val="24"/>
          <w:u w:val="single"/>
        </w:rPr>
        <w:t>NATIONAL ASSEMBLY</w:t>
      </w:r>
    </w:p>
    <w:p w:rsidR="004B5BDE" w:rsidRPr="0001461E" w:rsidRDefault="004B5BDE">
      <w:pPr>
        <w:jc w:val="both"/>
        <w:rPr>
          <w:b/>
          <w:sz w:val="24"/>
          <w:u w:val="single"/>
        </w:rPr>
      </w:pPr>
    </w:p>
    <w:p w:rsidR="004B5BDE" w:rsidRPr="0001461E" w:rsidRDefault="004B5BDE">
      <w:pPr>
        <w:pStyle w:val="BodyText"/>
        <w:rPr>
          <w:b/>
          <w:bCs/>
          <w:sz w:val="24"/>
          <w:u w:val="single"/>
        </w:rPr>
      </w:pPr>
      <w:r w:rsidRPr="0001461E">
        <w:rPr>
          <w:b/>
          <w:bCs/>
          <w:sz w:val="24"/>
          <w:u w:val="single"/>
        </w:rPr>
        <w:t>FOR WRITTEN REPLY</w:t>
      </w:r>
    </w:p>
    <w:p w:rsidR="004B5BDE" w:rsidRPr="0001461E" w:rsidRDefault="004B5BDE">
      <w:pPr>
        <w:pStyle w:val="BodyText"/>
        <w:rPr>
          <w:b/>
          <w:bCs/>
          <w:sz w:val="24"/>
          <w:u w:val="single"/>
        </w:rPr>
      </w:pPr>
    </w:p>
    <w:p w:rsidR="004B5BDE" w:rsidRPr="0001461E" w:rsidRDefault="004B5BDE">
      <w:pPr>
        <w:pStyle w:val="BodyText"/>
        <w:rPr>
          <w:b/>
          <w:bCs/>
          <w:sz w:val="24"/>
          <w:u w:val="single"/>
        </w:rPr>
      </w:pPr>
      <w:r w:rsidRPr="0001461E">
        <w:rPr>
          <w:b/>
          <w:bCs/>
          <w:sz w:val="24"/>
          <w:u w:val="single"/>
        </w:rPr>
        <w:t xml:space="preserve">QUESTION NO. </w:t>
      </w:r>
      <w:r>
        <w:rPr>
          <w:b/>
          <w:bCs/>
          <w:sz w:val="24"/>
          <w:u w:val="single"/>
        </w:rPr>
        <w:t>3100</w:t>
      </w:r>
    </w:p>
    <w:p w:rsidR="004B5BDE" w:rsidRPr="0001461E" w:rsidRDefault="004B5BDE">
      <w:pPr>
        <w:pStyle w:val="BodyText"/>
        <w:rPr>
          <w:b/>
          <w:bCs/>
          <w:sz w:val="24"/>
          <w:u w:val="single"/>
        </w:rPr>
      </w:pPr>
    </w:p>
    <w:p w:rsidR="004B5BDE" w:rsidRPr="0001461E" w:rsidRDefault="004B5BDE">
      <w:pPr>
        <w:pStyle w:val="BodyText"/>
        <w:rPr>
          <w:b/>
          <w:bCs/>
          <w:sz w:val="24"/>
          <w:u w:val="single"/>
        </w:rPr>
      </w:pPr>
      <w:r w:rsidRPr="0001461E">
        <w:rPr>
          <w:b/>
          <w:bCs/>
          <w:sz w:val="24"/>
          <w:u w:val="single"/>
        </w:rPr>
        <w:t xml:space="preserve">DATE OF PUBLICATION IN INTERNAL QUESTION PAPER: </w:t>
      </w:r>
      <w:r>
        <w:rPr>
          <w:b/>
          <w:bCs/>
          <w:sz w:val="24"/>
          <w:u w:val="single"/>
        </w:rPr>
        <w:t xml:space="preserve">21 </w:t>
      </w:r>
      <w:r w:rsidRPr="0001461E">
        <w:rPr>
          <w:b/>
          <w:bCs/>
          <w:sz w:val="24"/>
          <w:u w:val="single"/>
        </w:rPr>
        <w:t xml:space="preserve">AUGUST 2015   </w:t>
      </w:r>
    </w:p>
    <w:p w:rsidR="004B5BDE" w:rsidRPr="0001461E" w:rsidRDefault="004B5BDE" w:rsidP="006664AE">
      <w:pPr>
        <w:spacing w:after="240"/>
        <w:rPr>
          <w:b/>
          <w:bCs/>
          <w:sz w:val="24"/>
          <w:u w:val="single"/>
        </w:rPr>
      </w:pPr>
      <w:r w:rsidRPr="0001461E">
        <w:rPr>
          <w:b/>
          <w:bCs/>
          <w:sz w:val="24"/>
          <w:u w:val="single"/>
        </w:rPr>
        <w:t xml:space="preserve">(INTERNAL QUESTION PAPER NO. </w:t>
      </w:r>
      <w:r>
        <w:rPr>
          <w:b/>
          <w:bCs/>
          <w:sz w:val="24"/>
          <w:u w:val="single"/>
        </w:rPr>
        <w:t>32</w:t>
      </w:r>
      <w:r w:rsidRPr="0001461E">
        <w:rPr>
          <w:b/>
          <w:bCs/>
          <w:sz w:val="24"/>
          <w:u w:val="single"/>
        </w:rPr>
        <w:t>)</w:t>
      </w:r>
    </w:p>
    <w:p w:rsidR="004B5BDE" w:rsidRPr="00D258AA" w:rsidRDefault="004B5BDE" w:rsidP="00D258AA">
      <w:pPr>
        <w:ind w:left="709" w:hanging="709"/>
        <w:jc w:val="both"/>
        <w:rPr>
          <w:b/>
          <w:sz w:val="24"/>
          <w:u w:val="single"/>
          <w:lang w:val="en-ZA"/>
        </w:rPr>
      </w:pPr>
      <w:r w:rsidRPr="00D258AA">
        <w:rPr>
          <w:b/>
          <w:sz w:val="24"/>
          <w:u w:val="single"/>
          <w:lang w:val="en-ZA"/>
        </w:rPr>
        <w:t>Mr T C R Walters (DA) to ask the Minister of Health:</w:t>
      </w:r>
    </w:p>
    <w:p w:rsidR="004B5BDE" w:rsidRPr="00D258AA" w:rsidRDefault="004B5BDE" w:rsidP="00D258AA">
      <w:pPr>
        <w:spacing w:before="100" w:beforeAutospacing="1" w:after="100" w:afterAutospacing="1"/>
        <w:ind w:left="709" w:hanging="709"/>
        <w:jc w:val="both"/>
        <w:rPr>
          <w:sz w:val="24"/>
          <w:lang w:val="en-ZA"/>
        </w:rPr>
      </w:pPr>
      <w:r w:rsidRPr="00D258AA">
        <w:rPr>
          <w:sz w:val="24"/>
          <w:lang w:val="en-ZA"/>
        </w:rPr>
        <w:t>(1)</w:t>
      </w:r>
      <w:r w:rsidRPr="00D258AA">
        <w:rPr>
          <w:sz w:val="24"/>
          <w:lang w:val="en-ZA"/>
        </w:rPr>
        <w:tab/>
        <w:t>With reference to his reply to question 442 on 26 May 2015, what is the maternal mortality ratio per 100 000 live births in each province in the (a) 2012-13, (b) 2013-14 and (c) 2014-15 financial years;</w:t>
      </w:r>
    </w:p>
    <w:p w:rsidR="004B5BDE" w:rsidRPr="00D258AA" w:rsidRDefault="004B5BDE" w:rsidP="00D258AA">
      <w:pPr>
        <w:pStyle w:val="p0"/>
        <w:spacing w:before="100" w:beforeAutospacing="1" w:after="100" w:afterAutospacing="1"/>
        <w:ind w:left="709" w:hanging="709"/>
        <w:jc w:val="both"/>
        <w:rPr>
          <w:rFonts w:ascii="Arial" w:hAnsi="Arial" w:cs="Arial"/>
        </w:rPr>
      </w:pPr>
      <w:r w:rsidRPr="00D258AA">
        <w:rPr>
          <w:rFonts w:ascii="Arial" w:hAnsi="Arial" w:cs="Arial"/>
        </w:rPr>
        <w:t>(2)</w:t>
      </w:r>
      <w:r w:rsidRPr="00D258AA">
        <w:rPr>
          <w:rFonts w:ascii="Arial" w:hAnsi="Arial" w:cs="Arial"/>
        </w:rPr>
        <w:tab/>
        <w:t xml:space="preserve">whether his department has identified the main causes of the high maternal mortality </w:t>
      </w:r>
      <w:proofErr w:type="gramStart"/>
      <w:r w:rsidRPr="00D258AA">
        <w:rPr>
          <w:rFonts w:ascii="Arial" w:hAnsi="Arial" w:cs="Arial"/>
        </w:rPr>
        <w:t>ratio</w:t>
      </w:r>
      <w:proofErr w:type="gramEnd"/>
      <w:r w:rsidRPr="00D258AA">
        <w:rPr>
          <w:rFonts w:ascii="Arial" w:hAnsi="Arial" w:cs="Arial"/>
        </w:rPr>
        <w:t>; if not, why not; if so, what (a) are the relevant details and (b) steps has he taken to address the main causes since 1 June 2014?</w:t>
      </w:r>
    </w:p>
    <w:p w:rsidR="004B5BDE" w:rsidRDefault="004B5BDE" w:rsidP="00366E06">
      <w:pPr>
        <w:pStyle w:val="Heading6"/>
        <w:tabs>
          <w:tab w:val="clear" w:pos="660"/>
          <w:tab w:val="clear" w:pos="864"/>
          <w:tab w:val="clear" w:pos="1440"/>
        </w:tabs>
        <w:ind w:left="0" w:firstLine="0"/>
        <w:rPr>
          <w:u w:val="single"/>
        </w:rPr>
      </w:pPr>
      <w:r>
        <w:rPr>
          <w:color w:val="000000"/>
        </w:rPr>
        <w:t>NW3641E</w:t>
      </w:r>
      <w:r>
        <w:rPr>
          <w:color w:val="000000"/>
          <w:szCs w:val="20"/>
        </w:rPr>
        <w:t xml:space="preserve"> </w:t>
      </w:r>
    </w:p>
    <w:p w:rsidR="004B5BDE" w:rsidRPr="0001461E" w:rsidRDefault="004B5BDE" w:rsidP="00C41194">
      <w:pPr>
        <w:rPr>
          <w:b/>
          <w:bCs/>
          <w:sz w:val="24"/>
          <w:u w:val="single"/>
          <w:lang w:val="en-US"/>
        </w:rPr>
      </w:pPr>
      <w:r w:rsidRPr="0001461E">
        <w:rPr>
          <w:b/>
          <w:bCs/>
          <w:sz w:val="24"/>
          <w:u w:val="single"/>
          <w:lang w:val="en-US"/>
        </w:rPr>
        <w:t>REPLY:</w:t>
      </w:r>
    </w:p>
    <w:p w:rsidR="004B5BDE" w:rsidRPr="0001461E" w:rsidRDefault="004B5BDE" w:rsidP="00357A10">
      <w:pPr>
        <w:pStyle w:val="BodyText"/>
        <w:rPr>
          <w:sz w:val="24"/>
          <w:lang w:val="en-GB"/>
        </w:rPr>
      </w:pPr>
    </w:p>
    <w:p w:rsidR="004B5BDE" w:rsidRDefault="004B5BDE" w:rsidP="00257FFE">
      <w:pPr>
        <w:pStyle w:val="ListParagraph"/>
        <w:numPr>
          <w:ilvl w:val="0"/>
          <w:numId w:val="41"/>
        </w:numPr>
        <w:ind w:left="1418" w:hanging="1418"/>
        <w:jc w:val="both"/>
        <w:rPr>
          <w:b/>
          <w:sz w:val="24"/>
        </w:rPr>
      </w:pPr>
      <w:r>
        <w:rPr>
          <w:sz w:val="24"/>
        </w:rPr>
        <w:t>(a)-(c)</w:t>
      </w:r>
      <w:r>
        <w:rPr>
          <w:sz w:val="24"/>
        </w:rPr>
        <w:tab/>
      </w:r>
      <w:r w:rsidRPr="003F3372">
        <w:rPr>
          <w:sz w:val="24"/>
        </w:rPr>
        <w:t xml:space="preserve">The latest data for </w:t>
      </w:r>
      <w:r w:rsidRPr="003F3372">
        <w:rPr>
          <w:i/>
          <w:sz w:val="24"/>
        </w:rPr>
        <w:t>maternal mortality ratio</w:t>
      </w:r>
      <w:r w:rsidRPr="003F3372">
        <w:rPr>
          <w:sz w:val="24"/>
        </w:rPr>
        <w:t xml:space="preserve"> was published in 2013, </w:t>
      </w:r>
      <w:r>
        <w:rPr>
          <w:sz w:val="24"/>
        </w:rPr>
        <w:t xml:space="preserve">by the </w:t>
      </w:r>
      <w:r w:rsidRPr="003F3372">
        <w:rPr>
          <w:sz w:val="24"/>
        </w:rPr>
        <w:t>Medical Research Council</w:t>
      </w:r>
      <w:r>
        <w:rPr>
          <w:sz w:val="24"/>
        </w:rPr>
        <w:t xml:space="preserve"> in the </w:t>
      </w:r>
      <w:r w:rsidRPr="003F3372">
        <w:rPr>
          <w:sz w:val="24"/>
        </w:rPr>
        <w:t xml:space="preserve">Rapid Mortality Surveillance </w:t>
      </w:r>
      <w:r>
        <w:rPr>
          <w:sz w:val="24"/>
        </w:rPr>
        <w:t>R</w:t>
      </w:r>
      <w:r w:rsidRPr="003F3372">
        <w:rPr>
          <w:sz w:val="24"/>
        </w:rPr>
        <w:t xml:space="preserve">eport.  The maternal mortality ratio in 2011 was </w:t>
      </w:r>
      <w:r>
        <w:rPr>
          <w:sz w:val="24"/>
        </w:rPr>
        <w:t xml:space="preserve">estimated to be </w:t>
      </w:r>
      <w:r w:rsidRPr="003F3372">
        <w:rPr>
          <w:sz w:val="24"/>
        </w:rPr>
        <w:t xml:space="preserve">197 per 100,000 live births. </w:t>
      </w:r>
    </w:p>
    <w:p w:rsidR="004B5BDE" w:rsidRDefault="004B5BDE" w:rsidP="00257FFE">
      <w:pPr>
        <w:pStyle w:val="ListParagraph"/>
        <w:ind w:left="1418"/>
        <w:jc w:val="both"/>
        <w:rPr>
          <w:b/>
          <w:sz w:val="24"/>
        </w:rPr>
      </w:pPr>
    </w:p>
    <w:p w:rsidR="004B5BDE" w:rsidRDefault="004B5BDE" w:rsidP="00257FFE">
      <w:pPr>
        <w:pStyle w:val="ListParagraph"/>
        <w:ind w:left="1418"/>
        <w:jc w:val="both"/>
        <w:rPr>
          <w:sz w:val="24"/>
        </w:rPr>
      </w:pPr>
      <w:r w:rsidRPr="00257FFE">
        <w:rPr>
          <w:sz w:val="24"/>
        </w:rPr>
        <w:t>The National Committee on Confidential Enquiries into Maternal Deaths monitors maternal deaths that occur within health facilities.  The most recent data from this Committee is reflected below.</w:t>
      </w:r>
    </w:p>
    <w:p w:rsidR="004B5BDE" w:rsidRPr="00257FFE" w:rsidRDefault="004B5BDE" w:rsidP="00257FFE">
      <w:pPr>
        <w:pStyle w:val="ListParagraph"/>
        <w:ind w:left="1418"/>
        <w:jc w:val="both"/>
        <w:rPr>
          <w:b/>
          <w:sz w:val="24"/>
        </w:rPr>
      </w:pPr>
    </w:p>
    <w:p w:rsidR="004B5BDE" w:rsidRPr="00257FFE" w:rsidRDefault="004B5BDE" w:rsidP="00257FFE">
      <w:pPr>
        <w:ind w:left="1134" w:firstLine="284"/>
        <w:rPr>
          <w:b/>
          <w:szCs w:val="22"/>
        </w:rPr>
      </w:pPr>
      <w:r w:rsidRPr="00257FFE">
        <w:rPr>
          <w:b/>
          <w:szCs w:val="22"/>
        </w:rPr>
        <w:t xml:space="preserve">Institutional Maternal Mortality Ratio </w:t>
      </w:r>
      <w:bookmarkStart w:id="0" w:name="_GoBack"/>
      <w:bookmarkEnd w:id="0"/>
      <w:r w:rsidRPr="00257FFE">
        <w:rPr>
          <w:b/>
          <w:szCs w:val="22"/>
        </w:rPr>
        <w:t>(Saving Mothers report 2011-2013)</w:t>
      </w:r>
    </w:p>
    <w:tbl>
      <w:tblPr>
        <w:tblW w:w="10457" w:type="dxa"/>
        <w:tblInd w:w="93" w:type="dxa"/>
        <w:tblLook w:val="00A0"/>
      </w:tblPr>
      <w:tblGrid>
        <w:gridCol w:w="1433"/>
        <w:gridCol w:w="2693"/>
        <w:gridCol w:w="1985"/>
        <w:gridCol w:w="2126"/>
        <w:gridCol w:w="1984"/>
        <w:gridCol w:w="236"/>
      </w:tblGrid>
      <w:tr w:rsidR="004B5BDE" w:rsidRPr="003F3372" w:rsidTr="00257FFE">
        <w:trPr>
          <w:trHeight w:val="315"/>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single" w:sz="4" w:space="0" w:color="auto"/>
              <w:left w:val="single" w:sz="4" w:space="0" w:color="auto"/>
              <w:bottom w:val="single" w:sz="4" w:space="0" w:color="auto"/>
              <w:right w:val="single" w:sz="4" w:space="0" w:color="auto"/>
            </w:tcBorders>
            <w:noWrap/>
            <w:vAlign w:val="bottom"/>
          </w:tcPr>
          <w:p w:rsidR="004B5BDE" w:rsidRPr="003F3372" w:rsidRDefault="004B5BDE" w:rsidP="00E67A45">
            <w:pPr>
              <w:jc w:val="center"/>
              <w:rPr>
                <w:b/>
                <w:bCs/>
                <w:color w:val="000000"/>
                <w:sz w:val="24"/>
              </w:rPr>
            </w:pPr>
            <w:r w:rsidRPr="003F3372">
              <w:rPr>
                <w:b/>
                <w:bCs/>
                <w:color w:val="000000"/>
                <w:sz w:val="24"/>
              </w:rPr>
              <w:t xml:space="preserve">PROVINCE </w:t>
            </w:r>
          </w:p>
        </w:tc>
        <w:tc>
          <w:tcPr>
            <w:tcW w:w="1985" w:type="dxa"/>
            <w:tcBorders>
              <w:top w:val="single" w:sz="4" w:space="0" w:color="auto"/>
              <w:left w:val="nil"/>
              <w:bottom w:val="single" w:sz="4" w:space="0" w:color="auto"/>
              <w:right w:val="single" w:sz="4" w:space="0" w:color="auto"/>
            </w:tcBorders>
            <w:noWrap/>
            <w:vAlign w:val="bottom"/>
          </w:tcPr>
          <w:p w:rsidR="004B5BDE" w:rsidRPr="003F3372" w:rsidRDefault="004B5BDE" w:rsidP="00E67A45">
            <w:pPr>
              <w:jc w:val="center"/>
              <w:rPr>
                <w:b/>
                <w:bCs/>
                <w:color w:val="000000"/>
                <w:sz w:val="24"/>
              </w:rPr>
            </w:pPr>
            <w:r w:rsidRPr="003F3372">
              <w:rPr>
                <w:b/>
                <w:bCs/>
                <w:color w:val="000000"/>
                <w:sz w:val="24"/>
              </w:rPr>
              <w:t>2011</w:t>
            </w:r>
          </w:p>
        </w:tc>
        <w:tc>
          <w:tcPr>
            <w:tcW w:w="2126" w:type="dxa"/>
            <w:tcBorders>
              <w:top w:val="single" w:sz="4" w:space="0" w:color="auto"/>
              <w:left w:val="nil"/>
              <w:bottom w:val="single" w:sz="4" w:space="0" w:color="auto"/>
              <w:right w:val="single" w:sz="4" w:space="0" w:color="auto"/>
            </w:tcBorders>
            <w:noWrap/>
            <w:vAlign w:val="bottom"/>
          </w:tcPr>
          <w:p w:rsidR="004B5BDE" w:rsidRPr="003F3372" w:rsidRDefault="004B5BDE" w:rsidP="00E67A45">
            <w:pPr>
              <w:jc w:val="center"/>
              <w:rPr>
                <w:b/>
                <w:bCs/>
                <w:color w:val="000000"/>
                <w:sz w:val="24"/>
              </w:rPr>
            </w:pPr>
            <w:r w:rsidRPr="003F3372">
              <w:rPr>
                <w:b/>
                <w:bCs/>
                <w:color w:val="000000"/>
                <w:sz w:val="24"/>
              </w:rPr>
              <w:t>2012</w:t>
            </w:r>
          </w:p>
        </w:tc>
        <w:tc>
          <w:tcPr>
            <w:tcW w:w="1984" w:type="dxa"/>
            <w:tcBorders>
              <w:top w:val="single" w:sz="4" w:space="0" w:color="auto"/>
              <w:left w:val="nil"/>
              <w:bottom w:val="single" w:sz="4" w:space="0" w:color="auto"/>
              <w:right w:val="single" w:sz="4" w:space="0" w:color="auto"/>
            </w:tcBorders>
            <w:noWrap/>
            <w:vAlign w:val="bottom"/>
          </w:tcPr>
          <w:p w:rsidR="004B5BDE" w:rsidRPr="003F3372" w:rsidRDefault="004B5BDE" w:rsidP="00E67A45">
            <w:pPr>
              <w:jc w:val="center"/>
              <w:rPr>
                <w:b/>
                <w:bCs/>
                <w:color w:val="000000"/>
                <w:sz w:val="24"/>
              </w:rPr>
            </w:pPr>
            <w:r w:rsidRPr="003F3372">
              <w:rPr>
                <w:b/>
                <w:bCs/>
                <w:color w:val="000000"/>
                <w:sz w:val="24"/>
              </w:rPr>
              <w:t>2013</w:t>
            </w: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r w:rsidR="004B5BDE" w:rsidRPr="003F3372" w:rsidTr="00257FFE">
        <w:trPr>
          <w:trHeight w:val="300"/>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nil"/>
              <w:left w:val="single" w:sz="4" w:space="0" w:color="auto"/>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Eastern Cape</w:t>
            </w:r>
          </w:p>
        </w:tc>
        <w:tc>
          <w:tcPr>
            <w:tcW w:w="1985"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164.74</w:t>
            </w:r>
          </w:p>
        </w:tc>
        <w:tc>
          <w:tcPr>
            <w:tcW w:w="2126"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153.71</w:t>
            </w:r>
          </w:p>
        </w:tc>
        <w:tc>
          <w:tcPr>
            <w:tcW w:w="1984"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172.73</w:t>
            </w: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r w:rsidR="004B5BDE" w:rsidRPr="003F3372" w:rsidTr="00257FFE">
        <w:trPr>
          <w:trHeight w:val="300"/>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nil"/>
              <w:left w:val="single" w:sz="4" w:space="0" w:color="auto"/>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 xml:space="preserve">Free State </w:t>
            </w:r>
          </w:p>
        </w:tc>
        <w:tc>
          <w:tcPr>
            <w:tcW w:w="1985"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246.84</w:t>
            </w:r>
          </w:p>
        </w:tc>
        <w:tc>
          <w:tcPr>
            <w:tcW w:w="2126"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149.34</w:t>
            </w:r>
          </w:p>
        </w:tc>
        <w:tc>
          <w:tcPr>
            <w:tcW w:w="1984"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185.08</w:t>
            </w: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r w:rsidR="004B5BDE" w:rsidRPr="003F3372" w:rsidTr="00257FFE">
        <w:trPr>
          <w:trHeight w:val="300"/>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nil"/>
              <w:left w:val="single" w:sz="4" w:space="0" w:color="auto"/>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 xml:space="preserve">Gauteng </w:t>
            </w:r>
          </w:p>
        </w:tc>
        <w:tc>
          <w:tcPr>
            <w:tcW w:w="1985"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136.44</w:t>
            </w:r>
          </w:p>
        </w:tc>
        <w:tc>
          <w:tcPr>
            <w:tcW w:w="2126"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163.67</w:t>
            </w:r>
          </w:p>
        </w:tc>
        <w:tc>
          <w:tcPr>
            <w:tcW w:w="1984"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114.99</w:t>
            </w: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r w:rsidR="004B5BDE" w:rsidRPr="003F3372" w:rsidTr="00257FFE">
        <w:trPr>
          <w:trHeight w:val="300"/>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nil"/>
              <w:left w:val="single" w:sz="4" w:space="0" w:color="auto"/>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 xml:space="preserve">KwaZulu-Natal </w:t>
            </w:r>
          </w:p>
        </w:tc>
        <w:tc>
          <w:tcPr>
            <w:tcW w:w="1985"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197.60</w:t>
            </w:r>
          </w:p>
        </w:tc>
        <w:tc>
          <w:tcPr>
            <w:tcW w:w="2126"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170.19</w:t>
            </w:r>
          </w:p>
        </w:tc>
        <w:tc>
          <w:tcPr>
            <w:tcW w:w="1984"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146.54</w:t>
            </w: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r w:rsidR="004B5BDE" w:rsidRPr="003F3372" w:rsidTr="00257FFE">
        <w:trPr>
          <w:trHeight w:val="300"/>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nil"/>
              <w:left w:val="single" w:sz="4" w:space="0" w:color="auto"/>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Limpopo</w:t>
            </w:r>
          </w:p>
        </w:tc>
        <w:tc>
          <w:tcPr>
            <w:tcW w:w="1985"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196.40</w:t>
            </w:r>
          </w:p>
        </w:tc>
        <w:tc>
          <w:tcPr>
            <w:tcW w:w="2126"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192.89</w:t>
            </w:r>
          </w:p>
        </w:tc>
        <w:tc>
          <w:tcPr>
            <w:tcW w:w="1984"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201.21</w:t>
            </w: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r w:rsidR="004B5BDE" w:rsidRPr="003F3372" w:rsidTr="00257FFE">
        <w:trPr>
          <w:trHeight w:val="300"/>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nil"/>
              <w:left w:val="single" w:sz="4" w:space="0" w:color="auto"/>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 xml:space="preserve">Mpumalanga </w:t>
            </w:r>
          </w:p>
        </w:tc>
        <w:tc>
          <w:tcPr>
            <w:tcW w:w="1985"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199.74</w:t>
            </w:r>
          </w:p>
        </w:tc>
        <w:tc>
          <w:tcPr>
            <w:tcW w:w="2126"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177.39</w:t>
            </w:r>
          </w:p>
        </w:tc>
        <w:tc>
          <w:tcPr>
            <w:tcW w:w="1984"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150.25</w:t>
            </w: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r w:rsidR="004B5BDE" w:rsidRPr="003F3372" w:rsidTr="00257FFE">
        <w:trPr>
          <w:trHeight w:val="300"/>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nil"/>
              <w:left w:val="single" w:sz="4" w:space="0" w:color="auto"/>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North West</w:t>
            </w:r>
          </w:p>
        </w:tc>
        <w:tc>
          <w:tcPr>
            <w:tcW w:w="1985"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173.05</w:t>
            </w:r>
          </w:p>
        </w:tc>
        <w:tc>
          <w:tcPr>
            <w:tcW w:w="2126"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164.80</w:t>
            </w:r>
          </w:p>
        </w:tc>
        <w:tc>
          <w:tcPr>
            <w:tcW w:w="1984"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168.48</w:t>
            </w: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r w:rsidR="004B5BDE" w:rsidRPr="003F3372" w:rsidTr="00257FFE">
        <w:trPr>
          <w:trHeight w:val="300"/>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nil"/>
              <w:left w:val="single" w:sz="4" w:space="0" w:color="auto"/>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 xml:space="preserve">North West </w:t>
            </w:r>
          </w:p>
        </w:tc>
        <w:tc>
          <w:tcPr>
            <w:tcW w:w="1985"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193.62</w:t>
            </w:r>
          </w:p>
        </w:tc>
        <w:tc>
          <w:tcPr>
            <w:tcW w:w="2126"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166.53</w:t>
            </w:r>
          </w:p>
        </w:tc>
        <w:tc>
          <w:tcPr>
            <w:tcW w:w="1984" w:type="dxa"/>
            <w:tcBorders>
              <w:top w:val="nil"/>
              <w:left w:val="nil"/>
              <w:bottom w:val="single" w:sz="4" w:space="0" w:color="auto"/>
              <w:right w:val="single" w:sz="4" w:space="0" w:color="auto"/>
            </w:tcBorders>
            <w:noWrap/>
            <w:vAlign w:val="bottom"/>
          </w:tcPr>
          <w:p w:rsidR="004B5BDE" w:rsidRPr="003F3372" w:rsidRDefault="004B5BDE" w:rsidP="00E67A45">
            <w:pPr>
              <w:rPr>
                <w:color w:val="000000"/>
                <w:sz w:val="24"/>
              </w:rPr>
            </w:pPr>
            <w:r w:rsidRPr="003F3372">
              <w:rPr>
                <w:color w:val="000000"/>
                <w:sz w:val="24"/>
              </w:rPr>
              <w:t>158.32</w:t>
            </w: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r w:rsidR="004B5BDE" w:rsidRPr="003F3372" w:rsidTr="00257FFE">
        <w:trPr>
          <w:trHeight w:val="300"/>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nil"/>
              <w:left w:val="single" w:sz="4" w:space="0" w:color="auto"/>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 xml:space="preserve">Western Cape </w:t>
            </w:r>
          </w:p>
        </w:tc>
        <w:tc>
          <w:tcPr>
            <w:tcW w:w="1985"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62.64</w:t>
            </w:r>
          </w:p>
        </w:tc>
        <w:tc>
          <w:tcPr>
            <w:tcW w:w="2126"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81.81</w:t>
            </w:r>
          </w:p>
        </w:tc>
        <w:tc>
          <w:tcPr>
            <w:tcW w:w="1984" w:type="dxa"/>
            <w:tcBorders>
              <w:top w:val="nil"/>
              <w:left w:val="nil"/>
              <w:bottom w:val="single" w:sz="4" w:space="0" w:color="auto"/>
              <w:right w:val="single" w:sz="4" w:space="0" w:color="auto"/>
            </w:tcBorders>
            <w:shd w:val="clear" w:color="000000" w:fill="F2F2F2"/>
            <w:noWrap/>
            <w:vAlign w:val="bottom"/>
          </w:tcPr>
          <w:p w:rsidR="004B5BDE" w:rsidRPr="003F3372" w:rsidRDefault="004B5BDE" w:rsidP="00E67A45">
            <w:pPr>
              <w:rPr>
                <w:color w:val="000000"/>
                <w:sz w:val="24"/>
              </w:rPr>
            </w:pPr>
            <w:r w:rsidRPr="003F3372">
              <w:rPr>
                <w:color w:val="000000"/>
                <w:sz w:val="24"/>
              </w:rPr>
              <w:t>83.91</w:t>
            </w: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r w:rsidR="004B5BDE" w:rsidRPr="003F3372" w:rsidTr="00257FFE">
        <w:trPr>
          <w:trHeight w:val="315"/>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nil"/>
              <w:left w:val="single" w:sz="4" w:space="0" w:color="auto"/>
              <w:bottom w:val="single" w:sz="4" w:space="0" w:color="auto"/>
              <w:right w:val="single" w:sz="4" w:space="0" w:color="auto"/>
            </w:tcBorders>
            <w:noWrap/>
            <w:vAlign w:val="bottom"/>
          </w:tcPr>
          <w:p w:rsidR="004B5BDE" w:rsidRPr="003F3372" w:rsidRDefault="004B5BDE" w:rsidP="00E67A45">
            <w:pPr>
              <w:rPr>
                <w:b/>
                <w:bCs/>
                <w:color w:val="000000"/>
                <w:sz w:val="24"/>
              </w:rPr>
            </w:pPr>
            <w:r w:rsidRPr="003F3372">
              <w:rPr>
                <w:b/>
                <w:bCs/>
                <w:color w:val="000000"/>
                <w:sz w:val="24"/>
              </w:rPr>
              <w:t xml:space="preserve">South Africa </w:t>
            </w:r>
          </w:p>
        </w:tc>
        <w:tc>
          <w:tcPr>
            <w:tcW w:w="1985" w:type="dxa"/>
            <w:tcBorders>
              <w:top w:val="nil"/>
              <w:left w:val="nil"/>
              <w:bottom w:val="single" w:sz="4" w:space="0" w:color="auto"/>
              <w:right w:val="single" w:sz="4" w:space="0" w:color="auto"/>
            </w:tcBorders>
            <w:noWrap/>
            <w:vAlign w:val="bottom"/>
          </w:tcPr>
          <w:p w:rsidR="004B5BDE" w:rsidRPr="003F3372" w:rsidRDefault="004B5BDE" w:rsidP="00E67A45">
            <w:pPr>
              <w:rPr>
                <w:b/>
                <w:bCs/>
                <w:color w:val="000000"/>
                <w:sz w:val="24"/>
              </w:rPr>
            </w:pPr>
            <w:r w:rsidRPr="003F3372">
              <w:rPr>
                <w:b/>
                <w:bCs/>
                <w:color w:val="000000"/>
                <w:sz w:val="24"/>
              </w:rPr>
              <w:t>174.56</w:t>
            </w:r>
          </w:p>
        </w:tc>
        <w:tc>
          <w:tcPr>
            <w:tcW w:w="2126" w:type="dxa"/>
            <w:tcBorders>
              <w:top w:val="nil"/>
              <w:left w:val="nil"/>
              <w:bottom w:val="single" w:sz="4" w:space="0" w:color="auto"/>
              <w:right w:val="single" w:sz="4" w:space="0" w:color="auto"/>
            </w:tcBorders>
            <w:noWrap/>
            <w:vAlign w:val="bottom"/>
          </w:tcPr>
          <w:p w:rsidR="004B5BDE" w:rsidRPr="003F3372" w:rsidRDefault="004B5BDE" w:rsidP="00E67A45">
            <w:pPr>
              <w:rPr>
                <w:b/>
                <w:bCs/>
                <w:color w:val="000000"/>
                <w:sz w:val="24"/>
              </w:rPr>
            </w:pPr>
            <w:r w:rsidRPr="003F3372">
              <w:rPr>
                <w:b/>
                <w:bCs/>
                <w:color w:val="000000"/>
                <w:sz w:val="24"/>
              </w:rPr>
              <w:t>157.81</w:t>
            </w:r>
          </w:p>
        </w:tc>
        <w:tc>
          <w:tcPr>
            <w:tcW w:w="1984" w:type="dxa"/>
            <w:tcBorders>
              <w:top w:val="nil"/>
              <w:left w:val="nil"/>
              <w:bottom w:val="single" w:sz="4" w:space="0" w:color="auto"/>
              <w:right w:val="single" w:sz="4" w:space="0" w:color="auto"/>
            </w:tcBorders>
            <w:noWrap/>
            <w:vAlign w:val="bottom"/>
          </w:tcPr>
          <w:p w:rsidR="004B5BDE" w:rsidRPr="003F3372" w:rsidRDefault="004B5BDE" w:rsidP="00E67A45">
            <w:pPr>
              <w:rPr>
                <w:b/>
                <w:bCs/>
                <w:color w:val="000000"/>
                <w:sz w:val="24"/>
              </w:rPr>
            </w:pPr>
            <w:r w:rsidRPr="003F3372">
              <w:rPr>
                <w:b/>
                <w:bCs/>
                <w:color w:val="000000"/>
                <w:sz w:val="24"/>
              </w:rPr>
              <w:t>153.50</w:t>
            </w: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r w:rsidR="004B5BDE" w:rsidRPr="003F3372" w:rsidTr="00257FFE">
        <w:trPr>
          <w:trHeight w:val="300"/>
        </w:trPr>
        <w:tc>
          <w:tcPr>
            <w:tcW w:w="1433" w:type="dxa"/>
            <w:tcBorders>
              <w:top w:val="nil"/>
              <w:left w:val="nil"/>
              <w:bottom w:val="nil"/>
              <w:right w:val="nil"/>
            </w:tcBorders>
            <w:noWrap/>
            <w:vAlign w:val="bottom"/>
          </w:tcPr>
          <w:p w:rsidR="004B5BDE" w:rsidRPr="003F3372" w:rsidRDefault="004B5BDE" w:rsidP="00E67A45">
            <w:pPr>
              <w:rPr>
                <w:color w:val="000000"/>
                <w:sz w:val="24"/>
              </w:rPr>
            </w:pPr>
          </w:p>
        </w:tc>
        <w:tc>
          <w:tcPr>
            <w:tcW w:w="2693" w:type="dxa"/>
            <w:tcBorders>
              <w:top w:val="nil"/>
              <w:left w:val="nil"/>
              <w:bottom w:val="nil"/>
              <w:right w:val="nil"/>
            </w:tcBorders>
            <w:noWrap/>
            <w:vAlign w:val="bottom"/>
          </w:tcPr>
          <w:p w:rsidR="004B5BDE" w:rsidRPr="003F3372" w:rsidRDefault="004B5BDE" w:rsidP="00E67A45">
            <w:pPr>
              <w:rPr>
                <w:color w:val="000000"/>
                <w:sz w:val="24"/>
              </w:rPr>
            </w:pPr>
          </w:p>
        </w:tc>
        <w:tc>
          <w:tcPr>
            <w:tcW w:w="1985" w:type="dxa"/>
            <w:tcBorders>
              <w:top w:val="nil"/>
              <w:left w:val="nil"/>
              <w:bottom w:val="nil"/>
              <w:right w:val="nil"/>
            </w:tcBorders>
            <w:noWrap/>
            <w:vAlign w:val="bottom"/>
          </w:tcPr>
          <w:p w:rsidR="004B5BDE" w:rsidRPr="003F3372" w:rsidRDefault="004B5BDE" w:rsidP="00E67A45">
            <w:pPr>
              <w:rPr>
                <w:color w:val="000000"/>
                <w:sz w:val="24"/>
              </w:rPr>
            </w:pPr>
          </w:p>
        </w:tc>
        <w:tc>
          <w:tcPr>
            <w:tcW w:w="2126" w:type="dxa"/>
            <w:tcBorders>
              <w:top w:val="nil"/>
              <w:left w:val="nil"/>
              <w:bottom w:val="nil"/>
              <w:right w:val="nil"/>
            </w:tcBorders>
            <w:noWrap/>
            <w:vAlign w:val="bottom"/>
          </w:tcPr>
          <w:p w:rsidR="004B5BDE" w:rsidRPr="003F3372" w:rsidRDefault="004B5BDE" w:rsidP="00E67A45">
            <w:pPr>
              <w:rPr>
                <w:color w:val="000000"/>
                <w:sz w:val="24"/>
              </w:rPr>
            </w:pPr>
          </w:p>
        </w:tc>
        <w:tc>
          <w:tcPr>
            <w:tcW w:w="1984" w:type="dxa"/>
            <w:tcBorders>
              <w:top w:val="nil"/>
              <w:left w:val="nil"/>
              <w:bottom w:val="nil"/>
              <w:right w:val="nil"/>
            </w:tcBorders>
            <w:noWrap/>
            <w:vAlign w:val="bottom"/>
          </w:tcPr>
          <w:p w:rsidR="004B5BDE" w:rsidRPr="003F3372" w:rsidRDefault="004B5BDE" w:rsidP="00E67A45">
            <w:pPr>
              <w:rPr>
                <w:color w:val="000000"/>
                <w:sz w:val="24"/>
              </w:rPr>
            </w:pPr>
          </w:p>
        </w:tc>
        <w:tc>
          <w:tcPr>
            <w:tcW w:w="236" w:type="dxa"/>
            <w:tcBorders>
              <w:top w:val="nil"/>
              <w:left w:val="nil"/>
              <w:bottom w:val="nil"/>
              <w:right w:val="nil"/>
            </w:tcBorders>
            <w:noWrap/>
            <w:vAlign w:val="bottom"/>
          </w:tcPr>
          <w:p w:rsidR="004B5BDE" w:rsidRPr="003F3372" w:rsidRDefault="004B5BDE" w:rsidP="00E67A45">
            <w:pPr>
              <w:rPr>
                <w:color w:val="000000"/>
                <w:sz w:val="24"/>
              </w:rPr>
            </w:pPr>
          </w:p>
        </w:tc>
      </w:tr>
    </w:tbl>
    <w:p w:rsidR="004B5BDE" w:rsidRDefault="004B5BDE" w:rsidP="00257FFE">
      <w:pPr>
        <w:numPr>
          <w:ilvl w:val="0"/>
          <w:numId w:val="41"/>
        </w:numPr>
        <w:ind w:hanging="720"/>
        <w:jc w:val="both"/>
        <w:rPr>
          <w:sz w:val="24"/>
        </w:rPr>
      </w:pPr>
      <w:r w:rsidRPr="003F3372">
        <w:rPr>
          <w:sz w:val="24"/>
        </w:rPr>
        <w:t xml:space="preserve">Yes the causes are known through the work done by National Committee on Confidential Enquiry into Maternal Death (NCCEMD) established by the Minister of </w:t>
      </w:r>
      <w:r>
        <w:rPr>
          <w:sz w:val="24"/>
        </w:rPr>
        <w:t>H</w:t>
      </w:r>
      <w:r w:rsidRPr="003F3372">
        <w:rPr>
          <w:sz w:val="24"/>
        </w:rPr>
        <w:t>ealth.</w:t>
      </w:r>
    </w:p>
    <w:p w:rsidR="004B5BDE" w:rsidRDefault="004B5BDE" w:rsidP="00257FFE">
      <w:pPr>
        <w:ind w:left="720"/>
        <w:jc w:val="both"/>
        <w:rPr>
          <w:sz w:val="24"/>
        </w:rPr>
      </w:pPr>
    </w:p>
    <w:p w:rsidR="004B5BDE" w:rsidRDefault="004B5BDE" w:rsidP="00257FFE">
      <w:pPr>
        <w:numPr>
          <w:ilvl w:val="0"/>
          <w:numId w:val="35"/>
        </w:numPr>
        <w:ind w:left="1418" w:hanging="709"/>
        <w:jc w:val="both"/>
        <w:rPr>
          <w:sz w:val="24"/>
        </w:rPr>
      </w:pPr>
      <w:r w:rsidRPr="00257FFE">
        <w:rPr>
          <w:sz w:val="24"/>
        </w:rPr>
        <w:t>The main causes of Maternal Mortality according to the latest NCCEMD triennial, 2011-2013 report are as follows:</w:t>
      </w:r>
    </w:p>
    <w:p w:rsidR="004B5BDE" w:rsidRPr="00D04867" w:rsidRDefault="004B5BDE" w:rsidP="00257FFE">
      <w:pPr>
        <w:ind w:left="1418"/>
        <w:jc w:val="both"/>
        <w:rPr>
          <w:sz w:val="24"/>
        </w:rPr>
      </w:pPr>
    </w:p>
    <w:p w:rsidR="004B5BDE" w:rsidRPr="00D04867" w:rsidRDefault="004B5BDE" w:rsidP="00257FFE">
      <w:pPr>
        <w:numPr>
          <w:ilvl w:val="0"/>
          <w:numId w:val="36"/>
        </w:numPr>
        <w:ind w:left="2127" w:hanging="709"/>
        <w:jc w:val="both"/>
        <w:rPr>
          <w:sz w:val="24"/>
        </w:rPr>
      </w:pPr>
      <w:r>
        <w:rPr>
          <w:sz w:val="24"/>
        </w:rPr>
        <w:t>HIV/AIDS which accounts for 50% of the deaths</w:t>
      </w:r>
      <w:r w:rsidRPr="00D04867">
        <w:rPr>
          <w:sz w:val="24"/>
        </w:rPr>
        <w:t>;</w:t>
      </w:r>
    </w:p>
    <w:p w:rsidR="004B5BDE" w:rsidRPr="00D04867" w:rsidRDefault="004B5BDE" w:rsidP="00257FFE">
      <w:pPr>
        <w:numPr>
          <w:ilvl w:val="0"/>
          <w:numId w:val="36"/>
        </w:numPr>
        <w:ind w:left="2127" w:hanging="709"/>
        <w:jc w:val="both"/>
        <w:rPr>
          <w:sz w:val="24"/>
        </w:rPr>
      </w:pPr>
      <w:r w:rsidRPr="00D04867">
        <w:rPr>
          <w:sz w:val="24"/>
        </w:rPr>
        <w:t xml:space="preserve">Obstetric </w:t>
      </w:r>
      <w:proofErr w:type="spellStart"/>
      <w:r w:rsidRPr="00D04867">
        <w:rPr>
          <w:sz w:val="24"/>
        </w:rPr>
        <w:t>Hemorrhages</w:t>
      </w:r>
      <w:proofErr w:type="spellEnd"/>
      <w:r w:rsidRPr="00D04867">
        <w:rPr>
          <w:sz w:val="24"/>
        </w:rPr>
        <w:t>;</w:t>
      </w:r>
    </w:p>
    <w:p w:rsidR="004B5BDE" w:rsidRPr="00D04867" w:rsidRDefault="004B5BDE" w:rsidP="00257FFE">
      <w:pPr>
        <w:numPr>
          <w:ilvl w:val="0"/>
          <w:numId w:val="36"/>
        </w:numPr>
        <w:ind w:left="2127" w:hanging="709"/>
        <w:jc w:val="both"/>
        <w:rPr>
          <w:sz w:val="24"/>
        </w:rPr>
      </w:pPr>
      <w:r w:rsidRPr="00D04867">
        <w:rPr>
          <w:sz w:val="24"/>
        </w:rPr>
        <w:t>Hypertension;</w:t>
      </w:r>
    </w:p>
    <w:p w:rsidR="004B5BDE" w:rsidRPr="00D04867" w:rsidRDefault="004B5BDE" w:rsidP="00257FFE">
      <w:pPr>
        <w:numPr>
          <w:ilvl w:val="0"/>
          <w:numId w:val="36"/>
        </w:numPr>
        <w:ind w:left="2127" w:hanging="709"/>
        <w:jc w:val="both"/>
        <w:rPr>
          <w:sz w:val="24"/>
        </w:rPr>
      </w:pPr>
      <w:r w:rsidRPr="00D04867">
        <w:rPr>
          <w:sz w:val="24"/>
        </w:rPr>
        <w:lastRenderedPageBreak/>
        <w:t>Health professional training;</w:t>
      </w:r>
    </w:p>
    <w:p w:rsidR="004B5BDE" w:rsidRPr="00D04867" w:rsidRDefault="004B5BDE" w:rsidP="00257FFE">
      <w:pPr>
        <w:numPr>
          <w:ilvl w:val="0"/>
          <w:numId w:val="36"/>
        </w:numPr>
        <w:ind w:left="2127" w:hanging="709"/>
        <w:jc w:val="both"/>
        <w:rPr>
          <w:sz w:val="24"/>
        </w:rPr>
      </w:pPr>
      <w:r w:rsidRPr="00D04867">
        <w:rPr>
          <w:sz w:val="24"/>
        </w:rPr>
        <w:t>Health system strengthening</w:t>
      </w:r>
    </w:p>
    <w:p w:rsidR="004B5BDE" w:rsidRDefault="004B5BDE" w:rsidP="00257FFE">
      <w:pPr>
        <w:pStyle w:val="Default"/>
        <w:spacing w:before="240"/>
        <w:ind w:left="1418" w:hanging="698"/>
        <w:jc w:val="both"/>
        <w:rPr>
          <w:rFonts w:ascii="Arial" w:hAnsi="Arial" w:cs="Arial"/>
        </w:rPr>
      </w:pPr>
      <w:r>
        <w:rPr>
          <w:rFonts w:ascii="Arial" w:hAnsi="Arial" w:cs="Arial"/>
        </w:rPr>
        <w:t>(b)</w:t>
      </w:r>
      <w:r>
        <w:rPr>
          <w:rFonts w:ascii="Arial" w:hAnsi="Arial" w:cs="Arial"/>
        </w:rPr>
        <w:tab/>
        <w:t xml:space="preserve">Interventions </w:t>
      </w:r>
      <w:r w:rsidRPr="003F3372">
        <w:rPr>
          <w:rFonts w:ascii="Arial" w:hAnsi="Arial" w:cs="Arial"/>
        </w:rPr>
        <w:t>to address the main causes of maternal deaths</w:t>
      </w:r>
      <w:r>
        <w:rPr>
          <w:rFonts w:ascii="Arial" w:hAnsi="Arial" w:cs="Arial"/>
        </w:rPr>
        <w:t xml:space="preserve"> being implemented include:</w:t>
      </w:r>
    </w:p>
    <w:p w:rsidR="004B5BDE" w:rsidRPr="003F3372" w:rsidRDefault="004B5BDE" w:rsidP="00257FFE">
      <w:pPr>
        <w:pStyle w:val="Default"/>
        <w:spacing w:before="240"/>
        <w:ind w:left="1418" w:hanging="698"/>
        <w:jc w:val="both"/>
        <w:rPr>
          <w:rFonts w:ascii="Arial" w:hAnsi="Arial" w:cs="Arial"/>
        </w:rPr>
      </w:pPr>
      <w:r>
        <w:rPr>
          <w:rFonts w:ascii="Arial" w:hAnsi="Arial" w:cs="Arial"/>
        </w:rPr>
        <w:tab/>
        <w:t>(</w:t>
      </w:r>
      <w:proofErr w:type="spellStart"/>
      <w:r>
        <w:rPr>
          <w:rFonts w:ascii="Arial" w:hAnsi="Arial" w:cs="Arial"/>
        </w:rPr>
        <w:t>i</w:t>
      </w:r>
      <w:proofErr w:type="spellEnd"/>
      <w:r>
        <w:rPr>
          <w:rFonts w:ascii="Arial" w:hAnsi="Arial" w:cs="Arial"/>
        </w:rPr>
        <w:t>)</w:t>
      </w:r>
      <w:r>
        <w:rPr>
          <w:rFonts w:ascii="Arial" w:hAnsi="Arial" w:cs="Arial"/>
        </w:rPr>
        <w:tab/>
      </w:r>
      <w:r w:rsidRPr="003F3372">
        <w:rPr>
          <w:rFonts w:ascii="Arial" w:hAnsi="Arial" w:cs="Arial"/>
          <w:b/>
        </w:rPr>
        <w:t xml:space="preserve">Option B plus </w:t>
      </w:r>
      <w:r>
        <w:rPr>
          <w:rFonts w:ascii="Arial" w:hAnsi="Arial" w:cs="Arial"/>
          <w:b/>
        </w:rPr>
        <w:t>to eliminate mother to child transmission of HIV</w:t>
      </w:r>
    </w:p>
    <w:p w:rsidR="004B5BDE" w:rsidRDefault="004B5BDE" w:rsidP="00257FFE">
      <w:pPr>
        <w:pStyle w:val="Default"/>
        <w:spacing w:before="120"/>
        <w:ind w:left="2160"/>
        <w:jc w:val="both"/>
        <w:rPr>
          <w:rFonts w:ascii="Arial" w:hAnsi="Arial" w:cs="Arial"/>
        </w:rPr>
      </w:pPr>
      <w:r>
        <w:rPr>
          <w:rFonts w:ascii="Arial" w:hAnsi="Arial" w:cs="Arial"/>
        </w:rPr>
        <w:t xml:space="preserve">This </w:t>
      </w:r>
      <w:r w:rsidRPr="003F3372">
        <w:rPr>
          <w:rFonts w:ascii="Arial" w:hAnsi="Arial" w:cs="Arial"/>
        </w:rPr>
        <w:t>policy was adopted and implemented from 01 January 2015. The policy stipulate</w:t>
      </w:r>
      <w:r>
        <w:rPr>
          <w:rFonts w:ascii="Arial" w:hAnsi="Arial" w:cs="Arial"/>
        </w:rPr>
        <w:t>s</w:t>
      </w:r>
      <w:r w:rsidRPr="003F3372">
        <w:rPr>
          <w:rFonts w:ascii="Arial" w:hAnsi="Arial" w:cs="Arial"/>
        </w:rPr>
        <w:t xml:space="preserve"> that all HIV pregnant and breastfeeding women must be initiated on lifelong antiretroviral treatment (ART) for the prevention of mother to child transmission of HIV and their own health</w:t>
      </w:r>
      <w:r>
        <w:rPr>
          <w:rFonts w:ascii="Arial" w:hAnsi="Arial" w:cs="Arial"/>
        </w:rPr>
        <w:t xml:space="preserve"> regardless of CD4 count and on diagnosis.</w:t>
      </w:r>
    </w:p>
    <w:p w:rsidR="004B5BDE" w:rsidRDefault="004B5BDE" w:rsidP="00257FFE">
      <w:pPr>
        <w:pStyle w:val="Default"/>
        <w:spacing w:before="120"/>
        <w:ind w:left="2126" w:hanging="686"/>
        <w:jc w:val="both"/>
        <w:rPr>
          <w:rFonts w:ascii="Arial" w:hAnsi="Arial" w:cs="Arial"/>
          <w:b/>
        </w:rPr>
      </w:pPr>
      <w:r>
        <w:rPr>
          <w:rFonts w:ascii="Arial" w:hAnsi="Arial" w:cs="Arial"/>
        </w:rPr>
        <w:t>(ii)</w:t>
      </w:r>
      <w:r>
        <w:rPr>
          <w:rFonts w:ascii="Arial" w:hAnsi="Arial" w:cs="Arial"/>
        </w:rPr>
        <w:tab/>
      </w:r>
      <w:r w:rsidRPr="003F3372">
        <w:rPr>
          <w:rFonts w:ascii="Arial" w:hAnsi="Arial" w:cs="Arial"/>
          <w:b/>
        </w:rPr>
        <w:t>Essential Steps in the Management of Obstetric Emergencies (ESMOE) and Emergency Obstetric Simulation Training (EOST)</w:t>
      </w:r>
    </w:p>
    <w:p w:rsidR="004B5BDE" w:rsidRDefault="004B5BDE" w:rsidP="00257FFE">
      <w:pPr>
        <w:pStyle w:val="Default"/>
        <w:numPr>
          <w:ilvl w:val="0"/>
          <w:numId w:val="39"/>
        </w:numPr>
        <w:spacing w:before="120"/>
        <w:ind w:hanging="786"/>
        <w:jc w:val="both"/>
        <w:rPr>
          <w:rFonts w:ascii="Arial" w:hAnsi="Arial" w:cs="Arial"/>
        </w:rPr>
      </w:pPr>
      <w:r w:rsidRPr="00257FFE">
        <w:rPr>
          <w:rFonts w:ascii="Arial" w:hAnsi="Arial" w:cs="Arial"/>
        </w:rPr>
        <w:t>ESMOE are trainings for doctors and midwives to improve their skills to manage, among others, hemorrhage and hypertension and are currently being done in all facilities rendering maternity care</w:t>
      </w:r>
      <w:r>
        <w:rPr>
          <w:rFonts w:ascii="Arial" w:hAnsi="Arial" w:cs="Arial"/>
        </w:rPr>
        <w:t>;</w:t>
      </w:r>
    </w:p>
    <w:p w:rsidR="004B5BDE" w:rsidRDefault="004B5BDE" w:rsidP="00257FFE">
      <w:pPr>
        <w:pStyle w:val="Default"/>
        <w:numPr>
          <w:ilvl w:val="0"/>
          <w:numId w:val="39"/>
        </w:numPr>
        <w:spacing w:before="120"/>
        <w:ind w:hanging="786"/>
        <w:jc w:val="both"/>
        <w:rPr>
          <w:rFonts w:ascii="Arial" w:hAnsi="Arial" w:cs="Arial"/>
        </w:rPr>
      </w:pPr>
      <w:r w:rsidRPr="00257FFE">
        <w:rPr>
          <w:rFonts w:ascii="Arial" w:hAnsi="Arial" w:cs="Arial"/>
        </w:rPr>
        <w:t>EOST are fire drills to simulate the real obstetric emergency situations to refine an</w:t>
      </w:r>
      <w:r>
        <w:rPr>
          <w:rFonts w:ascii="Arial" w:hAnsi="Arial" w:cs="Arial"/>
        </w:rPr>
        <w:t>d reinforce the clinical skills;</w:t>
      </w:r>
    </w:p>
    <w:p w:rsidR="004B5BDE" w:rsidRDefault="004B5BDE" w:rsidP="00257FFE">
      <w:pPr>
        <w:pStyle w:val="Default"/>
        <w:numPr>
          <w:ilvl w:val="0"/>
          <w:numId w:val="39"/>
        </w:numPr>
        <w:spacing w:before="120"/>
        <w:ind w:hanging="786"/>
        <w:jc w:val="both"/>
        <w:rPr>
          <w:rFonts w:ascii="Arial" w:hAnsi="Arial" w:cs="Arial"/>
        </w:rPr>
      </w:pPr>
      <w:r w:rsidRPr="00257FFE">
        <w:rPr>
          <w:rFonts w:ascii="Arial" w:hAnsi="Arial" w:cs="Arial"/>
        </w:rPr>
        <w:t>To date, 1937 doctors and 5110 professional nurses have been trained on ESMOE. This has led to a 30% decline in maternal mortality due to improved health care providers’ skills in the management of mothers, neonates and children in the districts that we h</w:t>
      </w:r>
      <w:r>
        <w:rPr>
          <w:rFonts w:ascii="Arial" w:hAnsi="Arial" w:cs="Arial"/>
        </w:rPr>
        <w:t>ave conducted ESMOE training in;</w:t>
      </w:r>
    </w:p>
    <w:p w:rsidR="004B5BDE" w:rsidRDefault="004B5BDE" w:rsidP="00257FFE">
      <w:pPr>
        <w:pStyle w:val="Default"/>
        <w:spacing w:before="120"/>
        <w:ind w:left="2127" w:hanging="687"/>
        <w:jc w:val="both"/>
        <w:rPr>
          <w:rFonts w:ascii="Arial" w:hAnsi="Arial" w:cs="Arial"/>
          <w:b/>
        </w:rPr>
      </w:pPr>
      <w:r>
        <w:rPr>
          <w:rFonts w:ascii="Arial" w:hAnsi="Arial" w:cs="Arial"/>
        </w:rPr>
        <w:t>(iii)</w:t>
      </w:r>
      <w:r>
        <w:rPr>
          <w:rFonts w:ascii="Arial" w:hAnsi="Arial" w:cs="Arial"/>
        </w:rPr>
        <w:tab/>
      </w:r>
      <w:r w:rsidRPr="003F3372">
        <w:rPr>
          <w:rFonts w:ascii="Arial" w:hAnsi="Arial" w:cs="Arial"/>
          <w:b/>
        </w:rPr>
        <w:t>Community mobilization efforts</w:t>
      </w:r>
    </w:p>
    <w:p w:rsidR="004B5BDE" w:rsidRDefault="004B5BDE" w:rsidP="00257FFE">
      <w:pPr>
        <w:pStyle w:val="Default"/>
        <w:numPr>
          <w:ilvl w:val="0"/>
          <w:numId w:val="37"/>
        </w:numPr>
        <w:spacing w:before="120"/>
        <w:ind w:left="2835" w:hanging="708"/>
        <w:jc w:val="both"/>
        <w:rPr>
          <w:rFonts w:ascii="Arial" w:hAnsi="Arial" w:cs="Arial"/>
        </w:rPr>
      </w:pPr>
      <w:r w:rsidRPr="00257FFE">
        <w:rPr>
          <w:rFonts w:ascii="Arial" w:hAnsi="Arial" w:cs="Arial"/>
        </w:rPr>
        <w:t>Mom-Connect services which is an electronic cellular system to give health messages to pregnant women to help them access care early in pregnancy as well as post delivery. Currently over 508 000 women have been registered and receive weekly messages about their pregnancy and care for the infant post delivery</w:t>
      </w:r>
      <w:r>
        <w:rPr>
          <w:rFonts w:ascii="Arial" w:hAnsi="Arial" w:cs="Arial"/>
        </w:rPr>
        <w:t>;</w:t>
      </w:r>
    </w:p>
    <w:p w:rsidR="004B5BDE" w:rsidRPr="00257FFE" w:rsidRDefault="004B5BDE" w:rsidP="00257FFE">
      <w:pPr>
        <w:pStyle w:val="Default"/>
        <w:numPr>
          <w:ilvl w:val="0"/>
          <w:numId w:val="42"/>
        </w:numPr>
        <w:spacing w:before="120"/>
        <w:jc w:val="both"/>
        <w:rPr>
          <w:rFonts w:ascii="Arial" w:hAnsi="Arial" w:cs="Arial"/>
        </w:rPr>
      </w:pPr>
      <w:r w:rsidRPr="00257FFE">
        <w:rPr>
          <w:rFonts w:ascii="Arial" w:hAnsi="Arial" w:cs="Arial"/>
          <w:b/>
        </w:rPr>
        <w:t>Efforts of Health System Strengthening</w:t>
      </w:r>
    </w:p>
    <w:p w:rsidR="004B5BDE" w:rsidRDefault="004B5BDE" w:rsidP="00257FFE">
      <w:pPr>
        <w:pStyle w:val="Default"/>
        <w:numPr>
          <w:ilvl w:val="0"/>
          <w:numId w:val="38"/>
        </w:numPr>
        <w:spacing w:before="120"/>
        <w:ind w:left="2835" w:hanging="708"/>
        <w:jc w:val="both"/>
        <w:rPr>
          <w:rFonts w:ascii="Arial" w:hAnsi="Arial" w:cs="Arial"/>
        </w:rPr>
      </w:pPr>
      <w:r w:rsidRPr="00257FFE">
        <w:rPr>
          <w:rFonts w:ascii="Arial" w:hAnsi="Arial" w:cs="Arial"/>
        </w:rPr>
        <w:t xml:space="preserve">The District Specialist Teams (DCST’s) include specialists in maternal, newborn and child </w:t>
      </w:r>
      <w:proofErr w:type="gramStart"/>
      <w:r w:rsidRPr="00257FFE">
        <w:rPr>
          <w:rFonts w:ascii="Arial" w:hAnsi="Arial" w:cs="Arial"/>
        </w:rPr>
        <w:t>care,</w:t>
      </w:r>
      <w:proofErr w:type="gramEnd"/>
      <w:r w:rsidRPr="00257FFE">
        <w:rPr>
          <w:rFonts w:ascii="Arial" w:hAnsi="Arial" w:cs="Arial"/>
        </w:rPr>
        <w:t xml:space="preserve"> have been appointed in all 52 districts.  This team is responsible for clinical governance within all public facilities and specifically focusing on Maternal Neonatal and Child Health</w:t>
      </w:r>
      <w:r>
        <w:rPr>
          <w:rFonts w:ascii="Arial" w:hAnsi="Arial" w:cs="Arial"/>
        </w:rPr>
        <w:t>;</w:t>
      </w:r>
    </w:p>
    <w:p w:rsidR="004B5BDE" w:rsidRPr="00257FFE" w:rsidRDefault="004B5BDE" w:rsidP="00257FFE">
      <w:pPr>
        <w:pStyle w:val="Default"/>
        <w:numPr>
          <w:ilvl w:val="0"/>
          <w:numId w:val="42"/>
        </w:numPr>
        <w:spacing w:before="120"/>
        <w:jc w:val="both"/>
        <w:rPr>
          <w:rFonts w:ascii="Arial" w:hAnsi="Arial" w:cs="Arial"/>
        </w:rPr>
      </w:pPr>
      <w:r w:rsidRPr="00257FFE">
        <w:rPr>
          <w:rFonts w:ascii="Arial" w:hAnsi="Arial" w:cs="Arial"/>
          <w:b/>
        </w:rPr>
        <w:t>Efforts to address access to services</w:t>
      </w:r>
    </w:p>
    <w:p w:rsidR="004B5BDE" w:rsidRDefault="004B5BDE" w:rsidP="00257FFE">
      <w:pPr>
        <w:pStyle w:val="Default"/>
        <w:numPr>
          <w:ilvl w:val="0"/>
          <w:numId w:val="40"/>
        </w:numPr>
        <w:spacing w:before="120"/>
        <w:ind w:hanging="753"/>
        <w:jc w:val="both"/>
        <w:rPr>
          <w:rFonts w:ascii="Arial" w:hAnsi="Arial" w:cs="Arial"/>
        </w:rPr>
      </w:pPr>
      <w:r w:rsidRPr="00257FFE">
        <w:rPr>
          <w:rFonts w:ascii="Arial" w:hAnsi="Arial" w:cs="Arial"/>
        </w:rPr>
        <w:t>Maternity waiting homes: Currently there are 81 maternity waiting homes + 18 on site beds nationally</w:t>
      </w:r>
      <w:r>
        <w:rPr>
          <w:rFonts w:ascii="Arial" w:hAnsi="Arial" w:cs="Arial"/>
        </w:rPr>
        <w:t>;</w:t>
      </w:r>
    </w:p>
    <w:p w:rsidR="004B5BDE" w:rsidRDefault="004B5BDE" w:rsidP="00257FFE">
      <w:pPr>
        <w:pStyle w:val="Default"/>
        <w:numPr>
          <w:ilvl w:val="0"/>
          <w:numId w:val="40"/>
        </w:numPr>
        <w:spacing w:before="120"/>
        <w:ind w:hanging="753"/>
        <w:jc w:val="both"/>
        <w:rPr>
          <w:rFonts w:ascii="Arial" w:hAnsi="Arial" w:cs="Arial"/>
        </w:rPr>
      </w:pPr>
      <w:r w:rsidRPr="00257FFE">
        <w:rPr>
          <w:rFonts w:ascii="Arial" w:hAnsi="Arial" w:cs="Arial"/>
        </w:rPr>
        <w:t>Nationally there are 241 dedicated obstetric ambulances to impr</w:t>
      </w:r>
      <w:r>
        <w:rPr>
          <w:rFonts w:ascii="Arial" w:hAnsi="Arial" w:cs="Arial"/>
        </w:rPr>
        <w:t>ove access to health facilities;</w:t>
      </w:r>
    </w:p>
    <w:p w:rsidR="004B5BDE" w:rsidRDefault="004B5BDE" w:rsidP="00257FFE">
      <w:pPr>
        <w:pStyle w:val="Default"/>
        <w:spacing w:before="120"/>
        <w:ind w:left="2127"/>
        <w:jc w:val="both"/>
        <w:rPr>
          <w:rFonts w:ascii="Arial" w:hAnsi="Arial" w:cs="Arial"/>
        </w:rPr>
      </w:pPr>
    </w:p>
    <w:p w:rsidR="004B5BDE" w:rsidRDefault="004B5BDE" w:rsidP="00257FFE">
      <w:pPr>
        <w:pStyle w:val="Default"/>
        <w:spacing w:before="120"/>
        <w:ind w:left="2127"/>
        <w:jc w:val="both"/>
        <w:rPr>
          <w:rFonts w:ascii="Arial" w:hAnsi="Arial" w:cs="Arial"/>
        </w:rPr>
      </w:pPr>
    </w:p>
    <w:p w:rsidR="004B5BDE" w:rsidRDefault="004B5BDE" w:rsidP="00257FFE">
      <w:pPr>
        <w:pStyle w:val="Default"/>
        <w:spacing w:before="120"/>
        <w:ind w:left="2127"/>
        <w:jc w:val="both"/>
        <w:rPr>
          <w:rFonts w:ascii="Arial" w:hAnsi="Arial" w:cs="Arial"/>
        </w:rPr>
      </w:pPr>
    </w:p>
    <w:p w:rsidR="004B5BDE" w:rsidRDefault="004B5BDE" w:rsidP="00257FFE">
      <w:pPr>
        <w:pStyle w:val="Default"/>
        <w:spacing w:before="120"/>
        <w:ind w:left="2127"/>
        <w:jc w:val="both"/>
        <w:rPr>
          <w:rFonts w:ascii="Arial" w:hAnsi="Arial" w:cs="Arial"/>
        </w:rPr>
      </w:pPr>
    </w:p>
    <w:p w:rsidR="004B5BDE" w:rsidRPr="00257FFE" w:rsidRDefault="004B5BDE" w:rsidP="00257FFE">
      <w:pPr>
        <w:pStyle w:val="Default"/>
        <w:numPr>
          <w:ilvl w:val="0"/>
          <w:numId w:val="42"/>
        </w:numPr>
        <w:jc w:val="both"/>
        <w:rPr>
          <w:rFonts w:ascii="Arial" w:hAnsi="Arial" w:cs="Arial"/>
        </w:rPr>
      </w:pPr>
      <w:r w:rsidRPr="00257FFE">
        <w:rPr>
          <w:rFonts w:ascii="Arial" w:hAnsi="Arial" w:cs="Arial"/>
          <w:b/>
        </w:rPr>
        <w:t>Family planning</w:t>
      </w:r>
    </w:p>
    <w:p w:rsidR="004B5BDE" w:rsidRDefault="004B5BDE" w:rsidP="00257FFE">
      <w:pPr>
        <w:ind w:left="1440" w:firstLine="720"/>
        <w:jc w:val="both"/>
        <w:rPr>
          <w:sz w:val="24"/>
        </w:rPr>
      </w:pPr>
    </w:p>
    <w:p w:rsidR="004B5BDE" w:rsidRPr="0001461E" w:rsidRDefault="004B5BDE" w:rsidP="00257FFE">
      <w:pPr>
        <w:spacing w:after="240"/>
        <w:ind w:left="2160"/>
        <w:jc w:val="both"/>
        <w:rPr>
          <w:sz w:val="24"/>
        </w:rPr>
      </w:pPr>
      <w:r w:rsidRPr="003F3372">
        <w:rPr>
          <w:sz w:val="24"/>
        </w:rPr>
        <w:lastRenderedPageBreak/>
        <w:t xml:space="preserve">The launching of </w:t>
      </w:r>
      <w:r>
        <w:rPr>
          <w:sz w:val="24"/>
        </w:rPr>
        <w:t xml:space="preserve">the </w:t>
      </w:r>
      <w:r w:rsidRPr="003F3372">
        <w:rPr>
          <w:sz w:val="24"/>
        </w:rPr>
        <w:t xml:space="preserve">family planning </w:t>
      </w:r>
      <w:r>
        <w:rPr>
          <w:sz w:val="24"/>
        </w:rPr>
        <w:t xml:space="preserve">campaign in 2014 </w:t>
      </w:r>
      <w:r w:rsidRPr="003F3372">
        <w:rPr>
          <w:sz w:val="24"/>
        </w:rPr>
        <w:t xml:space="preserve">and introduction of </w:t>
      </w:r>
      <w:r>
        <w:rPr>
          <w:sz w:val="24"/>
        </w:rPr>
        <w:t xml:space="preserve">sub-dermal implant </w:t>
      </w:r>
      <w:r w:rsidRPr="003F3372">
        <w:rPr>
          <w:sz w:val="24"/>
        </w:rPr>
        <w:t xml:space="preserve">as a long term method of family planning had a positive impact on family planning practices. </w:t>
      </w:r>
      <w:r>
        <w:rPr>
          <w:sz w:val="24"/>
        </w:rPr>
        <w:t xml:space="preserve"> </w:t>
      </w:r>
      <w:r w:rsidRPr="003F3372">
        <w:rPr>
          <w:sz w:val="24"/>
        </w:rPr>
        <w:t xml:space="preserve">The Couple </w:t>
      </w:r>
      <w:r>
        <w:rPr>
          <w:sz w:val="24"/>
        </w:rPr>
        <w:t>Y</w:t>
      </w:r>
      <w:r w:rsidRPr="003F3372">
        <w:rPr>
          <w:sz w:val="24"/>
        </w:rPr>
        <w:t xml:space="preserve">ear </w:t>
      </w:r>
      <w:r>
        <w:rPr>
          <w:sz w:val="24"/>
        </w:rPr>
        <w:t>P</w:t>
      </w:r>
      <w:r w:rsidRPr="003F3372">
        <w:rPr>
          <w:sz w:val="24"/>
        </w:rPr>
        <w:t xml:space="preserve">rotection </w:t>
      </w:r>
      <w:r>
        <w:rPr>
          <w:sz w:val="24"/>
        </w:rPr>
        <w:t>R</w:t>
      </w:r>
      <w:r w:rsidRPr="003F3372">
        <w:rPr>
          <w:sz w:val="24"/>
        </w:rPr>
        <w:t xml:space="preserve">ate has improved from 37.7% in F/Y 2013/2014 to 52.7% in F/Y 2014/15. </w:t>
      </w:r>
      <w:r>
        <w:rPr>
          <w:sz w:val="24"/>
        </w:rPr>
        <w:t xml:space="preserve"> </w:t>
      </w:r>
      <w:r w:rsidRPr="003F3372">
        <w:rPr>
          <w:sz w:val="24"/>
        </w:rPr>
        <w:t>Improvement of family planning strategies assists in preventing unwanted pregnancies as well as teenage pregnancies which may lead to maternal mortality.</w:t>
      </w:r>
    </w:p>
    <w:p w:rsidR="004B5BDE" w:rsidRPr="0001461E" w:rsidRDefault="004B5BDE" w:rsidP="00D81183">
      <w:pPr>
        <w:pStyle w:val="BodyText"/>
        <w:rPr>
          <w:sz w:val="24"/>
          <w:lang w:val="en-GB"/>
        </w:rPr>
      </w:pPr>
    </w:p>
    <w:p w:rsidR="004B5BDE" w:rsidRPr="0001461E" w:rsidRDefault="004B5BDE" w:rsidP="00D81183">
      <w:pPr>
        <w:pStyle w:val="BodyText"/>
        <w:rPr>
          <w:b/>
          <w:bCs/>
          <w:sz w:val="24"/>
          <w:lang w:val="en-GB"/>
        </w:rPr>
      </w:pPr>
      <w:r w:rsidRPr="0001461E">
        <w:rPr>
          <w:sz w:val="24"/>
          <w:lang w:val="en-GB"/>
        </w:rPr>
        <w:t>END.</w:t>
      </w:r>
    </w:p>
    <w:sectPr w:rsidR="004B5BDE"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660" w:rsidRDefault="00766660">
      <w:r>
        <w:separator/>
      </w:r>
    </w:p>
  </w:endnote>
  <w:endnote w:type="continuationSeparator" w:id="0">
    <w:p w:rsidR="00766660" w:rsidRDefault="00766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DE" w:rsidRDefault="002D1894">
    <w:pPr>
      <w:pStyle w:val="Footer"/>
      <w:framePr w:wrap="around" w:vAnchor="text" w:hAnchor="margin" w:xAlign="center" w:y="1"/>
      <w:rPr>
        <w:rStyle w:val="PageNumber"/>
        <w:rFonts w:cs="Arial"/>
      </w:rPr>
    </w:pPr>
    <w:r>
      <w:rPr>
        <w:rStyle w:val="PageNumber"/>
        <w:rFonts w:cs="Arial"/>
      </w:rPr>
      <w:fldChar w:fldCharType="begin"/>
    </w:r>
    <w:r w:rsidR="004B5BDE">
      <w:rPr>
        <w:rStyle w:val="PageNumber"/>
        <w:rFonts w:cs="Arial"/>
      </w:rPr>
      <w:instrText xml:space="preserve">PAGE  </w:instrText>
    </w:r>
    <w:r>
      <w:rPr>
        <w:rStyle w:val="PageNumber"/>
        <w:rFonts w:cs="Arial"/>
      </w:rPr>
      <w:fldChar w:fldCharType="end"/>
    </w:r>
  </w:p>
  <w:p w:rsidR="004B5BDE" w:rsidRDefault="004B5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BDE" w:rsidRDefault="002D1894">
    <w:pPr>
      <w:pStyle w:val="Footer"/>
      <w:framePr w:wrap="around" w:vAnchor="text" w:hAnchor="margin" w:xAlign="center" w:y="1"/>
      <w:rPr>
        <w:rStyle w:val="PageNumber"/>
        <w:rFonts w:cs="Arial"/>
      </w:rPr>
    </w:pPr>
    <w:r>
      <w:rPr>
        <w:rStyle w:val="PageNumber"/>
        <w:rFonts w:cs="Arial"/>
        <w:lang w:val="en-US"/>
      </w:rPr>
      <w:fldChar w:fldCharType="begin"/>
    </w:r>
    <w:r w:rsidR="004B5BDE">
      <w:rPr>
        <w:rStyle w:val="PageNumber"/>
        <w:rFonts w:cs="Arial"/>
        <w:lang w:val="en-US"/>
      </w:rPr>
      <w:instrText xml:space="preserve"> PAGE </w:instrText>
    </w:r>
    <w:r>
      <w:rPr>
        <w:rStyle w:val="PageNumber"/>
        <w:rFonts w:cs="Arial"/>
        <w:lang w:val="en-US"/>
      </w:rPr>
      <w:fldChar w:fldCharType="separate"/>
    </w:r>
    <w:r w:rsidR="00537725">
      <w:rPr>
        <w:rStyle w:val="PageNumber"/>
        <w:rFonts w:cs="Arial"/>
        <w:noProof/>
        <w:lang w:val="en-US"/>
      </w:rPr>
      <w:t>3</w:t>
    </w:r>
    <w:r>
      <w:rPr>
        <w:rStyle w:val="PageNumber"/>
        <w:rFonts w:cs="Arial"/>
        <w:lang w:val="en-US"/>
      </w:rPr>
      <w:fldChar w:fldCharType="end"/>
    </w:r>
  </w:p>
  <w:p w:rsidR="004B5BDE" w:rsidRDefault="004B5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660" w:rsidRDefault="00766660">
      <w:r>
        <w:separator/>
      </w:r>
    </w:p>
  </w:footnote>
  <w:footnote w:type="continuationSeparator" w:id="0">
    <w:p w:rsidR="00766660" w:rsidRDefault="007666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34B0"/>
    <w:multiLevelType w:val="hybridMultilevel"/>
    <w:tmpl w:val="D0E8146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06AB0B2B"/>
    <w:multiLevelType w:val="hybridMultilevel"/>
    <w:tmpl w:val="A7DC3458"/>
    <w:lvl w:ilvl="0" w:tplc="04090001">
      <w:start w:val="1"/>
      <w:numFmt w:val="bullet"/>
      <w:lvlText w:val=""/>
      <w:lvlJc w:val="left"/>
      <w:pPr>
        <w:ind w:left="2682" w:hanging="360"/>
      </w:pPr>
      <w:rPr>
        <w:rFonts w:ascii="Symbol" w:hAnsi="Symbol" w:hint="default"/>
      </w:rPr>
    </w:lvl>
    <w:lvl w:ilvl="1" w:tplc="04090003">
      <w:start w:val="1"/>
      <w:numFmt w:val="bullet"/>
      <w:lvlText w:val="o"/>
      <w:lvlJc w:val="left"/>
      <w:pPr>
        <w:ind w:left="3402" w:hanging="360"/>
      </w:pPr>
      <w:rPr>
        <w:rFonts w:ascii="Courier New" w:hAnsi="Courier New" w:hint="default"/>
      </w:rPr>
    </w:lvl>
    <w:lvl w:ilvl="2" w:tplc="04090005" w:tentative="1">
      <w:start w:val="1"/>
      <w:numFmt w:val="bullet"/>
      <w:lvlText w:val=""/>
      <w:lvlJc w:val="left"/>
      <w:pPr>
        <w:ind w:left="4122" w:hanging="360"/>
      </w:pPr>
      <w:rPr>
        <w:rFonts w:ascii="Wingdings" w:hAnsi="Wingdings" w:hint="default"/>
      </w:rPr>
    </w:lvl>
    <w:lvl w:ilvl="3" w:tplc="04090001" w:tentative="1">
      <w:start w:val="1"/>
      <w:numFmt w:val="bullet"/>
      <w:lvlText w:val=""/>
      <w:lvlJc w:val="left"/>
      <w:pPr>
        <w:ind w:left="4842" w:hanging="360"/>
      </w:pPr>
      <w:rPr>
        <w:rFonts w:ascii="Symbol" w:hAnsi="Symbol" w:hint="default"/>
      </w:rPr>
    </w:lvl>
    <w:lvl w:ilvl="4" w:tplc="04090003" w:tentative="1">
      <w:start w:val="1"/>
      <w:numFmt w:val="bullet"/>
      <w:lvlText w:val="o"/>
      <w:lvlJc w:val="left"/>
      <w:pPr>
        <w:ind w:left="5562" w:hanging="360"/>
      </w:pPr>
      <w:rPr>
        <w:rFonts w:ascii="Courier New" w:hAnsi="Courier New" w:hint="default"/>
      </w:rPr>
    </w:lvl>
    <w:lvl w:ilvl="5" w:tplc="04090005" w:tentative="1">
      <w:start w:val="1"/>
      <w:numFmt w:val="bullet"/>
      <w:lvlText w:val=""/>
      <w:lvlJc w:val="left"/>
      <w:pPr>
        <w:ind w:left="6282" w:hanging="360"/>
      </w:pPr>
      <w:rPr>
        <w:rFonts w:ascii="Wingdings" w:hAnsi="Wingdings" w:hint="default"/>
      </w:rPr>
    </w:lvl>
    <w:lvl w:ilvl="6" w:tplc="04090001" w:tentative="1">
      <w:start w:val="1"/>
      <w:numFmt w:val="bullet"/>
      <w:lvlText w:val=""/>
      <w:lvlJc w:val="left"/>
      <w:pPr>
        <w:ind w:left="7002" w:hanging="360"/>
      </w:pPr>
      <w:rPr>
        <w:rFonts w:ascii="Symbol" w:hAnsi="Symbol" w:hint="default"/>
      </w:rPr>
    </w:lvl>
    <w:lvl w:ilvl="7" w:tplc="04090003" w:tentative="1">
      <w:start w:val="1"/>
      <w:numFmt w:val="bullet"/>
      <w:lvlText w:val="o"/>
      <w:lvlJc w:val="left"/>
      <w:pPr>
        <w:ind w:left="7722" w:hanging="360"/>
      </w:pPr>
      <w:rPr>
        <w:rFonts w:ascii="Courier New" w:hAnsi="Courier New" w:hint="default"/>
      </w:rPr>
    </w:lvl>
    <w:lvl w:ilvl="8" w:tplc="04090005" w:tentative="1">
      <w:start w:val="1"/>
      <w:numFmt w:val="bullet"/>
      <w:lvlText w:val=""/>
      <w:lvlJc w:val="left"/>
      <w:pPr>
        <w:ind w:left="8442" w:hanging="360"/>
      </w:pPr>
      <w:rPr>
        <w:rFonts w:ascii="Wingdings" w:hAnsi="Wingdings" w:hint="default"/>
      </w:rPr>
    </w:lvl>
  </w:abstractNum>
  <w:abstractNum w:abstractNumId="2">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B8A6989"/>
    <w:multiLevelType w:val="hybridMultilevel"/>
    <w:tmpl w:val="0754A0AA"/>
    <w:lvl w:ilvl="0" w:tplc="7964700C">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5">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7">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19312069"/>
    <w:multiLevelType w:val="hybridMultilevel"/>
    <w:tmpl w:val="5BC06F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2">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3">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C6543"/>
    <w:multiLevelType w:val="hybridMultilevel"/>
    <w:tmpl w:val="70EC6BAC"/>
    <w:lvl w:ilvl="0" w:tplc="7040BB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40C25D8"/>
    <w:multiLevelType w:val="hybridMultilevel"/>
    <w:tmpl w:val="FC98FDFE"/>
    <w:lvl w:ilvl="0" w:tplc="F4F052C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37E21928"/>
    <w:multiLevelType w:val="hybridMultilevel"/>
    <w:tmpl w:val="277E5E66"/>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19">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22">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B33F5A"/>
    <w:multiLevelType w:val="hybridMultilevel"/>
    <w:tmpl w:val="65689BC4"/>
    <w:lvl w:ilvl="0" w:tplc="C6927380">
      <w:start w:val="4"/>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1">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CE327D0"/>
    <w:multiLevelType w:val="hybridMultilevel"/>
    <w:tmpl w:val="EBCE0470"/>
    <w:lvl w:ilvl="0" w:tplc="04090001">
      <w:start w:val="1"/>
      <w:numFmt w:val="bullet"/>
      <w:lvlText w:val=""/>
      <w:lvlJc w:val="left"/>
      <w:pPr>
        <w:ind w:left="2913" w:hanging="360"/>
      </w:pPr>
      <w:rPr>
        <w:rFonts w:ascii="Symbol" w:hAnsi="Symbol" w:hint="default"/>
      </w:rPr>
    </w:lvl>
    <w:lvl w:ilvl="1" w:tplc="04090003" w:tentative="1">
      <w:start w:val="1"/>
      <w:numFmt w:val="bullet"/>
      <w:lvlText w:val="o"/>
      <w:lvlJc w:val="left"/>
      <w:pPr>
        <w:ind w:left="3633" w:hanging="360"/>
      </w:pPr>
      <w:rPr>
        <w:rFonts w:ascii="Courier New" w:hAnsi="Courier New" w:hint="default"/>
      </w:rPr>
    </w:lvl>
    <w:lvl w:ilvl="2" w:tplc="04090005" w:tentative="1">
      <w:start w:val="1"/>
      <w:numFmt w:val="bullet"/>
      <w:lvlText w:val=""/>
      <w:lvlJc w:val="left"/>
      <w:pPr>
        <w:ind w:left="4353" w:hanging="360"/>
      </w:pPr>
      <w:rPr>
        <w:rFonts w:ascii="Wingdings" w:hAnsi="Wingdings" w:hint="default"/>
      </w:rPr>
    </w:lvl>
    <w:lvl w:ilvl="3" w:tplc="04090001" w:tentative="1">
      <w:start w:val="1"/>
      <w:numFmt w:val="bullet"/>
      <w:lvlText w:val=""/>
      <w:lvlJc w:val="left"/>
      <w:pPr>
        <w:ind w:left="5073" w:hanging="360"/>
      </w:pPr>
      <w:rPr>
        <w:rFonts w:ascii="Symbol" w:hAnsi="Symbol" w:hint="default"/>
      </w:rPr>
    </w:lvl>
    <w:lvl w:ilvl="4" w:tplc="04090003" w:tentative="1">
      <w:start w:val="1"/>
      <w:numFmt w:val="bullet"/>
      <w:lvlText w:val="o"/>
      <w:lvlJc w:val="left"/>
      <w:pPr>
        <w:ind w:left="5793" w:hanging="360"/>
      </w:pPr>
      <w:rPr>
        <w:rFonts w:ascii="Courier New" w:hAnsi="Courier New" w:hint="default"/>
      </w:rPr>
    </w:lvl>
    <w:lvl w:ilvl="5" w:tplc="04090005" w:tentative="1">
      <w:start w:val="1"/>
      <w:numFmt w:val="bullet"/>
      <w:lvlText w:val=""/>
      <w:lvlJc w:val="left"/>
      <w:pPr>
        <w:ind w:left="6513" w:hanging="360"/>
      </w:pPr>
      <w:rPr>
        <w:rFonts w:ascii="Wingdings" w:hAnsi="Wingdings" w:hint="default"/>
      </w:rPr>
    </w:lvl>
    <w:lvl w:ilvl="6" w:tplc="04090001" w:tentative="1">
      <w:start w:val="1"/>
      <w:numFmt w:val="bullet"/>
      <w:lvlText w:val=""/>
      <w:lvlJc w:val="left"/>
      <w:pPr>
        <w:ind w:left="7233" w:hanging="360"/>
      </w:pPr>
      <w:rPr>
        <w:rFonts w:ascii="Symbol" w:hAnsi="Symbol" w:hint="default"/>
      </w:rPr>
    </w:lvl>
    <w:lvl w:ilvl="7" w:tplc="04090003" w:tentative="1">
      <w:start w:val="1"/>
      <w:numFmt w:val="bullet"/>
      <w:lvlText w:val="o"/>
      <w:lvlJc w:val="left"/>
      <w:pPr>
        <w:ind w:left="7953" w:hanging="360"/>
      </w:pPr>
      <w:rPr>
        <w:rFonts w:ascii="Courier New" w:hAnsi="Courier New" w:hint="default"/>
      </w:rPr>
    </w:lvl>
    <w:lvl w:ilvl="8" w:tplc="04090005" w:tentative="1">
      <w:start w:val="1"/>
      <w:numFmt w:val="bullet"/>
      <w:lvlText w:val=""/>
      <w:lvlJc w:val="left"/>
      <w:pPr>
        <w:ind w:left="8673" w:hanging="360"/>
      </w:pPr>
      <w:rPr>
        <w:rFonts w:ascii="Wingdings" w:hAnsi="Wingdings" w:hint="default"/>
      </w:rPr>
    </w:lvl>
  </w:abstractNum>
  <w:abstractNum w:abstractNumId="33">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8">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9">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1">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5"/>
  </w:num>
  <w:num w:numId="5">
    <w:abstractNumId w:val="27"/>
  </w:num>
  <w:num w:numId="6">
    <w:abstractNumId w:val="29"/>
  </w:num>
  <w:num w:numId="7">
    <w:abstractNumId w:val="24"/>
  </w:num>
  <w:num w:numId="8">
    <w:abstractNumId w:val="13"/>
  </w:num>
  <w:num w:numId="9">
    <w:abstractNumId w:val="7"/>
  </w:num>
  <w:num w:numId="10">
    <w:abstractNumId w:val="23"/>
  </w:num>
  <w:num w:numId="11">
    <w:abstractNumId w:val="36"/>
  </w:num>
  <w:num w:numId="12">
    <w:abstractNumId w:val="5"/>
  </w:num>
  <w:num w:numId="13">
    <w:abstractNumId w:val="37"/>
  </w:num>
  <w:num w:numId="14">
    <w:abstractNumId w:val="28"/>
  </w:num>
  <w:num w:numId="15">
    <w:abstractNumId w:val="8"/>
  </w:num>
  <w:num w:numId="16">
    <w:abstractNumId w:val="2"/>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3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9"/>
  </w:num>
  <w:num w:numId="25">
    <w:abstractNumId w:val="34"/>
  </w:num>
  <w:num w:numId="26">
    <w:abstractNumId w:val="20"/>
  </w:num>
  <w:num w:numId="27">
    <w:abstractNumId w:val="38"/>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1"/>
  </w:num>
  <w:num w:numId="32">
    <w:abstractNumId w:val="40"/>
  </w:num>
  <w:num w:numId="33">
    <w:abstractNumId w:val="17"/>
  </w:num>
  <w:num w:numId="34">
    <w:abstractNumId w:val="14"/>
  </w:num>
  <w:num w:numId="35">
    <w:abstractNumId w:val="15"/>
  </w:num>
  <w:num w:numId="36">
    <w:abstractNumId w:val="1"/>
  </w:num>
  <w:num w:numId="37">
    <w:abstractNumId w:val="0"/>
  </w:num>
  <w:num w:numId="38">
    <w:abstractNumId w:val="18"/>
  </w:num>
  <w:num w:numId="39">
    <w:abstractNumId w:val="32"/>
  </w:num>
  <w:num w:numId="40">
    <w:abstractNumId w:val="10"/>
  </w:num>
  <w:num w:numId="41">
    <w:abstractNumId w:val="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461E"/>
    <w:rsid w:val="00025DE8"/>
    <w:rsid w:val="0004183B"/>
    <w:rsid w:val="00047BFB"/>
    <w:rsid w:val="00056AD2"/>
    <w:rsid w:val="00072404"/>
    <w:rsid w:val="0007341B"/>
    <w:rsid w:val="00081C7A"/>
    <w:rsid w:val="0008767D"/>
    <w:rsid w:val="00095758"/>
    <w:rsid w:val="000A20B0"/>
    <w:rsid w:val="000B4AB8"/>
    <w:rsid w:val="000F059B"/>
    <w:rsid w:val="000F3BF5"/>
    <w:rsid w:val="000F50B5"/>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202CF5"/>
    <w:rsid w:val="002242A9"/>
    <w:rsid w:val="00233C3B"/>
    <w:rsid w:val="0024216E"/>
    <w:rsid w:val="00257FFE"/>
    <w:rsid w:val="00267BE0"/>
    <w:rsid w:val="00267FDF"/>
    <w:rsid w:val="00284E45"/>
    <w:rsid w:val="002963F9"/>
    <w:rsid w:val="002A5288"/>
    <w:rsid w:val="002B20CB"/>
    <w:rsid w:val="002B32D0"/>
    <w:rsid w:val="002D1894"/>
    <w:rsid w:val="002E3FA9"/>
    <w:rsid w:val="002F1907"/>
    <w:rsid w:val="002F747D"/>
    <w:rsid w:val="00300051"/>
    <w:rsid w:val="00311920"/>
    <w:rsid w:val="0031798D"/>
    <w:rsid w:val="00330A1B"/>
    <w:rsid w:val="00355BB7"/>
    <w:rsid w:val="00357A10"/>
    <w:rsid w:val="00366B08"/>
    <w:rsid w:val="00366E06"/>
    <w:rsid w:val="0039184B"/>
    <w:rsid w:val="003A1B0E"/>
    <w:rsid w:val="003C65C9"/>
    <w:rsid w:val="003D6B80"/>
    <w:rsid w:val="003E0AC8"/>
    <w:rsid w:val="003E5508"/>
    <w:rsid w:val="003F3372"/>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B5BDE"/>
    <w:rsid w:val="004C5286"/>
    <w:rsid w:val="004C740F"/>
    <w:rsid w:val="004D4DBF"/>
    <w:rsid w:val="004E63B4"/>
    <w:rsid w:val="004F42DD"/>
    <w:rsid w:val="004F7C1A"/>
    <w:rsid w:val="0050347C"/>
    <w:rsid w:val="0051126E"/>
    <w:rsid w:val="005117E9"/>
    <w:rsid w:val="005207D3"/>
    <w:rsid w:val="00525127"/>
    <w:rsid w:val="00537725"/>
    <w:rsid w:val="00540171"/>
    <w:rsid w:val="0054370C"/>
    <w:rsid w:val="005444C6"/>
    <w:rsid w:val="00547112"/>
    <w:rsid w:val="00557CEE"/>
    <w:rsid w:val="0056205A"/>
    <w:rsid w:val="00570065"/>
    <w:rsid w:val="00576020"/>
    <w:rsid w:val="005937C8"/>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A6F8D"/>
    <w:rsid w:val="006C67FA"/>
    <w:rsid w:val="006E6C41"/>
    <w:rsid w:val="006E77B3"/>
    <w:rsid w:val="006E7C45"/>
    <w:rsid w:val="006F221E"/>
    <w:rsid w:val="006F501B"/>
    <w:rsid w:val="006F7E16"/>
    <w:rsid w:val="00721839"/>
    <w:rsid w:val="00735915"/>
    <w:rsid w:val="00747DB2"/>
    <w:rsid w:val="00762416"/>
    <w:rsid w:val="00766660"/>
    <w:rsid w:val="00770C17"/>
    <w:rsid w:val="00771EB2"/>
    <w:rsid w:val="00773A22"/>
    <w:rsid w:val="007834CF"/>
    <w:rsid w:val="007A0D02"/>
    <w:rsid w:val="007A2557"/>
    <w:rsid w:val="007A3E1B"/>
    <w:rsid w:val="007A6FF8"/>
    <w:rsid w:val="007C1F51"/>
    <w:rsid w:val="007E6493"/>
    <w:rsid w:val="007E6896"/>
    <w:rsid w:val="007F6D34"/>
    <w:rsid w:val="00802311"/>
    <w:rsid w:val="008027EE"/>
    <w:rsid w:val="0081272C"/>
    <w:rsid w:val="0084076E"/>
    <w:rsid w:val="00846CD4"/>
    <w:rsid w:val="008603CC"/>
    <w:rsid w:val="008A2BAB"/>
    <w:rsid w:val="008B7C94"/>
    <w:rsid w:val="008C0456"/>
    <w:rsid w:val="008C3326"/>
    <w:rsid w:val="008C58F7"/>
    <w:rsid w:val="008D2430"/>
    <w:rsid w:val="008D437A"/>
    <w:rsid w:val="008D749E"/>
    <w:rsid w:val="008F1C96"/>
    <w:rsid w:val="0090105B"/>
    <w:rsid w:val="009112C9"/>
    <w:rsid w:val="0091259B"/>
    <w:rsid w:val="00921664"/>
    <w:rsid w:val="0092641E"/>
    <w:rsid w:val="009342E8"/>
    <w:rsid w:val="00952EC0"/>
    <w:rsid w:val="009756B6"/>
    <w:rsid w:val="009855D2"/>
    <w:rsid w:val="009873B3"/>
    <w:rsid w:val="009922DD"/>
    <w:rsid w:val="00997EC4"/>
    <w:rsid w:val="009A2424"/>
    <w:rsid w:val="009A3F64"/>
    <w:rsid w:val="009C00C3"/>
    <w:rsid w:val="009D2E42"/>
    <w:rsid w:val="009D3DA5"/>
    <w:rsid w:val="009D62A1"/>
    <w:rsid w:val="009E05A5"/>
    <w:rsid w:val="009E2FE9"/>
    <w:rsid w:val="009F075E"/>
    <w:rsid w:val="009F0BA7"/>
    <w:rsid w:val="009F4090"/>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B0762E"/>
    <w:rsid w:val="00B2423A"/>
    <w:rsid w:val="00B30D8D"/>
    <w:rsid w:val="00B353AB"/>
    <w:rsid w:val="00B37F60"/>
    <w:rsid w:val="00B41548"/>
    <w:rsid w:val="00B519E0"/>
    <w:rsid w:val="00B561F9"/>
    <w:rsid w:val="00B6102B"/>
    <w:rsid w:val="00B63926"/>
    <w:rsid w:val="00B87D92"/>
    <w:rsid w:val="00B9163D"/>
    <w:rsid w:val="00BC6E9C"/>
    <w:rsid w:val="00BE5AF9"/>
    <w:rsid w:val="00BF35AB"/>
    <w:rsid w:val="00C0227C"/>
    <w:rsid w:val="00C063AA"/>
    <w:rsid w:val="00C26148"/>
    <w:rsid w:val="00C36280"/>
    <w:rsid w:val="00C41194"/>
    <w:rsid w:val="00C50944"/>
    <w:rsid w:val="00C71939"/>
    <w:rsid w:val="00C723FE"/>
    <w:rsid w:val="00C82762"/>
    <w:rsid w:val="00C91D4D"/>
    <w:rsid w:val="00CA0E36"/>
    <w:rsid w:val="00CF60D1"/>
    <w:rsid w:val="00D034F1"/>
    <w:rsid w:val="00D04106"/>
    <w:rsid w:val="00D04867"/>
    <w:rsid w:val="00D05EA8"/>
    <w:rsid w:val="00D05FA5"/>
    <w:rsid w:val="00D06D6D"/>
    <w:rsid w:val="00D07FF1"/>
    <w:rsid w:val="00D21320"/>
    <w:rsid w:val="00D258AA"/>
    <w:rsid w:val="00D50BCC"/>
    <w:rsid w:val="00D5344B"/>
    <w:rsid w:val="00D5360E"/>
    <w:rsid w:val="00D67753"/>
    <w:rsid w:val="00D75166"/>
    <w:rsid w:val="00D81183"/>
    <w:rsid w:val="00D821B8"/>
    <w:rsid w:val="00D84AEC"/>
    <w:rsid w:val="00DA3E25"/>
    <w:rsid w:val="00DA6F68"/>
    <w:rsid w:val="00DC1DD2"/>
    <w:rsid w:val="00DC2D05"/>
    <w:rsid w:val="00DC7AE6"/>
    <w:rsid w:val="00DD554A"/>
    <w:rsid w:val="00DE233C"/>
    <w:rsid w:val="00DE4636"/>
    <w:rsid w:val="00DE787B"/>
    <w:rsid w:val="00DF6212"/>
    <w:rsid w:val="00E040FD"/>
    <w:rsid w:val="00E11BD3"/>
    <w:rsid w:val="00E238C2"/>
    <w:rsid w:val="00E42417"/>
    <w:rsid w:val="00E43571"/>
    <w:rsid w:val="00E61438"/>
    <w:rsid w:val="00E61656"/>
    <w:rsid w:val="00E67A45"/>
    <w:rsid w:val="00E70BD1"/>
    <w:rsid w:val="00E85240"/>
    <w:rsid w:val="00EA464E"/>
    <w:rsid w:val="00ED527A"/>
    <w:rsid w:val="00EE56A6"/>
    <w:rsid w:val="00EF5D91"/>
    <w:rsid w:val="00EF7FEE"/>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C9"/>
    <w:rPr>
      <w:rFonts w:ascii="Arial" w:hAnsi="Arial" w:cs="Arial"/>
      <w:szCs w:val="24"/>
      <w:lang w:val="en-GB"/>
    </w:rPr>
  </w:style>
  <w:style w:type="paragraph" w:styleId="Heading1">
    <w:name w:val="heading 1"/>
    <w:basedOn w:val="Normal"/>
    <w:next w:val="Normal"/>
    <w:link w:val="Heading1Char"/>
    <w:uiPriority w:val="99"/>
    <w:qFormat/>
    <w:rsid w:val="003C65C9"/>
    <w:pPr>
      <w:keepNext/>
      <w:jc w:val="right"/>
      <w:outlineLvl w:val="0"/>
    </w:pPr>
    <w:rPr>
      <w:b/>
      <w:bCs/>
      <w:sz w:val="12"/>
      <w:lang w:val="en-US"/>
    </w:rPr>
  </w:style>
  <w:style w:type="paragraph" w:styleId="Heading2">
    <w:name w:val="heading 2"/>
    <w:basedOn w:val="Normal"/>
    <w:next w:val="Normal"/>
    <w:link w:val="Heading2Char"/>
    <w:uiPriority w:val="99"/>
    <w:qFormat/>
    <w:rsid w:val="003C65C9"/>
    <w:pPr>
      <w:keepNext/>
      <w:outlineLvl w:val="1"/>
    </w:pPr>
    <w:rPr>
      <w:b/>
      <w:bCs/>
      <w:sz w:val="20"/>
      <w:u w:val="single"/>
    </w:rPr>
  </w:style>
  <w:style w:type="paragraph" w:styleId="Heading3">
    <w:name w:val="heading 3"/>
    <w:basedOn w:val="Normal"/>
    <w:next w:val="Normal"/>
    <w:link w:val="Heading3Char"/>
    <w:uiPriority w:val="99"/>
    <w:qFormat/>
    <w:rsid w:val="003C65C9"/>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3C65C9"/>
    <w:pPr>
      <w:keepNext/>
      <w:ind w:left="720" w:hanging="720"/>
      <w:jc w:val="right"/>
      <w:outlineLvl w:val="3"/>
    </w:pPr>
    <w:rPr>
      <w:b/>
      <w:bCs/>
      <w:sz w:val="12"/>
    </w:rPr>
  </w:style>
  <w:style w:type="paragraph" w:styleId="Heading5">
    <w:name w:val="heading 5"/>
    <w:basedOn w:val="Normal"/>
    <w:next w:val="Normal"/>
    <w:link w:val="Heading5Char"/>
    <w:uiPriority w:val="99"/>
    <w:qFormat/>
    <w:rsid w:val="003C65C9"/>
    <w:pPr>
      <w:keepNext/>
      <w:jc w:val="both"/>
      <w:outlineLvl w:val="4"/>
    </w:pPr>
    <w:rPr>
      <w:b/>
      <w:bCs/>
      <w:sz w:val="24"/>
    </w:rPr>
  </w:style>
  <w:style w:type="paragraph" w:styleId="Heading6">
    <w:name w:val="heading 6"/>
    <w:basedOn w:val="Normal"/>
    <w:next w:val="Normal"/>
    <w:link w:val="Heading6Char"/>
    <w:uiPriority w:val="99"/>
    <w:qFormat/>
    <w:rsid w:val="003C65C9"/>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3C65C9"/>
    <w:pPr>
      <w:keepNext/>
      <w:ind w:left="660"/>
      <w:jc w:val="both"/>
      <w:outlineLvl w:val="6"/>
    </w:pPr>
    <w:rPr>
      <w:b/>
      <w:bCs/>
      <w:szCs w:val="22"/>
    </w:rPr>
  </w:style>
  <w:style w:type="paragraph" w:styleId="Heading8">
    <w:name w:val="heading 8"/>
    <w:basedOn w:val="Normal"/>
    <w:next w:val="Normal"/>
    <w:link w:val="Heading8Char"/>
    <w:uiPriority w:val="99"/>
    <w:qFormat/>
    <w:rsid w:val="003C65C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3C65C9"/>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5C7"/>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A05C7"/>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8A05C7"/>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8A05C7"/>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8A05C7"/>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8A05C7"/>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8A05C7"/>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8A05C7"/>
    <w:rPr>
      <w:rFonts w:asciiTheme="majorHAnsi" w:eastAsiaTheme="majorEastAsia" w:hAnsiTheme="majorHAnsi" w:cstheme="majorBidi"/>
      <w:lang w:val="en-GB"/>
    </w:rPr>
  </w:style>
  <w:style w:type="paragraph" w:styleId="BodyText">
    <w:name w:val="Body Text"/>
    <w:basedOn w:val="Normal"/>
    <w:link w:val="BodyTextChar"/>
    <w:uiPriority w:val="99"/>
    <w:rsid w:val="003C65C9"/>
    <w:pPr>
      <w:jc w:val="both"/>
    </w:pPr>
    <w:rPr>
      <w:lang w:val="en-US"/>
    </w:rPr>
  </w:style>
  <w:style w:type="character" w:customStyle="1" w:styleId="BodyTextChar">
    <w:name w:val="Body Text Char"/>
    <w:basedOn w:val="DefaultParagraphFont"/>
    <w:link w:val="BodyText"/>
    <w:uiPriority w:val="99"/>
    <w:semiHidden/>
    <w:rsid w:val="008A05C7"/>
    <w:rPr>
      <w:rFonts w:ascii="Arial" w:hAnsi="Arial" w:cs="Arial"/>
      <w:szCs w:val="24"/>
      <w:lang w:val="en-GB"/>
    </w:rPr>
  </w:style>
  <w:style w:type="paragraph" w:styleId="BodyTextIndent">
    <w:name w:val="Body Text Indent"/>
    <w:basedOn w:val="Normal"/>
    <w:link w:val="BodyTextIndentChar"/>
    <w:uiPriority w:val="99"/>
    <w:rsid w:val="003C65C9"/>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9E2FE9"/>
    <w:rPr>
      <w:rFonts w:ascii="Arial" w:hAnsi="Arial"/>
      <w:sz w:val="24"/>
      <w:lang w:val="en-GB" w:eastAsia="en-US"/>
    </w:rPr>
  </w:style>
  <w:style w:type="paragraph" w:styleId="BodyTextIndent3">
    <w:name w:val="Body Text Indent 3"/>
    <w:basedOn w:val="Normal"/>
    <w:link w:val="BodyTextIndent3Char"/>
    <w:uiPriority w:val="99"/>
    <w:rsid w:val="003C65C9"/>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8A05C7"/>
    <w:rPr>
      <w:rFonts w:ascii="Arial" w:hAnsi="Arial" w:cs="Arial"/>
      <w:sz w:val="16"/>
      <w:szCs w:val="16"/>
      <w:lang w:val="en-GB"/>
    </w:rPr>
  </w:style>
  <w:style w:type="paragraph" w:styleId="BodyText2">
    <w:name w:val="Body Text 2"/>
    <w:basedOn w:val="Normal"/>
    <w:link w:val="BodyText2Char"/>
    <w:uiPriority w:val="99"/>
    <w:rsid w:val="003C65C9"/>
    <w:pPr>
      <w:jc w:val="both"/>
    </w:pPr>
    <w:rPr>
      <w:sz w:val="20"/>
    </w:rPr>
  </w:style>
  <w:style w:type="character" w:customStyle="1" w:styleId="BodyText2Char">
    <w:name w:val="Body Text 2 Char"/>
    <w:basedOn w:val="DefaultParagraphFont"/>
    <w:link w:val="BodyText2"/>
    <w:uiPriority w:val="99"/>
    <w:semiHidden/>
    <w:rsid w:val="008A05C7"/>
    <w:rPr>
      <w:rFonts w:ascii="Arial" w:hAnsi="Arial" w:cs="Arial"/>
      <w:szCs w:val="24"/>
      <w:lang w:val="en-GB"/>
    </w:rPr>
  </w:style>
  <w:style w:type="paragraph" w:styleId="BlockText">
    <w:name w:val="Block Text"/>
    <w:basedOn w:val="Normal"/>
    <w:uiPriority w:val="99"/>
    <w:rsid w:val="003C65C9"/>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3C65C9"/>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8A05C7"/>
    <w:rPr>
      <w:rFonts w:ascii="Arial" w:hAnsi="Arial" w:cs="Arial"/>
      <w:szCs w:val="24"/>
      <w:lang w:val="en-GB"/>
    </w:rPr>
  </w:style>
  <w:style w:type="paragraph" w:styleId="Footer">
    <w:name w:val="footer"/>
    <w:basedOn w:val="Normal"/>
    <w:link w:val="FooterChar"/>
    <w:uiPriority w:val="99"/>
    <w:rsid w:val="003C65C9"/>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3C65C9"/>
    <w:rPr>
      <w:rFonts w:cs="Times New Roman"/>
    </w:rPr>
  </w:style>
  <w:style w:type="paragraph" w:styleId="Header">
    <w:name w:val="header"/>
    <w:basedOn w:val="Normal"/>
    <w:link w:val="HeaderChar"/>
    <w:uiPriority w:val="99"/>
    <w:rsid w:val="003C65C9"/>
    <w:pPr>
      <w:tabs>
        <w:tab w:val="center" w:pos="4153"/>
        <w:tab w:val="right" w:pos="8306"/>
      </w:tabs>
    </w:pPr>
  </w:style>
  <w:style w:type="character" w:customStyle="1" w:styleId="HeaderChar">
    <w:name w:val="Header Char"/>
    <w:basedOn w:val="DefaultParagraphFont"/>
    <w:link w:val="Header"/>
    <w:uiPriority w:val="99"/>
    <w:semiHidden/>
    <w:rsid w:val="008A05C7"/>
    <w:rPr>
      <w:rFonts w:ascii="Arial" w:hAnsi="Arial" w:cs="Arial"/>
      <w:szCs w:val="24"/>
      <w:lang w:val="en-GB"/>
    </w:rPr>
  </w:style>
  <w:style w:type="character" w:styleId="FootnoteReference">
    <w:name w:val="footnote reference"/>
    <w:basedOn w:val="DefaultParagraphFont"/>
    <w:uiPriority w:val="99"/>
    <w:semiHidden/>
    <w:rsid w:val="003C65C9"/>
    <w:rPr>
      <w:rFonts w:cs="Times New Roman"/>
      <w:vertAlign w:val="superscript"/>
    </w:rPr>
  </w:style>
  <w:style w:type="paragraph" w:styleId="BodyText3">
    <w:name w:val="Body Text 3"/>
    <w:basedOn w:val="Normal"/>
    <w:link w:val="BodyText3Char"/>
    <w:uiPriority w:val="99"/>
    <w:rsid w:val="003C65C9"/>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8A05C7"/>
    <w:rPr>
      <w:rFonts w:ascii="Arial" w:hAnsi="Arial" w:cs="Arial"/>
      <w:sz w:val="16"/>
      <w:szCs w:val="16"/>
      <w:lang w:val="en-GB"/>
    </w:rPr>
  </w:style>
  <w:style w:type="paragraph" w:styleId="Title">
    <w:name w:val="Title"/>
    <w:basedOn w:val="Normal"/>
    <w:link w:val="TitleChar"/>
    <w:uiPriority w:val="99"/>
    <w:qFormat/>
    <w:rsid w:val="003C65C9"/>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8A05C7"/>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963F9"/>
    <w:rPr>
      <w:rFonts w:ascii="Times New Roman" w:hAnsi="Times New Roman" w:cs="Times New Roman"/>
      <w:sz w:val="24"/>
      <w:lang w:val="en-ZA" w:eastAsia="en-ZA"/>
    </w:rPr>
  </w:style>
  <w:style w:type="paragraph" w:customStyle="1" w:styleId="Default">
    <w:name w:val="Default"/>
    <w:uiPriority w:val="99"/>
    <w:rsid w:val="00D258AA"/>
    <w:pPr>
      <w:autoSpaceDE w:val="0"/>
      <w:autoSpaceDN w:val="0"/>
      <w:adjustRightInd w:val="0"/>
    </w:pPr>
    <w:rPr>
      <w:rFonts w:ascii="Calibri" w:hAnsi="Calibri" w:cs="Calibri"/>
      <w:color w:val="000000"/>
      <w:sz w:val="24"/>
      <w:szCs w:val="24"/>
    </w:rPr>
  </w:style>
  <w:style w:type="character" w:customStyle="1" w:styleId="BodyTextIndentChar21">
    <w:name w:val="Body Text Indent Char21"/>
    <w:uiPriority w:val="99"/>
    <w:locked/>
    <w:rsid w:val="00D258AA"/>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401320256">
      <w:marLeft w:val="0"/>
      <w:marRight w:val="0"/>
      <w:marTop w:val="0"/>
      <w:marBottom w:val="0"/>
      <w:divBdr>
        <w:top w:val="none" w:sz="0" w:space="0" w:color="auto"/>
        <w:left w:val="none" w:sz="0" w:space="0" w:color="auto"/>
        <w:bottom w:val="none" w:sz="0" w:space="0" w:color="auto"/>
        <w:right w:val="none" w:sz="0" w:space="0" w:color="auto"/>
      </w:divBdr>
    </w:div>
    <w:div w:id="1401320257">
      <w:marLeft w:val="0"/>
      <w:marRight w:val="0"/>
      <w:marTop w:val="0"/>
      <w:marBottom w:val="0"/>
      <w:divBdr>
        <w:top w:val="none" w:sz="0" w:space="0" w:color="auto"/>
        <w:left w:val="none" w:sz="0" w:space="0" w:color="auto"/>
        <w:bottom w:val="none" w:sz="0" w:space="0" w:color="auto"/>
        <w:right w:val="none" w:sz="0" w:space="0" w:color="auto"/>
      </w:divBdr>
    </w:div>
    <w:div w:id="1401320258">
      <w:marLeft w:val="0"/>
      <w:marRight w:val="0"/>
      <w:marTop w:val="0"/>
      <w:marBottom w:val="0"/>
      <w:divBdr>
        <w:top w:val="none" w:sz="0" w:space="0" w:color="auto"/>
        <w:left w:val="none" w:sz="0" w:space="0" w:color="auto"/>
        <w:bottom w:val="none" w:sz="0" w:space="0" w:color="auto"/>
        <w:right w:val="none" w:sz="0" w:space="0" w:color="auto"/>
      </w:divBdr>
    </w:div>
    <w:div w:id="1401320259">
      <w:marLeft w:val="0"/>
      <w:marRight w:val="0"/>
      <w:marTop w:val="0"/>
      <w:marBottom w:val="0"/>
      <w:divBdr>
        <w:top w:val="none" w:sz="0" w:space="0" w:color="auto"/>
        <w:left w:val="none" w:sz="0" w:space="0" w:color="auto"/>
        <w:bottom w:val="none" w:sz="0" w:space="0" w:color="auto"/>
        <w:right w:val="none" w:sz="0" w:space="0" w:color="auto"/>
      </w:divBdr>
    </w:div>
    <w:div w:id="1401320260">
      <w:marLeft w:val="0"/>
      <w:marRight w:val="0"/>
      <w:marTop w:val="0"/>
      <w:marBottom w:val="0"/>
      <w:divBdr>
        <w:top w:val="none" w:sz="0" w:space="0" w:color="auto"/>
        <w:left w:val="none" w:sz="0" w:space="0" w:color="auto"/>
        <w:bottom w:val="none" w:sz="0" w:space="0" w:color="auto"/>
        <w:right w:val="none" w:sz="0" w:space="0" w:color="auto"/>
      </w:divBdr>
    </w:div>
    <w:div w:id="1401320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3867</Characters>
  <Application>Microsoft Office Word</Application>
  <DocSecurity>0</DocSecurity>
  <Lines>32</Lines>
  <Paragraphs>9</Paragraphs>
  <ScaleCrop>false</ScaleCrop>
  <Company>Microsoft</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2015-09-23T11:57:00Z</cp:lastPrinted>
  <dcterms:created xsi:type="dcterms:W3CDTF">2015-09-30T09:09:00Z</dcterms:created>
  <dcterms:modified xsi:type="dcterms:W3CDTF">2015-09-30T09:09:00Z</dcterms:modified>
</cp:coreProperties>
</file>