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D34BDA" w:rsidRDefault="00D34BDA" w:rsidP="00D34BDA">
      <w:pPr>
        <w:rPr>
          <w:rFonts w:ascii="Arial" w:hAnsi="Arial" w:cs="Arial"/>
          <w:b/>
          <w:lang w:val="en-GB"/>
        </w:rPr>
      </w:pPr>
    </w:p>
    <w:p w:rsidR="00B951AF" w:rsidRPr="00DD4ED5" w:rsidRDefault="00B951AF" w:rsidP="00B951AF">
      <w:pPr>
        <w:ind w:left="720" w:right="-46" w:hanging="720"/>
        <w:jc w:val="right"/>
        <w:outlineLvl w:val="0"/>
        <w:rPr>
          <w:rFonts w:ascii="Arial" w:hAnsi="Arial" w:cs="Arial"/>
          <w:b/>
          <w:lang w:val="en-GB"/>
        </w:rPr>
      </w:pPr>
      <w:r w:rsidRPr="00DD4ED5">
        <w:rPr>
          <w:rFonts w:ascii="Arial" w:hAnsi="Arial" w:cs="Arial"/>
          <w:b/>
          <w:lang w:val="en-GB"/>
        </w:rPr>
        <w:t>36/1/4/1/2017</w:t>
      </w:r>
      <w:r>
        <w:rPr>
          <w:rFonts w:ascii="Arial" w:hAnsi="Arial" w:cs="Arial"/>
          <w:b/>
          <w:lang w:val="en-GB"/>
        </w:rPr>
        <w:t>00380</w:t>
      </w:r>
    </w:p>
    <w:p w:rsidR="00B951AF" w:rsidRPr="00DD4ED5" w:rsidRDefault="00B951AF" w:rsidP="00B951AF">
      <w:pPr>
        <w:ind w:left="720" w:hanging="720"/>
        <w:jc w:val="center"/>
        <w:outlineLvl w:val="0"/>
        <w:rPr>
          <w:rFonts w:ascii="Arial" w:hAnsi="Arial" w:cs="Arial"/>
          <w:b/>
          <w:lang w:val="en-GB"/>
        </w:rPr>
      </w:pPr>
      <w:r w:rsidRPr="00DD4ED5">
        <w:rPr>
          <w:rFonts w:ascii="Arial" w:hAnsi="Arial" w:cs="Arial"/>
          <w:b/>
          <w:lang w:val="en-GB"/>
        </w:rPr>
        <w:t>NATIONAL ASSEMBLY</w:t>
      </w:r>
    </w:p>
    <w:p w:rsidR="00B951AF" w:rsidRPr="00DD4ED5" w:rsidRDefault="00B951AF" w:rsidP="00B951AF">
      <w:pPr>
        <w:ind w:left="720" w:hanging="720"/>
        <w:jc w:val="both"/>
        <w:outlineLvl w:val="0"/>
        <w:rPr>
          <w:rFonts w:ascii="Arial" w:hAnsi="Arial" w:cs="Arial"/>
          <w:b/>
          <w:u w:val="single"/>
          <w:lang w:val="en-GB"/>
        </w:rPr>
      </w:pPr>
    </w:p>
    <w:p w:rsidR="00B951AF" w:rsidRPr="00DD4ED5" w:rsidRDefault="00B951AF" w:rsidP="00B951AF">
      <w:pPr>
        <w:ind w:left="720" w:hanging="720"/>
        <w:jc w:val="both"/>
        <w:outlineLvl w:val="0"/>
        <w:rPr>
          <w:rFonts w:ascii="Arial" w:hAnsi="Arial" w:cs="Arial"/>
          <w:b/>
          <w:u w:val="single"/>
          <w:lang w:val="en-GB"/>
        </w:rPr>
      </w:pPr>
      <w:r w:rsidRPr="00DD4ED5">
        <w:rPr>
          <w:rFonts w:ascii="Arial" w:hAnsi="Arial" w:cs="Arial"/>
          <w:b/>
          <w:u w:val="single"/>
          <w:lang w:val="en-GB"/>
        </w:rPr>
        <w:t>FOR WRITTEN REPLY</w:t>
      </w:r>
    </w:p>
    <w:p w:rsidR="00B951AF" w:rsidRPr="00DD4ED5" w:rsidRDefault="00B951AF" w:rsidP="00B951AF">
      <w:pPr>
        <w:ind w:left="720" w:hanging="720"/>
        <w:jc w:val="both"/>
        <w:outlineLvl w:val="0"/>
        <w:rPr>
          <w:rFonts w:ascii="Arial" w:hAnsi="Arial" w:cs="Arial"/>
          <w:b/>
          <w:u w:val="single"/>
          <w:lang w:val="en-GB"/>
        </w:rPr>
      </w:pPr>
    </w:p>
    <w:p w:rsidR="00B951AF" w:rsidRPr="00DD4ED5" w:rsidRDefault="00B951AF" w:rsidP="00B951AF">
      <w:pPr>
        <w:ind w:left="720" w:hanging="720"/>
        <w:jc w:val="both"/>
        <w:outlineLvl w:val="0"/>
        <w:rPr>
          <w:rFonts w:ascii="Arial" w:hAnsi="Arial" w:cs="Arial"/>
          <w:b/>
          <w:u w:val="single"/>
          <w:lang w:val="en-GB"/>
        </w:rPr>
      </w:pPr>
      <w:r w:rsidRPr="00DD4ED5">
        <w:rPr>
          <w:rFonts w:ascii="Arial" w:hAnsi="Arial" w:cs="Arial"/>
          <w:b/>
          <w:u w:val="single"/>
          <w:lang w:val="en-GB"/>
        </w:rPr>
        <w:t>QUESTION 3099</w:t>
      </w:r>
    </w:p>
    <w:p w:rsidR="00B951AF" w:rsidRPr="00DD4ED5" w:rsidRDefault="00B951AF" w:rsidP="00B951AF">
      <w:pPr>
        <w:ind w:left="720" w:hanging="720"/>
        <w:jc w:val="both"/>
        <w:outlineLvl w:val="0"/>
        <w:rPr>
          <w:rFonts w:ascii="Arial" w:hAnsi="Arial" w:cs="Arial"/>
          <w:b/>
          <w:u w:val="single"/>
          <w:lang w:val="en-GB"/>
        </w:rPr>
      </w:pPr>
    </w:p>
    <w:p w:rsidR="00B951AF" w:rsidRPr="00DD4ED5" w:rsidRDefault="00B951AF" w:rsidP="00B951AF">
      <w:pPr>
        <w:ind w:left="720" w:right="-188" w:hanging="720"/>
        <w:jc w:val="center"/>
        <w:outlineLvl w:val="0"/>
        <w:rPr>
          <w:rFonts w:ascii="Arial" w:hAnsi="Arial" w:cs="Arial"/>
          <w:b/>
          <w:u w:val="single"/>
          <w:lang w:val="en-GB"/>
        </w:rPr>
      </w:pPr>
      <w:r w:rsidRPr="00DD4ED5">
        <w:rPr>
          <w:rFonts w:ascii="Arial" w:hAnsi="Arial" w:cs="Arial"/>
          <w:b/>
          <w:u w:val="single"/>
          <w:lang w:val="en-GB"/>
        </w:rPr>
        <w:t>DATE OF PUBLICATION IN INTERNAL QUESTION PAPER: 13 OCTOBER 2017</w:t>
      </w:r>
    </w:p>
    <w:p w:rsidR="00B951AF" w:rsidRPr="00DD4ED5" w:rsidRDefault="00B951AF" w:rsidP="00B951AF">
      <w:pPr>
        <w:jc w:val="center"/>
        <w:rPr>
          <w:rFonts w:ascii="Arial" w:hAnsi="Arial" w:cs="Arial"/>
          <w:b/>
          <w:u w:val="single"/>
          <w:lang w:val="en-GB"/>
        </w:rPr>
      </w:pPr>
      <w:r w:rsidRPr="00DD4ED5">
        <w:rPr>
          <w:rFonts w:ascii="Arial" w:hAnsi="Arial" w:cs="Arial"/>
          <w:b/>
          <w:u w:val="single"/>
          <w:lang w:val="en-GB"/>
        </w:rPr>
        <w:t>(INTERNAL QUESTION PAPER NO 36-2017)</w:t>
      </w:r>
    </w:p>
    <w:p w:rsidR="00B951AF" w:rsidRDefault="00B951AF" w:rsidP="00B951AF">
      <w:pPr>
        <w:pStyle w:val="Default"/>
        <w:rPr>
          <w:rFonts w:ascii="Arial" w:hAnsi="Arial" w:cs="Arial"/>
          <w:b/>
          <w:bCs/>
        </w:rPr>
      </w:pPr>
    </w:p>
    <w:p w:rsidR="00B951AF" w:rsidRPr="00DD4ED5" w:rsidRDefault="00B951AF" w:rsidP="00B951AF">
      <w:pPr>
        <w:pStyle w:val="Default"/>
        <w:rPr>
          <w:rFonts w:ascii="Arial" w:hAnsi="Arial" w:cs="Arial"/>
        </w:rPr>
      </w:pPr>
      <w:proofErr w:type="gramStart"/>
      <w:r w:rsidRPr="00DD4ED5">
        <w:rPr>
          <w:rFonts w:ascii="Arial" w:hAnsi="Arial" w:cs="Arial"/>
          <w:b/>
          <w:bCs/>
        </w:rPr>
        <w:t>3099. Mrs A M Dreyer (DA)</w:t>
      </w:r>
      <w:proofErr w:type="gramEnd"/>
      <w:r>
        <w:rPr>
          <w:rFonts w:ascii="Arial" w:hAnsi="Arial" w:cs="Arial"/>
          <w:b/>
          <w:bCs/>
        </w:rPr>
        <w:t xml:space="preserve"> to ask the Minister of Police:</w:t>
      </w:r>
    </w:p>
    <w:p w:rsidR="00B951AF" w:rsidRDefault="00B951AF" w:rsidP="00B951AF">
      <w:pPr>
        <w:rPr>
          <w:rFonts w:ascii="Arial" w:hAnsi="Arial" w:cs="Arial"/>
        </w:rPr>
      </w:pPr>
    </w:p>
    <w:p w:rsidR="00B951AF" w:rsidRDefault="00B951AF" w:rsidP="00B951AF">
      <w:pPr>
        <w:jc w:val="both"/>
        <w:rPr>
          <w:rFonts w:ascii="Arial" w:hAnsi="Arial" w:cs="Arial"/>
        </w:rPr>
      </w:pPr>
      <w:r w:rsidRPr="00DD4ED5">
        <w:rPr>
          <w:rFonts w:ascii="Arial" w:hAnsi="Arial" w:cs="Arial"/>
        </w:rPr>
        <w:t xml:space="preserve">What number of (a) firearm and tool mark identification, (b) identification of firearms and ammunition, (c) restoration of defaced and removed numbers on metal, (d) terminal ballistic reports, (e) vehicle accident scene reconstructions, (f) wheel and </w:t>
      </w:r>
      <w:proofErr w:type="spellStart"/>
      <w:r w:rsidRPr="00DD4ED5">
        <w:rPr>
          <w:rFonts w:ascii="Arial" w:hAnsi="Arial" w:cs="Arial"/>
        </w:rPr>
        <w:t>tyre</w:t>
      </w:r>
      <w:proofErr w:type="spellEnd"/>
      <w:r w:rsidRPr="00DD4ED5">
        <w:rPr>
          <w:rFonts w:ascii="Arial" w:hAnsi="Arial" w:cs="Arial"/>
        </w:rPr>
        <w:t xml:space="preserve"> examinations, (g) preliminary body fluid tests and (h) blood spatter pattern analyses were </w:t>
      </w:r>
      <w:proofErr w:type="spellStart"/>
      <w:r w:rsidRPr="00DD4ED5">
        <w:rPr>
          <w:rFonts w:ascii="Arial" w:hAnsi="Arial" w:cs="Arial"/>
        </w:rPr>
        <w:t>finalised</w:t>
      </w:r>
      <w:proofErr w:type="spellEnd"/>
      <w:r w:rsidRPr="00DD4ED5">
        <w:rPr>
          <w:rFonts w:ascii="Arial" w:hAnsi="Arial" w:cs="Arial"/>
        </w:rPr>
        <w:t xml:space="preserve"> by the Forensic Service Division of the SA Police Service in (</w:t>
      </w:r>
      <w:proofErr w:type="spellStart"/>
      <w:r w:rsidRPr="00DD4ED5">
        <w:rPr>
          <w:rFonts w:ascii="Arial" w:hAnsi="Arial" w:cs="Arial"/>
        </w:rPr>
        <w:t>i</w:t>
      </w:r>
      <w:proofErr w:type="spellEnd"/>
      <w:r w:rsidRPr="00DD4ED5">
        <w:rPr>
          <w:rFonts w:ascii="Arial" w:hAnsi="Arial" w:cs="Arial"/>
        </w:rPr>
        <w:t>) each of the past five financial yea</w:t>
      </w:r>
      <w:r>
        <w:rPr>
          <w:rFonts w:ascii="Arial" w:hAnsi="Arial" w:cs="Arial"/>
        </w:rPr>
        <w:t>rs and (ii) since 1 April 2017?</w:t>
      </w:r>
    </w:p>
    <w:p w:rsidR="00B951AF" w:rsidRDefault="00B951AF" w:rsidP="00B951AF">
      <w:pPr>
        <w:jc w:val="right"/>
        <w:rPr>
          <w:rFonts w:ascii="Arial" w:hAnsi="Arial" w:cs="Arial"/>
        </w:rPr>
      </w:pPr>
      <w:r w:rsidRPr="00DD4ED5">
        <w:rPr>
          <w:rFonts w:ascii="Arial" w:hAnsi="Arial" w:cs="Arial"/>
        </w:rPr>
        <w:t>NW3415E</w:t>
      </w:r>
    </w:p>
    <w:p w:rsidR="00B951AF" w:rsidRDefault="00B951AF" w:rsidP="00B951AF">
      <w:pPr>
        <w:rPr>
          <w:rFonts w:ascii="Arial" w:hAnsi="Arial" w:cs="Arial"/>
        </w:rPr>
      </w:pPr>
      <w:r w:rsidRPr="00DD4ED5">
        <w:rPr>
          <w:rFonts w:ascii="Arial" w:hAnsi="Arial" w:cs="Arial"/>
          <w:b/>
        </w:rPr>
        <w:t>REPLY:</w:t>
      </w:r>
    </w:p>
    <w:p w:rsidR="00B951AF" w:rsidRDefault="00B951AF" w:rsidP="00B951AF">
      <w:pPr>
        <w:rPr>
          <w:rFonts w:ascii="Arial" w:hAnsi="Arial" w:cs="Arial"/>
        </w:rPr>
      </w:pPr>
    </w:p>
    <w:p w:rsidR="00B951AF" w:rsidRPr="002F3BFB" w:rsidRDefault="00B951AF" w:rsidP="00B951AF">
      <w:pPr>
        <w:rPr>
          <w:rFonts w:ascii="Arial" w:hAnsi="Arial" w:cs="Arial"/>
        </w:rPr>
      </w:pPr>
      <w:r>
        <w:rPr>
          <w:rFonts w:ascii="Arial" w:hAnsi="Arial" w:cs="Arial"/>
        </w:rPr>
        <w:t>(a)(b)(c)(d)(e)(f)(g)(h)(</w:t>
      </w:r>
      <w:proofErr w:type="spellStart"/>
      <w:proofErr w:type="gramStart"/>
      <w:r>
        <w:rPr>
          <w:rFonts w:ascii="Arial" w:hAnsi="Arial" w:cs="Arial"/>
        </w:rPr>
        <w:t>i</w:t>
      </w:r>
      <w:proofErr w:type="spellEnd"/>
      <w:proofErr w:type="gramEnd"/>
      <w:r>
        <w:rPr>
          <w:rFonts w:ascii="Arial" w:hAnsi="Arial" w:cs="Arial"/>
        </w:rPr>
        <w:t>)(ii)</w:t>
      </w:r>
    </w:p>
    <w:p w:rsidR="00B951AF" w:rsidRDefault="00B951AF" w:rsidP="00B951AF">
      <w:pPr>
        <w:rPr>
          <w:rFonts w:ascii="Arial" w:hAnsi="Arial" w:cs="Arial"/>
          <w:b/>
        </w:rPr>
      </w:pPr>
    </w:p>
    <w:tbl>
      <w:tblPr>
        <w:tblStyle w:val="TableGrid"/>
        <w:tblpPr w:leftFromText="180" w:rightFromText="180" w:vertAnchor="text" w:horzAnchor="margin" w:tblpX="108" w:tblpY="41"/>
        <w:tblW w:w="9039" w:type="dxa"/>
        <w:tblLayout w:type="fixed"/>
        <w:tblLook w:val="04A0" w:firstRow="1" w:lastRow="0" w:firstColumn="1" w:lastColumn="0" w:noHBand="0" w:noVBand="1"/>
      </w:tblPr>
      <w:tblGrid>
        <w:gridCol w:w="2802"/>
        <w:gridCol w:w="1275"/>
        <w:gridCol w:w="1276"/>
        <w:gridCol w:w="1276"/>
        <w:gridCol w:w="1276"/>
        <w:gridCol w:w="1134"/>
      </w:tblGrid>
      <w:tr w:rsidR="00B951AF" w:rsidTr="009C4A4D">
        <w:tc>
          <w:tcPr>
            <w:tcW w:w="2802" w:type="dxa"/>
          </w:tcPr>
          <w:p w:rsidR="00B951AF" w:rsidRPr="00E4711A" w:rsidRDefault="00B951AF" w:rsidP="009C4A4D">
            <w:pPr>
              <w:ind w:right="-46"/>
              <w:jc w:val="center"/>
              <w:outlineLvl w:val="0"/>
              <w:rPr>
                <w:rFonts w:ascii="Arial" w:hAnsi="Arial" w:cs="Arial"/>
                <w:sz w:val="20"/>
                <w:szCs w:val="20"/>
              </w:rPr>
            </w:pPr>
          </w:p>
        </w:tc>
        <w:tc>
          <w:tcPr>
            <w:tcW w:w="1275"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b/>
                <w:sz w:val="20"/>
                <w:szCs w:val="20"/>
              </w:rPr>
              <w:t>2013/ 2014</w:t>
            </w:r>
          </w:p>
        </w:tc>
        <w:tc>
          <w:tcPr>
            <w:tcW w:w="1276"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b/>
                <w:sz w:val="20"/>
                <w:szCs w:val="20"/>
              </w:rPr>
              <w:t>2014/ 2015</w:t>
            </w:r>
          </w:p>
        </w:tc>
        <w:tc>
          <w:tcPr>
            <w:tcW w:w="1276"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b/>
                <w:sz w:val="20"/>
                <w:szCs w:val="20"/>
              </w:rPr>
              <w:t>2015/ 2016</w:t>
            </w:r>
          </w:p>
        </w:tc>
        <w:tc>
          <w:tcPr>
            <w:tcW w:w="1276"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b/>
                <w:sz w:val="20"/>
                <w:szCs w:val="20"/>
              </w:rPr>
              <w:t>2016/ 2017</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b/>
                <w:sz w:val="20"/>
                <w:szCs w:val="20"/>
              </w:rPr>
              <w:t>1 Apr</w:t>
            </w:r>
            <w:r>
              <w:rPr>
                <w:rFonts w:ascii="Arial" w:hAnsi="Arial" w:cs="Arial"/>
                <w:b/>
                <w:sz w:val="20"/>
                <w:szCs w:val="20"/>
              </w:rPr>
              <w:t>il</w:t>
            </w:r>
            <w:r w:rsidRPr="00E4711A">
              <w:rPr>
                <w:rFonts w:ascii="Arial" w:hAnsi="Arial" w:cs="Arial"/>
                <w:b/>
                <w:sz w:val="20"/>
                <w:szCs w:val="20"/>
              </w:rPr>
              <w:t xml:space="preserve"> 2017 to date</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Firearm and tool mark identification</w:t>
            </w:r>
            <w:r>
              <w:rPr>
                <w:rFonts w:ascii="Arial" w:hAnsi="Arial" w:cs="Arial"/>
                <w:sz w:val="20"/>
                <w:szCs w:val="20"/>
              </w:rPr>
              <w:t>.</w:t>
            </w:r>
          </w:p>
        </w:tc>
        <w:tc>
          <w:tcPr>
            <w:tcW w:w="1275"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13 917</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13 995</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17 007</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19 662</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sz w:val="20"/>
                <w:szCs w:val="20"/>
              </w:rPr>
              <w:t>10 014</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Identification of firearms and ammunition</w:t>
            </w:r>
            <w:r>
              <w:rPr>
                <w:rFonts w:ascii="Arial" w:hAnsi="Arial" w:cs="Arial"/>
                <w:sz w:val="20"/>
                <w:szCs w:val="20"/>
              </w:rPr>
              <w:t>.</w:t>
            </w:r>
          </w:p>
        </w:tc>
        <w:tc>
          <w:tcPr>
            <w:tcW w:w="1275"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11 318</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11 197</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10 230</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1 174</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sz w:val="20"/>
                <w:szCs w:val="20"/>
              </w:rPr>
              <w:t>6 552</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Restoration of defaced and removed numbers on metal</w:t>
            </w:r>
            <w:r>
              <w:rPr>
                <w:rFonts w:ascii="Arial" w:hAnsi="Arial" w:cs="Arial"/>
                <w:sz w:val="20"/>
                <w:szCs w:val="20"/>
              </w:rPr>
              <w:t>.</w:t>
            </w:r>
          </w:p>
        </w:tc>
        <w:tc>
          <w:tcPr>
            <w:tcW w:w="1275"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5 958</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5 547</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5 384</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5 563</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sz w:val="20"/>
                <w:szCs w:val="20"/>
              </w:rPr>
              <w:t>2 774</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Terminal ballistic reports</w:t>
            </w:r>
            <w:r>
              <w:rPr>
                <w:rFonts w:ascii="Arial" w:hAnsi="Arial" w:cs="Arial"/>
                <w:sz w:val="20"/>
                <w:szCs w:val="20"/>
              </w:rPr>
              <w:t>.</w:t>
            </w:r>
          </w:p>
        </w:tc>
        <w:tc>
          <w:tcPr>
            <w:tcW w:w="1275"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445</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485</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448</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405</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sz w:val="20"/>
                <w:szCs w:val="20"/>
              </w:rPr>
              <w:t>106</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lastRenderedPageBreak/>
              <w:t>Vehicle accident scene reconstructions</w:t>
            </w:r>
            <w:r>
              <w:rPr>
                <w:rFonts w:ascii="Arial" w:hAnsi="Arial" w:cs="Arial"/>
                <w:sz w:val="20"/>
                <w:szCs w:val="20"/>
              </w:rPr>
              <w:t>.</w:t>
            </w:r>
          </w:p>
        </w:tc>
        <w:tc>
          <w:tcPr>
            <w:tcW w:w="1275"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445</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485</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448</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405</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sz w:val="20"/>
                <w:szCs w:val="20"/>
              </w:rPr>
              <w:t>77</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Wheel and tyre examinations</w:t>
            </w:r>
            <w:r>
              <w:rPr>
                <w:rFonts w:ascii="Arial" w:hAnsi="Arial" w:cs="Arial"/>
                <w:sz w:val="20"/>
                <w:szCs w:val="20"/>
              </w:rPr>
              <w:t>.</w:t>
            </w:r>
          </w:p>
        </w:tc>
        <w:tc>
          <w:tcPr>
            <w:tcW w:w="1275"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52</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50</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63</w:t>
            </w:r>
          </w:p>
        </w:tc>
        <w:tc>
          <w:tcPr>
            <w:tcW w:w="1276" w:type="dxa"/>
          </w:tcPr>
          <w:p w:rsidR="00B951AF" w:rsidRPr="00E4711A" w:rsidRDefault="00B951AF" w:rsidP="009C4A4D">
            <w:pPr>
              <w:pStyle w:val="ListParagraph"/>
              <w:ind w:left="0"/>
              <w:jc w:val="center"/>
              <w:rPr>
                <w:rFonts w:ascii="Arial" w:hAnsi="Arial" w:cs="Arial"/>
                <w:sz w:val="20"/>
                <w:szCs w:val="20"/>
              </w:rPr>
            </w:pPr>
            <w:r w:rsidRPr="00E4711A">
              <w:rPr>
                <w:rFonts w:ascii="Arial" w:hAnsi="Arial" w:cs="Arial"/>
                <w:sz w:val="20"/>
                <w:szCs w:val="20"/>
              </w:rPr>
              <w:t>61</w:t>
            </w:r>
          </w:p>
        </w:tc>
        <w:tc>
          <w:tcPr>
            <w:tcW w:w="1134" w:type="dxa"/>
          </w:tcPr>
          <w:p w:rsidR="00B951AF" w:rsidRPr="00E4711A" w:rsidRDefault="00B951AF" w:rsidP="009C4A4D">
            <w:pPr>
              <w:ind w:right="-46"/>
              <w:jc w:val="center"/>
              <w:outlineLvl w:val="0"/>
              <w:rPr>
                <w:rFonts w:ascii="Arial" w:hAnsi="Arial" w:cs="Arial"/>
                <w:b/>
                <w:sz w:val="20"/>
                <w:szCs w:val="20"/>
              </w:rPr>
            </w:pPr>
            <w:r w:rsidRPr="00E4711A">
              <w:rPr>
                <w:rFonts w:ascii="Arial" w:hAnsi="Arial" w:cs="Arial"/>
                <w:sz w:val="20"/>
                <w:szCs w:val="20"/>
              </w:rPr>
              <w:t>29</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Preliminary body fluid tests</w:t>
            </w:r>
            <w:r>
              <w:rPr>
                <w:rFonts w:ascii="Arial" w:hAnsi="Arial" w:cs="Arial"/>
                <w:sz w:val="20"/>
                <w:szCs w:val="20"/>
              </w:rPr>
              <w:t>.</w:t>
            </w:r>
          </w:p>
        </w:tc>
        <w:tc>
          <w:tcPr>
            <w:tcW w:w="1275" w:type="dxa"/>
          </w:tcPr>
          <w:p w:rsidR="00B951AF" w:rsidRPr="00E4711A" w:rsidRDefault="00B951AF" w:rsidP="009C4A4D">
            <w:pPr>
              <w:ind w:right="-46"/>
              <w:jc w:val="center"/>
              <w:outlineLvl w:val="0"/>
              <w:rPr>
                <w:rFonts w:ascii="Arial" w:hAnsi="Arial" w:cs="Arial"/>
                <w:sz w:val="20"/>
                <w:szCs w:val="20"/>
              </w:rPr>
            </w:pPr>
            <w:r w:rsidRPr="00E4711A">
              <w:rPr>
                <w:rFonts w:ascii="Arial" w:hAnsi="Arial" w:cs="Arial"/>
                <w:sz w:val="20"/>
                <w:szCs w:val="20"/>
              </w:rPr>
              <w:t>26 684</w:t>
            </w:r>
          </w:p>
        </w:tc>
        <w:tc>
          <w:tcPr>
            <w:tcW w:w="1276" w:type="dxa"/>
          </w:tcPr>
          <w:p w:rsidR="00B951AF" w:rsidRPr="00E4711A" w:rsidRDefault="00B951AF" w:rsidP="009C4A4D">
            <w:pPr>
              <w:ind w:right="-46"/>
              <w:jc w:val="center"/>
              <w:outlineLvl w:val="0"/>
              <w:rPr>
                <w:rFonts w:ascii="Arial" w:hAnsi="Arial" w:cs="Arial"/>
                <w:sz w:val="20"/>
                <w:szCs w:val="20"/>
              </w:rPr>
            </w:pPr>
            <w:r w:rsidRPr="00E4711A">
              <w:rPr>
                <w:rFonts w:ascii="Arial" w:hAnsi="Arial" w:cs="Arial"/>
                <w:sz w:val="20"/>
                <w:szCs w:val="20"/>
              </w:rPr>
              <w:t>25 239</w:t>
            </w:r>
          </w:p>
        </w:tc>
        <w:tc>
          <w:tcPr>
            <w:tcW w:w="1276" w:type="dxa"/>
          </w:tcPr>
          <w:p w:rsidR="00B951AF" w:rsidRPr="00E4711A" w:rsidRDefault="00B951AF" w:rsidP="009C4A4D">
            <w:pPr>
              <w:ind w:right="-46"/>
              <w:jc w:val="center"/>
              <w:outlineLvl w:val="0"/>
              <w:rPr>
                <w:rFonts w:ascii="Arial" w:hAnsi="Arial" w:cs="Arial"/>
                <w:sz w:val="20"/>
                <w:szCs w:val="20"/>
              </w:rPr>
            </w:pPr>
            <w:r w:rsidRPr="00E4711A">
              <w:rPr>
                <w:rFonts w:ascii="Arial" w:hAnsi="Arial" w:cs="Arial"/>
                <w:sz w:val="20"/>
                <w:szCs w:val="20"/>
              </w:rPr>
              <w:t>25 007</w:t>
            </w:r>
          </w:p>
        </w:tc>
        <w:tc>
          <w:tcPr>
            <w:tcW w:w="1276" w:type="dxa"/>
          </w:tcPr>
          <w:p w:rsidR="00B951AF" w:rsidRPr="00E4711A" w:rsidRDefault="00B951AF" w:rsidP="009C4A4D">
            <w:pPr>
              <w:ind w:right="-46"/>
              <w:jc w:val="center"/>
              <w:outlineLvl w:val="0"/>
              <w:rPr>
                <w:rFonts w:ascii="Arial" w:hAnsi="Arial" w:cs="Arial"/>
                <w:sz w:val="20"/>
                <w:szCs w:val="20"/>
              </w:rPr>
            </w:pPr>
            <w:r w:rsidRPr="00E4711A">
              <w:rPr>
                <w:rFonts w:ascii="Arial" w:hAnsi="Arial" w:cs="Arial"/>
                <w:sz w:val="20"/>
                <w:szCs w:val="20"/>
              </w:rPr>
              <w:t>32 527</w:t>
            </w:r>
          </w:p>
        </w:tc>
        <w:tc>
          <w:tcPr>
            <w:tcW w:w="1134" w:type="dxa"/>
          </w:tcPr>
          <w:p w:rsidR="00B951AF" w:rsidRPr="00E4711A" w:rsidRDefault="00B951AF" w:rsidP="009C4A4D">
            <w:pPr>
              <w:ind w:right="-46"/>
              <w:jc w:val="center"/>
              <w:outlineLvl w:val="0"/>
              <w:rPr>
                <w:rFonts w:ascii="Arial" w:hAnsi="Arial" w:cs="Arial"/>
                <w:sz w:val="20"/>
                <w:szCs w:val="20"/>
              </w:rPr>
            </w:pPr>
            <w:r w:rsidRPr="00E4711A">
              <w:rPr>
                <w:rFonts w:ascii="Arial" w:hAnsi="Arial" w:cs="Arial"/>
                <w:sz w:val="20"/>
                <w:szCs w:val="20"/>
              </w:rPr>
              <w:t>15 073</w:t>
            </w:r>
          </w:p>
        </w:tc>
      </w:tr>
      <w:tr w:rsidR="00B951AF" w:rsidTr="009C4A4D">
        <w:tc>
          <w:tcPr>
            <w:tcW w:w="2802" w:type="dxa"/>
          </w:tcPr>
          <w:p w:rsidR="00B951AF" w:rsidRPr="00E4711A" w:rsidRDefault="00B951AF" w:rsidP="00B951AF">
            <w:pPr>
              <w:pStyle w:val="ListParagraph"/>
              <w:numPr>
                <w:ilvl w:val="0"/>
                <w:numId w:val="31"/>
              </w:numPr>
              <w:ind w:right="-46"/>
              <w:outlineLvl w:val="0"/>
              <w:rPr>
                <w:rFonts w:ascii="Arial" w:hAnsi="Arial" w:cs="Arial"/>
                <w:sz w:val="20"/>
                <w:szCs w:val="20"/>
              </w:rPr>
            </w:pPr>
            <w:r w:rsidRPr="00E4711A">
              <w:rPr>
                <w:rFonts w:ascii="Arial" w:hAnsi="Arial" w:cs="Arial"/>
                <w:sz w:val="20"/>
                <w:szCs w:val="20"/>
              </w:rPr>
              <w:t>Blood spatter pattern analyses</w:t>
            </w:r>
            <w:r>
              <w:rPr>
                <w:rFonts w:ascii="Arial" w:hAnsi="Arial" w:cs="Arial"/>
                <w:sz w:val="20"/>
                <w:szCs w:val="20"/>
              </w:rPr>
              <w:t>.</w:t>
            </w:r>
          </w:p>
        </w:tc>
        <w:tc>
          <w:tcPr>
            <w:tcW w:w="6237" w:type="dxa"/>
            <w:gridSpan w:val="5"/>
          </w:tcPr>
          <w:p w:rsidR="00B951AF" w:rsidRPr="00E4711A" w:rsidRDefault="00B951AF" w:rsidP="009C4A4D">
            <w:pPr>
              <w:ind w:right="-46"/>
              <w:outlineLvl w:val="0"/>
              <w:rPr>
                <w:rFonts w:ascii="Arial" w:hAnsi="Arial" w:cs="Arial"/>
                <w:sz w:val="20"/>
                <w:szCs w:val="20"/>
              </w:rPr>
            </w:pPr>
            <w:r>
              <w:rPr>
                <w:rFonts w:ascii="Arial" w:hAnsi="Arial" w:cs="Arial"/>
                <w:sz w:val="20"/>
                <w:szCs w:val="20"/>
              </w:rPr>
              <w:t xml:space="preserve">The Forensic Science Laboratory </w:t>
            </w:r>
            <w:r w:rsidRPr="00E4711A">
              <w:rPr>
                <w:rFonts w:ascii="Arial" w:hAnsi="Arial" w:cs="Arial"/>
                <w:sz w:val="20"/>
                <w:szCs w:val="20"/>
              </w:rPr>
              <w:t>Admin</w:t>
            </w:r>
            <w:r>
              <w:rPr>
                <w:rFonts w:ascii="Arial" w:hAnsi="Arial" w:cs="Arial"/>
                <w:sz w:val="20"/>
                <w:szCs w:val="20"/>
              </w:rPr>
              <w:t>istration S</w:t>
            </w:r>
            <w:r w:rsidRPr="00E4711A">
              <w:rPr>
                <w:rFonts w:ascii="Arial" w:hAnsi="Arial" w:cs="Arial"/>
                <w:sz w:val="20"/>
                <w:szCs w:val="20"/>
              </w:rPr>
              <w:t>ystem</w:t>
            </w:r>
            <w:r>
              <w:rPr>
                <w:rFonts w:ascii="Arial" w:hAnsi="Arial" w:cs="Arial"/>
                <w:sz w:val="20"/>
                <w:szCs w:val="20"/>
              </w:rPr>
              <w:t>,</w:t>
            </w:r>
            <w:r w:rsidRPr="00E4711A">
              <w:rPr>
                <w:rFonts w:ascii="Arial" w:hAnsi="Arial" w:cs="Arial"/>
                <w:sz w:val="20"/>
                <w:szCs w:val="20"/>
              </w:rPr>
              <w:t xml:space="preserve"> does</w:t>
            </w:r>
            <w:r>
              <w:rPr>
                <w:rFonts w:ascii="Arial" w:hAnsi="Arial" w:cs="Arial"/>
                <w:sz w:val="20"/>
                <w:szCs w:val="20"/>
              </w:rPr>
              <w:t xml:space="preserve"> not </w:t>
            </w:r>
            <w:r w:rsidRPr="00E4711A">
              <w:rPr>
                <w:rFonts w:ascii="Arial" w:hAnsi="Arial" w:cs="Arial"/>
                <w:sz w:val="20"/>
                <w:szCs w:val="20"/>
              </w:rPr>
              <w:t xml:space="preserve">have </w:t>
            </w:r>
            <w:r>
              <w:rPr>
                <w:rFonts w:ascii="Arial" w:hAnsi="Arial" w:cs="Arial"/>
                <w:sz w:val="20"/>
                <w:szCs w:val="20"/>
              </w:rPr>
              <w:t xml:space="preserve">a </w:t>
            </w:r>
            <w:r w:rsidRPr="00E4711A">
              <w:rPr>
                <w:rFonts w:ascii="Arial" w:hAnsi="Arial" w:cs="Arial"/>
                <w:sz w:val="20"/>
                <w:szCs w:val="20"/>
              </w:rPr>
              <w:t>specific function for capturing blood spatter pattern analysis separately. Th</w:t>
            </w:r>
            <w:r>
              <w:rPr>
                <w:rFonts w:ascii="Arial" w:hAnsi="Arial" w:cs="Arial"/>
                <w:sz w:val="20"/>
                <w:szCs w:val="20"/>
              </w:rPr>
              <w:t>is</w:t>
            </w:r>
            <w:r w:rsidRPr="00E4711A">
              <w:rPr>
                <w:rFonts w:ascii="Arial" w:hAnsi="Arial" w:cs="Arial"/>
                <w:sz w:val="20"/>
                <w:szCs w:val="20"/>
              </w:rPr>
              <w:t xml:space="preserve"> analysis is done by </w:t>
            </w:r>
            <w:r>
              <w:rPr>
                <w:rFonts w:ascii="Arial" w:hAnsi="Arial" w:cs="Arial"/>
                <w:sz w:val="20"/>
                <w:szCs w:val="20"/>
              </w:rPr>
              <w:t xml:space="preserve">the </w:t>
            </w:r>
            <w:r w:rsidRPr="00E4711A">
              <w:rPr>
                <w:rFonts w:ascii="Arial" w:hAnsi="Arial" w:cs="Arial"/>
                <w:sz w:val="20"/>
                <w:szCs w:val="20"/>
              </w:rPr>
              <w:t>Ballistics and Victim Identification Centre Section</w:t>
            </w:r>
            <w:r>
              <w:rPr>
                <w:rFonts w:ascii="Arial" w:hAnsi="Arial" w:cs="Arial"/>
                <w:sz w:val="20"/>
                <w:szCs w:val="20"/>
              </w:rPr>
              <w:t xml:space="preserve">, </w:t>
            </w:r>
            <w:r w:rsidRPr="00E4711A">
              <w:rPr>
                <w:rFonts w:ascii="Arial" w:hAnsi="Arial" w:cs="Arial"/>
                <w:sz w:val="20"/>
                <w:szCs w:val="20"/>
              </w:rPr>
              <w:t>when attending crime scenes.</w:t>
            </w:r>
          </w:p>
        </w:tc>
      </w:tr>
    </w:tbl>
    <w:p w:rsidR="00B951AF" w:rsidRDefault="00B951AF" w:rsidP="00B951AF">
      <w:pPr>
        <w:rPr>
          <w:rFonts w:ascii="Arial" w:hAnsi="Arial" w:cs="Arial"/>
          <w:b/>
        </w:rPr>
      </w:pPr>
      <w:bookmarkStart w:id="0" w:name="_GoBack"/>
      <w:bookmarkEnd w:id="0"/>
    </w:p>
    <w:sectPr w:rsidR="00B951AF"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32" w:rsidRDefault="002C4A32" w:rsidP="00020C8A">
      <w:r>
        <w:separator/>
      </w:r>
    </w:p>
  </w:endnote>
  <w:endnote w:type="continuationSeparator" w:id="0">
    <w:p w:rsidR="002C4A32" w:rsidRDefault="002C4A3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32" w:rsidRDefault="002C4A32" w:rsidP="00020C8A">
      <w:r>
        <w:separator/>
      </w:r>
    </w:p>
  </w:footnote>
  <w:footnote w:type="continuationSeparator" w:id="0">
    <w:p w:rsidR="002C4A32" w:rsidRDefault="002C4A3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2C4A32"/>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2E3E"/>
    <w:rsid w:val="00C046CD"/>
    <w:rsid w:val="00C304FB"/>
    <w:rsid w:val="00C35239"/>
    <w:rsid w:val="00C573BC"/>
    <w:rsid w:val="00C605B1"/>
    <w:rsid w:val="00CB3722"/>
    <w:rsid w:val="00CB4D93"/>
    <w:rsid w:val="00CB73F4"/>
    <w:rsid w:val="00CD4C8D"/>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2017-10-30T09:19:00Z</dcterms:created>
  <dcterms:modified xsi:type="dcterms:W3CDTF">2017-10-30T09:19:00Z</dcterms:modified>
</cp:coreProperties>
</file>