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9307FE" w:rsidRDefault="00642A1D" w:rsidP="009307FE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lang w:val="en-US"/>
        </w:rPr>
      </w:pPr>
    </w:p>
    <w:p w:rsidR="00642A1D" w:rsidRPr="009307FE" w:rsidRDefault="00642A1D" w:rsidP="009307FE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lang w:val="en-US"/>
        </w:rPr>
      </w:pPr>
      <w:r w:rsidRPr="009307FE">
        <w:rPr>
          <w:rFonts w:ascii="Arial" w:hAnsi="Arial" w:cs="Arial"/>
          <w:b/>
          <w:lang w:val="en-US"/>
        </w:rPr>
        <w:t>NATIONAL ASSEMBLY</w:t>
      </w:r>
    </w:p>
    <w:p w:rsidR="00642A1D" w:rsidRPr="009307FE" w:rsidRDefault="00642A1D" w:rsidP="009307FE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lang w:val="en-US"/>
        </w:rPr>
      </w:pPr>
    </w:p>
    <w:p w:rsidR="00642A1D" w:rsidRPr="009307FE" w:rsidRDefault="00642A1D" w:rsidP="009307FE">
      <w:pPr>
        <w:tabs>
          <w:tab w:val="left" w:pos="432"/>
          <w:tab w:val="left" w:pos="864"/>
        </w:tabs>
        <w:rPr>
          <w:rFonts w:ascii="Arial" w:hAnsi="Arial" w:cs="Arial"/>
          <w:b/>
          <w:lang w:val="en-US"/>
        </w:rPr>
      </w:pPr>
      <w:r w:rsidRPr="009307FE">
        <w:rPr>
          <w:rFonts w:ascii="Arial" w:hAnsi="Arial" w:cs="Arial"/>
          <w:b/>
          <w:lang w:val="en-US"/>
        </w:rPr>
        <w:t>QUESTION FOR WRITTEN REPLY</w:t>
      </w:r>
    </w:p>
    <w:p w:rsidR="00642A1D" w:rsidRPr="009307FE" w:rsidRDefault="00642A1D" w:rsidP="009307FE">
      <w:pPr>
        <w:tabs>
          <w:tab w:val="left" w:pos="432"/>
          <w:tab w:val="left" w:pos="864"/>
        </w:tabs>
        <w:rPr>
          <w:rFonts w:ascii="Arial" w:hAnsi="Arial" w:cs="Arial"/>
          <w:b/>
          <w:lang w:val="en-US"/>
        </w:rPr>
      </w:pPr>
      <w:r w:rsidRPr="009307FE">
        <w:rPr>
          <w:rFonts w:ascii="Arial" w:hAnsi="Arial" w:cs="Arial"/>
          <w:b/>
          <w:lang w:val="en-US"/>
        </w:rPr>
        <w:t>QUESTION NUMBER:</w:t>
      </w:r>
      <w:r w:rsidR="004A3B9E" w:rsidRPr="009307FE">
        <w:rPr>
          <w:rFonts w:ascii="Arial" w:hAnsi="Arial" w:cs="Arial"/>
          <w:b/>
          <w:bCs/>
        </w:rPr>
        <w:t xml:space="preserve"> </w:t>
      </w:r>
      <w:r w:rsidR="00407361" w:rsidRPr="009307FE">
        <w:rPr>
          <w:rFonts w:ascii="Arial" w:hAnsi="Arial" w:cs="Arial"/>
          <w:b/>
          <w:bCs/>
        </w:rPr>
        <w:t>30</w:t>
      </w:r>
      <w:r w:rsidR="00F45A93" w:rsidRPr="009307FE">
        <w:rPr>
          <w:rFonts w:ascii="Arial" w:hAnsi="Arial" w:cs="Arial"/>
          <w:b/>
          <w:bCs/>
        </w:rPr>
        <w:t>86</w:t>
      </w:r>
      <w:r w:rsidR="004836B9" w:rsidRPr="009307FE">
        <w:rPr>
          <w:rFonts w:ascii="Arial" w:hAnsi="Arial" w:cs="Arial"/>
          <w:b/>
          <w:bCs/>
        </w:rPr>
        <w:t xml:space="preserve"> </w:t>
      </w:r>
      <w:r w:rsidRPr="009307FE">
        <w:rPr>
          <w:rFonts w:ascii="Arial" w:hAnsi="Arial" w:cs="Arial"/>
          <w:b/>
          <w:lang w:val="en-US"/>
        </w:rPr>
        <w:t>[</w:t>
      </w:r>
      <w:r w:rsidR="00F45A93" w:rsidRPr="009307FE">
        <w:rPr>
          <w:rFonts w:ascii="Arial" w:hAnsi="Arial" w:cs="Arial"/>
        </w:rPr>
        <w:t>NW3402E</w:t>
      </w:r>
      <w:r w:rsidRPr="009307FE">
        <w:rPr>
          <w:rFonts w:ascii="Arial" w:hAnsi="Arial" w:cs="Arial"/>
          <w:b/>
          <w:lang w:val="en-US"/>
        </w:rPr>
        <w:t>]</w:t>
      </w:r>
    </w:p>
    <w:p w:rsidR="00642A1D" w:rsidRDefault="00642A1D" w:rsidP="009307FE">
      <w:pPr>
        <w:tabs>
          <w:tab w:val="left" w:pos="432"/>
          <w:tab w:val="left" w:pos="864"/>
        </w:tabs>
        <w:rPr>
          <w:rFonts w:ascii="Arial" w:hAnsi="Arial" w:cs="Arial"/>
          <w:b/>
          <w:lang w:val="en-US"/>
        </w:rPr>
      </w:pPr>
      <w:r w:rsidRPr="009307FE">
        <w:rPr>
          <w:rFonts w:ascii="Arial" w:hAnsi="Arial" w:cs="Arial"/>
          <w:b/>
          <w:lang w:val="en-US"/>
        </w:rPr>
        <w:t xml:space="preserve">DATE OF PUBLICATION: </w:t>
      </w:r>
      <w:r w:rsidR="00B8631E" w:rsidRPr="009307FE">
        <w:rPr>
          <w:rFonts w:ascii="Arial" w:hAnsi="Arial" w:cs="Arial"/>
          <w:b/>
          <w:lang w:val="en-US"/>
        </w:rPr>
        <w:t xml:space="preserve">13 </w:t>
      </w:r>
      <w:r w:rsidR="002101C0" w:rsidRPr="009307FE">
        <w:rPr>
          <w:rFonts w:ascii="Arial" w:hAnsi="Arial" w:cs="Arial"/>
          <w:b/>
        </w:rPr>
        <w:t>OCTOBER</w:t>
      </w:r>
      <w:r w:rsidR="002101C0" w:rsidRPr="009307FE">
        <w:rPr>
          <w:rFonts w:ascii="Arial" w:hAnsi="Arial" w:cs="Arial"/>
          <w:b/>
          <w:lang w:val="en-US"/>
        </w:rPr>
        <w:t xml:space="preserve"> </w:t>
      </w:r>
      <w:r w:rsidR="00B8631E" w:rsidRPr="009307FE">
        <w:rPr>
          <w:rFonts w:ascii="Arial" w:hAnsi="Arial" w:cs="Arial"/>
          <w:b/>
          <w:lang w:val="en-US"/>
        </w:rPr>
        <w:t>2017</w:t>
      </w:r>
    </w:p>
    <w:p w:rsidR="009307FE" w:rsidRPr="009307FE" w:rsidRDefault="009307FE" w:rsidP="009307FE">
      <w:pPr>
        <w:tabs>
          <w:tab w:val="left" w:pos="432"/>
          <w:tab w:val="left" w:pos="864"/>
        </w:tabs>
        <w:rPr>
          <w:rFonts w:ascii="Arial" w:hAnsi="Arial" w:cs="Arial"/>
          <w:b/>
          <w:lang w:val="en-US"/>
        </w:rPr>
      </w:pPr>
    </w:p>
    <w:p w:rsidR="00F45A93" w:rsidRPr="009307FE" w:rsidRDefault="00F45A93" w:rsidP="009307FE">
      <w:pPr>
        <w:ind w:left="851" w:hanging="851"/>
        <w:rPr>
          <w:rFonts w:ascii="Arial" w:hAnsi="Arial" w:cs="Arial"/>
          <w:b/>
        </w:rPr>
      </w:pPr>
      <w:r w:rsidRPr="009307FE">
        <w:rPr>
          <w:rFonts w:ascii="Arial" w:hAnsi="Arial" w:cs="Arial"/>
          <w:b/>
        </w:rPr>
        <w:t>3086.</w:t>
      </w:r>
      <w:r w:rsidRPr="009307FE">
        <w:rPr>
          <w:rFonts w:ascii="Arial" w:hAnsi="Arial" w:cs="Arial"/>
          <w:b/>
        </w:rPr>
        <w:tab/>
        <w:t>Ms D van der Walt (DA) to ask the Minister of Finance:</w:t>
      </w:r>
    </w:p>
    <w:p w:rsidR="00F45A93" w:rsidRPr="009307FE" w:rsidRDefault="00F45A93" w:rsidP="009307FE">
      <w:pPr>
        <w:pStyle w:val="ListParagraph"/>
        <w:numPr>
          <w:ilvl w:val="0"/>
          <w:numId w:val="30"/>
        </w:numPr>
        <w:ind w:left="851" w:hanging="851"/>
        <w:jc w:val="both"/>
        <w:rPr>
          <w:rFonts w:ascii="Arial" w:hAnsi="Arial" w:cs="Arial"/>
        </w:rPr>
      </w:pPr>
      <w:r w:rsidRPr="009307FE">
        <w:rPr>
          <w:rFonts w:ascii="Arial" w:hAnsi="Arial" w:cs="Arial"/>
        </w:rPr>
        <w:t>With reference to the reply of the Minister of Public Service and Administration to question 2809 on 2 October 2017 and the announcement during the Budget Vote Speech on 24</w:t>
      </w:r>
      <w:r w:rsidRPr="009307FE">
        <w:rPr>
          <w:rFonts w:ascii="Arial" w:hAnsi="Arial" w:cs="Arial"/>
          <w:vertAlign w:val="superscript"/>
        </w:rPr>
        <w:t xml:space="preserve"> </w:t>
      </w:r>
      <w:r w:rsidRPr="009307FE">
        <w:rPr>
          <w:rFonts w:ascii="Arial" w:hAnsi="Arial" w:cs="Arial"/>
        </w:rPr>
        <w:t xml:space="preserve">February 2016 by the former Minister of Finance, Mr Pravin </w:t>
      </w:r>
      <w:proofErr w:type="spellStart"/>
      <w:r w:rsidRPr="009307FE">
        <w:rPr>
          <w:rFonts w:ascii="Arial" w:hAnsi="Arial" w:cs="Arial"/>
        </w:rPr>
        <w:t>Gordhan</w:t>
      </w:r>
      <w:proofErr w:type="spellEnd"/>
      <w:r w:rsidRPr="009307FE">
        <w:rPr>
          <w:rFonts w:ascii="Arial" w:hAnsi="Arial" w:cs="Arial"/>
        </w:rPr>
        <w:t xml:space="preserve">, in which South Africans were informed that the Government will cut its wage bill by R25 billion over three years, (a) how does the total wage bill of the 2016-17 financial year compare to the 2015-16 financial year, (b) how does the first six months of the 2017-18 financial year compare with the first six months of the 2016-17 financial year and (c) what savings in the wage bill have been achieved due to austerity measures since this announcement for each financial year or part of it to date; </w:t>
      </w:r>
    </w:p>
    <w:p w:rsidR="00F45A93" w:rsidRPr="009307FE" w:rsidRDefault="00F45A93" w:rsidP="009307FE">
      <w:pPr>
        <w:pStyle w:val="ListParagraph"/>
        <w:numPr>
          <w:ilvl w:val="0"/>
          <w:numId w:val="30"/>
        </w:numPr>
        <w:ind w:left="851" w:hanging="851"/>
        <w:jc w:val="both"/>
        <w:rPr>
          <w:rFonts w:ascii="Arial" w:hAnsi="Arial" w:cs="Arial"/>
        </w:rPr>
      </w:pPr>
      <w:r w:rsidRPr="009307FE">
        <w:rPr>
          <w:rFonts w:ascii="Arial" w:hAnsi="Arial" w:cs="Arial"/>
        </w:rPr>
        <w:t>whether the Government is still on track in achieving its R25 billion savings on the wage bill in the specified period; if not, (a) why not and (b) what steps will he take to ensure that the targeted savings are achieved; if so, what are the relevant details;</w:t>
      </w:r>
    </w:p>
    <w:p w:rsidR="009307FE" w:rsidRDefault="00F45A93" w:rsidP="009307FE">
      <w:pPr>
        <w:pStyle w:val="ListParagraph"/>
        <w:numPr>
          <w:ilvl w:val="0"/>
          <w:numId w:val="30"/>
        </w:numPr>
        <w:ind w:left="851" w:hanging="851"/>
        <w:jc w:val="both"/>
        <w:rPr>
          <w:rFonts w:ascii="Arial" w:hAnsi="Arial" w:cs="Arial"/>
        </w:rPr>
      </w:pPr>
      <w:proofErr w:type="gramStart"/>
      <w:r w:rsidRPr="009307FE">
        <w:rPr>
          <w:rFonts w:ascii="Arial" w:hAnsi="Arial" w:cs="Arial"/>
        </w:rPr>
        <w:t>what</w:t>
      </w:r>
      <w:proofErr w:type="gramEnd"/>
      <w:r w:rsidRPr="009307FE">
        <w:rPr>
          <w:rFonts w:ascii="Arial" w:hAnsi="Arial" w:cs="Arial"/>
        </w:rPr>
        <w:t xml:space="preserve"> percentage of the Government’s total expenditure for the 2017-18 financial year was allocated to wages?</w:t>
      </w:r>
      <w:r w:rsidRPr="009307FE">
        <w:rPr>
          <w:rFonts w:ascii="Arial" w:hAnsi="Arial" w:cs="Arial"/>
        </w:rPr>
        <w:tab/>
      </w:r>
      <w:r w:rsidRPr="009307FE">
        <w:rPr>
          <w:rFonts w:ascii="Arial" w:hAnsi="Arial" w:cs="Arial"/>
        </w:rPr>
        <w:tab/>
      </w:r>
      <w:r w:rsidRPr="009307FE">
        <w:rPr>
          <w:rFonts w:ascii="Arial" w:hAnsi="Arial" w:cs="Arial"/>
        </w:rPr>
        <w:tab/>
      </w:r>
    </w:p>
    <w:p w:rsidR="009307FE" w:rsidRDefault="009307FE" w:rsidP="009307FE">
      <w:pPr>
        <w:pStyle w:val="ListParagraph"/>
        <w:ind w:left="851"/>
        <w:jc w:val="right"/>
        <w:rPr>
          <w:rFonts w:ascii="Arial" w:hAnsi="Arial" w:cs="Arial"/>
        </w:rPr>
      </w:pPr>
    </w:p>
    <w:p w:rsidR="00F45A93" w:rsidRPr="009307FE" w:rsidRDefault="00F45A93" w:rsidP="009307FE">
      <w:pPr>
        <w:pStyle w:val="ListParagraph"/>
        <w:ind w:left="851"/>
        <w:jc w:val="right"/>
        <w:rPr>
          <w:rFonts w:ascii="Arial" w:hAnsi="Arial" w:cs="Arial"/>
          <w:sz w:val="22"/>
        </w:rPr>
      </w:pPr>
      <w:r w:rsidRPr="009307FE">
        <w:rPr>
          <w:rFonts w:ascii="Arial" w:hAnsi="Arial" w:cs="Arial"/>
        </w:rPr>
        <w:tab/>
      </w:r>
      <w:r w:rsidRPr="009307FE">
        <w:rPr>
          <w:rFonts w:ascii="Arial" w:hAnsi="Arial" w:cs="Arial"/>
          <w:sz w:val="22"/>
        </w:rPr>
        <w:t>NW3402E</w:t>
      </w:r>
    </w:p>
    <w:p w:rsidR="009307FE" w:rsidRDefault="009307FE" w:rsidP="009307FE">
      <w:pPr>
        <w:rPr>
          <w:rFonts w:ascii="Arial" w:eastAsia="Calibri" w:hAnsi="Arial" w:cs="Arial"/>
          <w:b/>
        </w:rPr>
      </w:pPr>
    </w:p>
    <w:p w:rsidR="00DE24AB" w:rsidRPr="009307FE" w:rsidRDefault="00DE24AB" w:rsidP="009307FE">
      <w:pPr>
        <w:rPr>
          <w:rFonts w:ascii="Arial" w:eastAsia="Calibri" w:hAnsi="Arial" w:cs="Arial"/>
          <w:b/>
        </w:rPr>
      </w:pPr>
      <w:r w:rsidRPr="009307FE">
        <w:rPr>
          <w:rFonts w:ascii="Arial" w:eastAsia="Calibri" w:hAnsi="Arial" w:cs="Arial"/>
          <w:b/>
        </w:rPr>
        <w:t xml:space="preserve">REPLY: </w:t>
      </w:r>
    </w:p>
    <w:p w:rsidR="009307FE" w:rsidRPr="009307FE" w:rsidRDefault="009307FE" w:rsidP="009307FE">
      <w:pPr>
        <w:pStyle w:val="ListParagraph"/>
        <w:ind w:left="851"/>
        <w:jc w:val="both"/>
        <w:rPr>
          <w:rFonts w:ascii="Arial" w:hAnsi="Arial" w:cs="Arial"/>
        </w:rPr>
      </w:pPr>
    </w:p>
    <w:p w:rsidR="005335E8" w:rsidRPr="009307FE" w:rsidRDefault="00DE24AB" w:rsidP="009307FE">
      <w:pPr>
        <w:pStyle w:val="ListParagraph"/>
        <w:numPr>
          <w:ilvl w:val="0"/>
          <w:numId w:val="31"/>
        </w:numPr>
        <w:ind w:left="851" w:hanging="851"/>
        <w:jc w:val="both"/>
        <w:rPr>
          <w:rFonts w:ascii="Arial" w:hAnsi="Arial" w:cs="Arial"/>
        </w:rPr>
      </w:pPr>
      <w:r w:rsidRPr="009307FE">
        <w:rPr>
          <w:rFonts w:ascii="Arial" w:eastAsia="Calibri" w:hAnsi="Arial" w:cs="Arial"/>
        </w:rPr>
        <w:t>(a)</w:t>
      </w:r>
      <w:r w:rsidRPr="009307FE">
        <w:rPr>
          <w:rFonts w:ascii="Arial" w:eastAsia="Calibri" w:hAnsi="Arial" w:cs="Arial"/>
          <w:b/>
        </w:rPr>
        <w:t xml:space="preserve"> </w:t>
      </w:r>
      <w:r w:rsidRPr="009307FE">
        <w:rPr>
          <w:rFonts w:ascii="Arial" w:eastAsia="Calibri" w:hAnsi="Arial" w:cs="Arial"/>
        </w:rPr>
        <w:t>The wage bill has increased by 8.1 per cent between 2015/16 and 2016/17 financial years.</w:t>
      </w:r>
    </w:p>
    <w:p w:rsidR="009307FE" w:rsidRPr="009307FE" w:rsidRDefault="009307FE" w:rsidP="009307FE">
      <w:pPr>
        <w:pStyle w:val="ListParagraph"/>
        <w:ind w:left="851"/>
        <w:jc w:val="both"/>
        <w:rPr>
          <w:rFonts w:ascii="Arial" w:hAnsi="Arial" w:cs="Arial"/>
        </w:rPr>
      </w:pPr>
    </w:p>
    <w:p w:rsidR="00DE24AB" w:rsidRPr="009307FE" w:rsidRDefault="00DE24AB" w:rsidP="009307FE">
      <w:pPr>
        <w:ind w:firstLine="720"/>
        <w:rPr>
          <w:rFonts w:ascii="Arial" w:hAnsi="Arial" w:cs="Arial"/>
          <w:b/>
          <w:vertAlign w:val="superscript"/>
        </w:rPr>
      </w:pPr>
      <w:r w:rsidRPr="009307FE">
        <w:rPr>
          <w:rFonts w:ascii="Arial" w:hAnsi="Arial" w:cs="Arial"/>
          <w:b/>
        </w:rPr>
        <w:t>Table 1: Consolidated national, provincial and social security funds</w:t>
      </w:r>
      <w:r w:rsidRPr="009307FE">
        <w:rPr>
          <w:rFonts w:ascii="Arial" w:hAnsi="Arial" w:cs="Arial"/>
          <w:b/>
          <w:vertAlign w:val="superscript"/>
        </w:rPr>
        <w:t>1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260"/>
        <w:gridCol w:w="1722"/>
        <w:gridCol w:w="1723"/>
        <w:gridCol w:w="1723"/>
      </w:tblGrid>
      <w:tr w:rsidR="00DE24AB" w:rsidRPr="009307FE" w:rsidTr="009307FE"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  <w:b/>
              </w:rPr>
            </w:pPr>
            <w:r w:rsidRPr="009307FE">
              <w:rPr>
                <w:rFonts w:ascii="Arial" w:eastAsia="Calibri" w:hAnsi="Arial" w:cs="Arial"/>
                <w:b/>
              </w:rPr>
              <w:t>R million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  <w:b/>
              </w:rPr>
            </w:pPr>
            <w:r w:rsidRPr="009307FE">
              <w:rPr>
                <w:rFonts w:ascii="Arial" w:eastAsia="Calibri" w:hAnsi="Arial" w:cs="Arial"/>
                <w:b/>
              </w:rPr>
              <w:t>2015/16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9307FE">
              <w:rPr>
                <w:rFonts w:ascii="Arial" w:eastAsia="Calibri" w:hAnsi="Arial" w:cs="Arial"/>
                <w:b/>
              </w:rPr>
              <w:t>2016/17</w:t>
            </w:r>
            <w:r w:rsidRPr="009307FE">
              <w:rPr>
                <w:rFonts w:ascii="Arial" w:eastAsia="Calibri" w:hAnsi="Arial" w:cs="Arial"/>
                <w:b/>
                <w:vertAlign w:val="superscript"/>
              </w:rPr>
              <w:t>2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  <w:b/>
              </w:rPr>
            </w:pPr>
            <w:r w:rsidRPr="009307FE">
              <w:rPr>
                <w:rFonts w:ascii="Arial" w:eastAsia="Calibri" w:hAnsi="Arial" w:cs="Arial"/>
                <w:b/>
              </w:rPr>
              <w:t>Per cent increase</w:t>
            </w:r>
          </w:p>
        </w:tc>
      </w:tr>
      <w:tr w:rsidR="00DE24AB" w:rsidRPr="009307FE" w:rsidTr="009307FE">
        <w:tc>
          <w:tcPr>
            <w:tcW w:w="3260" w:type="dxa"/>
            <w:vAlign w:val="center"/>
          </w:tcPr>
          <w:p w:rsidR="00DE24AB" w:rsidRPr="009307FE" w:rsidRDefault="00DE24AB" w:rsidP="009307FE">
            <w:pPr>
              <w:rPr>
                <w:rFonts w:ascii="Arial" w:eastAsia="Calibri" w:hAnsi="Arial" w:cs="Arial"/>
              </w:rPr>
            </w:pPr>
            <w:r w:rsidRPr="009307FE">
              <w:rPr>
                <w:rFonts w:ascii="Arial" w:eastAsia="Calibri" w:hAnsi="Arial" w:cs="Arial"/>
              </w:rPr>
              <w:t>Compensation of employees</w:t>
            </w:r>
          </w:p>
        </w:tc>
        <w:tc>
          <w:tcPr>
            <w:tcW w:w="1722" w:type="dxa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</w:rPr>
            </w:pPr>
            <w:r w:rsidRPr="009307FE">
              <w:rPr>
                <w:rFonts w:ascii="Arial" w:eastAsia="Calibri" w:hAnsi="Arial" w:cs="Arial"/>
              </w:rPr>
              <w:t>427 995.5</w:t>
            </w:r>
          </w:p>
        </w:tc>
        <w:tc>
          <w:tcPr>
            <w:tcW w:w="1723" w:type="dxa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</w:rPr>
            </w:pPr>
            <w:r w:rsidRPr="009307FE">
              <w:rPr>
                <w:rFonts w:ascii="Arial" w:eastAsia="Calibri" w:hAnsi="Arial" w:cs="Arial"/>
              </w:rPr>
              <w:t>462 611.2</w:t>
            </w:r>
          </w:p>
        </w:tc>
        <w:tc>
          <w:tcPr>
            <w:tcW w:w="1723" w:type="dxa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</w:rPr>
            </w:pPr>
            <w:r w:rsidRPr="009307FE">
              <w:rPr>
                <w:rFonts w:ascii="Arial" w:eastAsia="Calibri" w:hAnsi="Arial" w:cs="Arial"/>
              </w:rPr>
              <w:t>8.1%</w:t>
            </w:r>
          </w:p>
        </w:tc>
      </w:tr>
    </w:tbl>
    <w:p w:rsidR="00DE24AB" w:rsidRPr="009307FE" w:rsidRDefault="00DE24AB" w:rsidP="009307FE">
      <w:pPr>
        <w:ind w:left="720"/>
        <w:rPr>
          <w:rFonts w:ascii="Arial" w:eastAsia="Calibri" w:hAnsi="Arial" w:cs="Arial"/>
          <w:sz w:val="18"/>
        </w:rPr>
      </w:pPr>
      <w:r w:rsidRPr="009307FE">
        <w:rPr>
          <w:rFonts w:ascii="Arial" w:eastAsia="Calibri" w:hAnsi="Arial" w:cs="Arial"/>
          <w:sz w:val="18"/>
        </w:rPr>
        <w:t>1 Budget Review (2017, pp 214-215)</w:t>
      </w:r>
    </w:p>
    <w:p w:rsidR="00DE24AB" w:rsidRPr="009307FE" w:rsidRDefault="00DE24AB" w:rsidP="009307FE">
      <w:pPr>
        <w:ind w:left="720"/>
        <w:rPr>
          <w:rFonts w:ascii="Arial" w:eastAsia="Calibri" w:hAnsi="Arial" w:cs="Arial"/>
          <w:sz w:val="18"/>
        </w:rPr>
      </w:pPr>
      <w:r w:rsidRPr="009307FE">
        <w:rPr>
          <w:rFonts w:ascii="Arial" w:eastAsia="Calibri" w:hAnsi="Arial" w:cs="Arial"/>
          <w:sz w:val="18"/>
        </w:rPr>
        <w:t>2 Revised estimate</w:t>
      </w:r>
    </w:p>
    <w:p w:rsidR="00DE24AB" w:rsidRPr="009307FE" w:rsidRDefault="00DE24AB" w:rsidP="009307FE">
      <w:pPr>
        <w:rPr>
          <w:rFonts w:ascii="Arial" w:eastAsia="Calibri" w:hAnsi="Arial" w:cs="Arial"/>
          <w:b/>
        </w:rPr>
      </w:pPr>
    </w:p>
    <w:p w:rsidR="00DE24AB" w:rsidRPr="009307FE" w:rsidRDefault="00DE24AB" w:rsidP="009307FE">
      <w:pPr>
        <w:ind w:left="720"/>
        <w:jc w:val="both"/>
        <w:rPr>
          <w:rFonts w:ascii="Arial" w:eastAsia="Calibri" w:hAnsi="Arial" w:cs="Arial"/>
        </w:rPr>
      </w:pPr>
      <w:r w:rsidRPr="009307FE">
        <w:rPr>
          <w:rFonts w:ascii="Arial" w:eastAsia="Calibri" w:hAnsi="Arial" w:cs="Arial"/>
        </w:rPr>
        <w:t>(b)</w:t>
      </w:r>
      <w:r w:rsidRPr="009307FE">
        <w:rPr>
          <w:rFonts w:ascii="Arial" w:eastAsia="Calibri" w:hAnsi="Arial" w:cs="Arial"/>
          <w:b/>
        </w:rPr>
        <w:t xml:space="preserve"> </w:t>
      </w:r>
      <w:r w:rsidRPr="009307FE">
        <w:rPr>
          <w:rFonts w:ascii="Arial" w:eastAsia="Calibri" w:hAnsi="Arial" w:cs="Arial"/>
        </w:rPr>
        <w:t xml:space="preserve">Wage bill information for the first six months of 2017/18 shows that the wage bill has increased by </w:t>
      </w:r>
      <w:r w:rsidR="00CD70B1" w:rsidRPr="009307FE">
        <w:rPr>
          <w:rFonts w:ascii="Arial" w:eastAsia="Calibri" w:hAnsi="Arial" w:cs="Arial"/>
        </w:rPr>
        <w:t>7.</w:t>
      </w:r>
      <w:r w:rsidR="00C416DF" w:rsidRPr="009307FE">
        <w:rPr>
          <w:rFonts w:ascii="Arial" w:eastAsia="Calibri" w:hAnsi="Arial" w:cs="Arial"/>
        </w:rPr>
        <w:t>4</w:t>
      </w:r>
      <w:r w:rsidRPr="009307FE">
        <w:rPr>
          <w:rFonts w:ascii="Arial" w:eastAsia="Calibri" w:hAnsi="Arial" w:cs="Arial"/>
        </w:rPr>
        <w:t xml:space="preserve"> per cent compared to the first </w:t>
      </w:r>
      <w:r w:rsidR="00CD70B1" w:rsidRPr="009307FE">
        <w:rPr>
          <w:rFonts w:ascii="Arial" w:eastAsia="Calibri" w:hAnsi="Arial" w:cs="Arial"/>
        </w:rPr>
        <w:t>half</w:t>
      </w:r>
      <w:r w:rsidRPr="009307FE">
        <w:rPr>
          <w:rFonts w:ascii="Arial" w:eastAsia="Calibri" w:hAnsi="Arial" w:cs="Arial"/>
        </w:rPr>
        <w:t xml:space="preserve"> of 2016/17.</w:t>
      </w:r>
    </w:p>
    <w:p w:rsidR="00986223" w:rsidRDefault="00986223" w:rsidP="009307FE">
      <w:pPr>
        <w:jc w:val="both"/>
        <w:rPr>
          <w:rFonts w:ascii="Arial" w:eastAsia="Calibri" w:hAnsi="Arial" w:cs="Arial"/>
        </w:rPr>
      </w:pPr>
    </w:p>
    <w:p w:rsidR="009307FE" w:rsidRDefault="009307F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9307FE" w:rsidRPr="009307FE" w:rsidRDefault="009307FE" w:rsidP="009307FE">
      <w:pPr>
        <w:jc w:val="both"/>
        <w:rPr>
          <w:rFonts w:ascii="Arial" w:eastAsia="Calibri" w:hAnsi="Arial" w:cs="Arial"/>
        </w:rPr>
      </w:pPr>
    </w:p>
    <w:p w:rsidR="00DE24AB" w:rsidRPr="009307FE" w:rsidRDefault="00DE24AB" w:rsidP="009307FE">
      <w:pPr>
        <w:ind w:left="720"/>
        <w:rPr>
          <w:rFonts w:ascii="Arial" w:hAnsi="Arial" w:cs="Arial"/>
          <w:b/>
          <w:vertAlign w:val="superscript"/>
        </w:rPr>
      </w:pPr>
      <w:r w:rsidRPr="009307FE">
        <w:rPr>
          <w:rFonts w:ascii="Arial" w:hAnsi="Arial" w:cs="Arial"/>
          <w:b/>
        </w:rPr>
        <w:t>Table 2: Consolidated national and provincial government</w:t>
      </w:r>
      <w:r w:rsidRPr="009307FE">
        <w:rPr>
          <w:rFonts w:ascii="Arial" w:hAnsi="Arial" w:cs="Arial"/>
          <w:b/>
          <w:vertAlign w:val="superscript"/>
        </w:rPr>
        <w:t>1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394"/>
        <w:gridCol w:w="1632"/>
        <w:gridCol w:w="1632"/>
        <w:gridCol w:w="1633"/>
      </w:tblGrid>
      <w:tr w:rsidR="00DE24AB" w:rsidRPr="009307FE" w:rsidTr="009307FE"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  <w:b/>
              </w:rPr>
            </w:pPr>
            <w:r w:rsidRPr="009307FE">
              <w:rPr>
                <w:rFonts w:ascii="Arial" w:eastAsia="Calibri" w:hAnsi="Arial" w:cs="Arial"/>
                <w:b/>
              </w:rPr>
              <w:t>R million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  <w:b/>
              </w:rPr>
            </w:pPr>
            <w:r w:rsidRPr="009307FE">
              <w:rPr>
                <w:rFonts w:ascii="Arial" w:eastAsia="Calibri" w:hAnsi="Arial" w:cs="Arial"/>
                <w:b/>
              </w:rPr>
              <w:t>2016/17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9307FE">
              <w:rPr>
                <w:rFonts w:ascii="Arial" w:eastAsia="Calibri" w:hAnsi="Arial" w:cs="Arial"/>
                <w:b/>
              </w:rPr>
              <w:t>2017/18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  <w:b/>
              </w:rPr>
            </w:pPr>
            <w:r w:rsidRPr="009307FE">
              <w:rPr>
                <w:rFonts w:ascii="Arial" w:eastAsia="Calibri" w:hAnsi="Arial" w:cs="Arial"/>
                <w:b/>
              </w:rPr>
              <w:t>Per cent increase</w:t>
            </w:r>
          </w:p>
        </w:tc>
      </w:tr>
      <w:tr w:rsidR="00C416DF" w:rsidRPr="009307FE" w:rsidTr="009307FE">
        <w:tc>
          <w:tcPr>
            <w:tcW w:w="3394" w:type="dxa"/>
            <w:vAlign w:val="center"/>
          </w:tcPr>
          <w:p w:rsidR="009307FE" w:rsidRDefault="00C416DF" w:rsidP="009307FE">
            <w:pPr>
              <w:rPr>
                <w:rFonts w:ascii="Arial" w:eastAsia="Calibri" w:hAnsi="Arial" w:cs="Arial"/>
              </w:rPr>
            </w:pPr>
            <w:r w:rsidRPr="009307FE">
              <w:rPr>
                <w:rFonts w:ascii="Arial" w:eastAsia="Calibri" w:hAnsi="Arial" w:cs="Arial"/>
              </w:rPr>
              <w:t>Compensation of employees:</w:t>
            </w:r>
          </w:p>
          <w:p w:rsidR="00C416DF" w:rsidRPr="009307FE" w:rsidRDefault="00C416DF" w:rsidP="009307FE">
            <w:pPr>
              <w:rPr>
                <w:rFonts w:ascii="Arial" w:eastAsia="Calibri" w:hAnsi="Arial" w:cs="Arial"/>
              </w:rPr>
            </w:pPr>
            <w:r w:rsidRPr="009307FE">
              <w:rPr>
                <w:rFonts w:ascii="Arial" w:eastAsia="Calibri" w:hAnsi="Arial" w:cs="Arial"/>
              </w:rPr>
              <w:t>first half</w:t>
            </w:r>
          </w:p>
        </w:tc>
        <w:tc>
          <w:tcPr>
            <w:tcW w:w="1632" w:type="dxa"/>
            <w:vAlign w:val="center"/>
          </w:tcPr>
          <w:p w:rsidR="00C416DF" w:rsidRPr="009307FE" w:rsidRDefault="00C416DF" w:rsidP="009307FE">
            <w:pPr>
              <w:jc w:val="center"/>
              <w:rPr>
                <w:rFonts w:ascii="Arial" w:eastAsia="Calibri" w:hAnsi="Arial" w:cs="Arial"/>
              </w:rPr>
            </w:pPr>
            <w:r w:rsidRPr="009307FE">
              <w:rPr>
                <w:rFonts w:ascii="Arial" w:eastAsia="Calibri" w:hAnsi="Arial" w:cs="Arial"/>
              </w:rPr>
              <w:t>225,004.1</w:t>
            </w:r>
          </w:p>
        </w:tc>
        <w:tc>
          <w:tcPr>
            <w:tcW w:w="1632" w:type="dxa"/>
            <w:vAlign w:val="center"/>
          </w:tcPr>
          <w:p w:rsidR="00C416DF" w:rsidRPr="009307FE" w:rsidRDefault="00C416DF" w:rsidP="009307FE">
            <w:pPr>
              <w:jc w:val="center"/>
              <w:rPr>
                <w:rFonts w:ascii="Arial" w:eastAsia="Calibri" w:hAnsi="Arial" w:cs="Arial"/>
              </w:rPr>
            </w:pPr>
            <w:r w:rsidRPr="009307FE">
              <w:rPr>
                <w:rFonts w:ascii="Arial" w:eastAsia="Calibri" w:hAnsi="Arial" w:cs="Arial"/>
              </w:rPr>
              <w:t>241,701.4</w:t>
            </w:r>
          </w:p>
        </w:tc>
        <w:tc>
          <w:tcPr>
            <w:tcW w:w="1633" w:type="dxa"/>
            <w:vAlign w:val="center"/>
          </w:tcPr>
          <w:p w:rsidR="00C416DF" w:rsidRPr="009307FE" w:rsidRDefault="00C416DF" w:rsidP="009307FE">
            <w:pPr>
              <w:jc w:val="center"/>
              <w:rPr>
                <w:rFonts w:ascii="Arial" w:eastAsia="Calibri" w:hAnsi="Arial" w:cs="Arial"/>
              </w:rPr>
            </w:pPr>
            <w:r w:rsidRPr="009307FE">
              <w:rPr>
                <w:rFonts w:ascii="Arial" w:eastAsia="Calibri" w:hAnsi="Arial" w:cs="Arial"/>
              </w:rPr>
              <w:t>7.4%</w:t>
            </w:r>
          </w:p>
        </w:tc>
      </w:tr>
    </w:tbl>
    <w:p w:rsidR="00DE24AB" w:rsidRPr="009307FE" w:rsidRDefault="00DE24AB" w:rsidP="009307FE">
      <w:pPr>
        <w:ind w:left="720"/>
        <w:rPr>
          <w:rFonts w:ascii="Arial" w:eastAsia="Calibri" w:hAnsi="Arial" w:cs="Arial"/>
          <w:sz w:val="18"/>
        </w:rPr>
      </w:pPr>
      <w:r w:rsidRPr="009307FE">
        <w:rPr>
          <w:rFonts w:ascii="Arial" w:eastAsia="Calibri" w:hAnsi="Arial" w:cs="Arial"/>
          <w:sz w:val="18"/>
        </w:rPr>
        <w:t>1 IYM reports, excludes National Parliament</w:t>
      </w:r>
    </w:p>
    <w:p w:rsidR="00DE24AB" w:rsidRPr="009307FE" w:rsidRDefault="00DE24AB" w:rsidP="009307FE">
      <w:pPr>
        <w:rPr>
          <w:rFonts w:ascii="Arial" w:eastAsia="Calibri" w:hAnsi="Arial" w:cs="Arial"/>
          <w:b/>
        </w:rPr>
      </w:pPr>
    </w:p>
    <w:p w:rsidR="00DE24AB" w:rsidRPr="009307FE" w:rsidRDefault="00DE24AB" w:rsidP="009307FE">
      <w:pPr>
        <w:ind w:left="720"/>
        <w:jc w:val="both"/>
        <w:rPr>
          <w:rFonts w:ascii="Arial" w:eastAsia="Calibri" w:hAnsi="Arial" w:cs="Arial"/>
        </w:rPr>
      </w:pPr>
      <w:r w:rsidRPr="009307FE">
        <w:rPr>
          <w:rFonts w:ascii="Arial" w:eastAsia="Calibri" w:hAnsi="Arial" w:cs="Arial"/>
        </w:rPr>
        <w:t xml:space="preserve">(c) </w:t>
      </w:r>
      <w:r w:rsidR="00B8631E" w:rsidRPr="009307FE">
        <w:rPr>
          <w:rFonts w:ascii="Arial" w:eastAsia="Calibri" w:hAnsi="Arial" w:cs="Arial"/>
        </w:rPr>
        <w:t xml:space="preserve">Wage bill reductions </w:t>
      </w:r>
      <w:r w:rsidRPr="009307FE">
        <w:rPr>
          <w:rFonts w:ascii="Arial" w:eastAsia="Calibri" w:hAnsi="Arial" w:cs="Arial"/>
        </w:rPr>
        <w:t xml:space="preserve">amounting to R25 billion were effected in 2017/18 (R10 billion) and 2018/19 (R15 billion). Assessment of savings for 2017/18 will only be possible at the end of the financial year. </w:t>
      </w:r>
    </w:p>
    <w:p w:rsidR="0043153A" w:rsidRPr="009307FE" w:rsidRDefault="0043153A" w:rsidP="009307FE">
      <w:pPr>
        <w:jc w:val="both"/>
        <w:rPr>
          <w:rFonts w:ascii="Arial" w:eastAsia="Calibri" w:hAnsi="Arial" w:cs="Arial"/>
          <w:b/>
        </w:rPr>
      </w:pPr>
    </w:p>
    <w:p w:rsidR="00DE24AB" w:rsidRPr="009307FE" w:rsidRDefault="00DE24AB" w:rsidP="009307FE">
      <w:pPr>
        <w:pStyle w:val="ListParagraph"/>
        <w:numPr>
          <w:ilvl w:val="0"/>
          <w:numId w:val="31"/>
        </w:numPr>
        <w:ind w:left="851" w:hanging="851"/>
        <w:jc w:val="both"/>
        <w:rPr>
          <w:rFonts w:ascii="Arial" w:eastAsia="Calibri" w:hAnsi="Arial" w:cs="Arial"/>
        </w:rPr>
      </w:pPr>
      <w:r w:rsidRPr="009307FE">
        <w:rPr>
          <w:rFonts w:ascii="Arial" w:eastAsia="Calibri" w:hAnsi="Arial" w:cs="Arial"/>
        </w:rPr>
        <w:t xml:space="preserve">Preliminary indications based on 2017/18 </w:t>
      </w:r>
      <w:r w:rsidR="00CD70B1" w:rsidRPr="009307FE">
        <w:rPr>
          <w:rFonts w:ascii="Arial" w:eastAsia="Calibri" w:hAnsi="Arial" w:cs="Arial"/>
        </w:rPr>
        <w:t>first half</w:t>
      </w:r>
      <w:r w:rsidRPr="009307FE">
        <w:rPr>
          <w:rFonts w:ascii="Arial" w:eastAsia="Calibri" w:hAnsi="Arial" w:cs="Arial"/>
        </w:rPr>
        <w:t xml:space="preserve"> compensation spend are that government is broadly on track to achieving targeted savings on compensation budgets.</w:t>
      </w:r>
      <w:r w:rsidR="009307FE">
        <w:rPr>
          <w:rFonts w:ascii="Arial" w:eastAsia="Calibri" w:hAnsi="Arial" w:cs="Arial"/>
        </w:rPr>
        <w:t xml:space="preserve">  </w:t>
      </w:r>
      <w:r w:rsidR="00CD70B1" w:rsidRPr="009307FE">
        <w:rPr>
          <w:rFonts w:ascii="Arial" w:eastAsia="Calibri" w:hAnsi="Arial" w:cs="Arial"/>
        </w:rPr>
        <w:t xml:space="preserve">A few national and provincial departments are, however, showing signs of excess pressures on their compensation budgets. </w:t>
      </w:r>
      <w:r w:rsidR="009307FE">
        <w:rPr>
          <w:rFonts w:ascii="Arial" w:eastAsia="Calibri" w:hAnsi="Arial" w:cs="Arial"/>
        </w:rPr>
        <w:t xml:space="preserve">The </w:t>
      </w:r>
      <w:r w:rsidRPr="009307FE">
        <w:rPr>
          <w:rFonts w:ascii="Arial" w:eastAsia="Calibri" w:hAnsi="Arial" w:cs="Arial"/>
        </w:rPr>
        <w:t xml:space="preserve">National Treasury will continue monitoring implementation of compensation budgets during the current financial year. </w:t>
      </w:r>
    </w:p>
    <w:p w:rsidR="00DE24AB" w:rsidRPr="009307FE" w:rsidRDefault="00DE24AB" w:rsidP="009307FE">
      <w:pPr>
        <w:rPr>
          <w:rFonts w:ascii="Arial" w:eastAsia="Calibri" w:hAnsi="Arial" w:cs="Arial"/>
        </w:rPr>
      </w:pPr>
    </w:p>
    <w:p w:rsidR="00DE24AB" w:rsidRPr="009307FE" w:rsidRDefault="00DE24AB" w:rsidP="009307FE">
      <w:pPr>
        <w:pStyle w:val="ListParagraph"/>
        <w:numPr>
          <w:ilvl w:val="0"/>
          <w:numId w:val="31"/>
        </w:numPr>
        <w:ind w:left="851" w:hanging="851"/>
        <w:jc w:val="both"/>
        <w:rPr>
          <w:rFonts w:ascii="Arial" w:eastAsia="Calibri" w:hAnsi="Arial" w:cs="Arial"/>
        </w:rPr>
      </w:pPr>
      <w:r w:rsidRPr="009307FE">
        <w:rPr>
          <w:rFonts w:ascii="Arial" w:eastAsia="Calibri" w:hAnsi="Arial" w:cs="Arial"/>
        </w:rPr>
        <w:t>The share of total budget for 2017/18 allocated to compensation of employees is 33.5 per cent.</w:t>
      </w:r>
    </w:p>
    <w:p w:rsidR="00CD70B1" w:rsidRPr="009307FE" w:rsidRDefault="00CD70B1" w:rsidP="009307FE">
      <w:pPr>
        <w:rPr>
          <w:rFonts w:ascii="Arial" w:eastAsia="Calibri" w:hAnsi="Arial" w:cs="Arial"/>
        </w:rPr>
      </w:pPr>
    </w:p>
    <w:p w:rsidR="00DE24AB" w:rsidRPr="009307FE" w:rsidRDefault="00DE24AB" w:rsidP="009307FE">
      <w:pPr>
        <w:ind w:firstLine="720"/>
        <w:rPr>
          <w:rFonts w:ascii="Arial" w:hAnsi="Arial" w:cs="Arial"/>
          <w:b/>
          <w:vertAlign w:val="superscript"/>
        </w:rPr>
      </w:pPr>
      <w:r w:rsidRPr="009307FE">
        <w:rPr>
          <w:rFonts w:ascii="Arial" w:hAnsi="Arial" w:cs="Arial"/>
          <w:b/>
        </w:rPr>
        <w:t>Table 3:</w:t>
      </w:r>
      <w:r w:rsidRPr="009307FE">
        <w:rPr>
          <w:rFonts w:ascii="Arial" w:hAnsi="Arial" w:cs="Arial"/>
        </w:rPr>
        <w:t xml:space="preserve"> </w:t>
      </w:r>
      <w:r w:rsidRPr="009307FE">
        <w:rPr>
          <w:rFonts w:ascii="Arial" w:hAnsi="Arial" w:cs="Arial"/>
          <w:b/>
        </w:rPr>
        <w:t>Consolidated national, provincial and social security funds</w:t>
      </w:r>
      <w:r w:rsidRPr="009307FE">
        <w:rPr>
          <w:rFonts w:ascii="Arial" w:hAnsi="Arial" w:cs="Arial"/>
          <w:b/>
          <w:vertAlign w:val="superscript"/>
        </w:rPr>
        <w:t>1</w:t>
      </w:r>
    </w:p>
    <w:p w:rsidR="00986223" w:rsidRPr="009307FE" w:rsidRDefault="00986223" w:rsidP="009307FE">
      <w:pPr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2442"/>
        <w:gridCol w:w="2442"/>
      </w:tblGrid>
      <w:tr w:rsidR="00DE24AB" w:rsidRPr="009307FE" w:rsidTr="009307FE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  <w:b/>
              </w:rPr>
            </w:pPr>
            <w:r w:rsidRPr="009307FE">
              <w:rPr>
                <w:rFonts w:ascii="Arial" w:eastAsia="Calibri" w:hAnsi="Arial" w:cs="Arial"/>
                <w:b/>
              </w:rPr>
              <w:t>R million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  <w:b/>
              </w:rPr>
            </w:pPr>
            <w:r w:rsidRPr="009307FE">
              <w:rPr>
                <w:rFonts w:ascii="Arial" w:eastAsia="Calibri" w:hAnsi="Arial" w:cs="Arial"/>
                <w:b/>
              </w:rPr>
              <w:t>2017/18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9307FE">
              <w:rPr>
                <w:rFonts w:ascii="Arial" w:eastAsia="Calibri" w:hAnsi="Arial" w:cs="Arial"/>
                <w:b/>
              </w:rPr>
              <w:t>Per cent of total budget</w:t>
            </w:r>
          </w:p>
        </w:tc>
      </w:tr>
      <w:tr w:rsidR="00DE24AB" w:rsidRPr="009307FE" w:rsidTr="009307FE">
        <w:tc>
          <w:tcPr>
            <w:tcW w:w="3544" w:type="dxa"/>
            <w:vAlign w:val="center"/>
          </w:tcPr>
          <w:p w:rsidR="00DE24AB" w:rsidRPr="009307FE" w:rsidRDefault="00DE24AB" w:rsidP="009307FE">
            <w:pPr>
              <w:rPr>
                <w:rFonts w:ascii="Arial" w:eastAsia="Calibri" w:hAnsi="Arial" w:cs="Arial"/>
              </w:rPr>
            </w:pPr>
            <w:r w:rsidRPr="009307FE">
              <w:rPr>
                <w:rFonts w:ascii="Arial" w:eastAsia="Calibri" w:hAnsi="Arial" w:cs="Arial"/>
              </w:rPr>
              <w:t>Compensation of employees</w:t>
            </w:r>
          </w:p>
        </w:tc>
        <w:tc>
          <w:tcPr>
            <w:tcW w:w="2442" w:type="dxa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</w:rPr>
            </w:pPr>
            <w:r w:rsidRPr="009307FE">
              <w:rPr>
                <w:rFonts w:ascii="Arial" w:eastAsia="Calibri" w:hAnsi="Arial" w:cs="Arial"/>
              </w:rPr>
              <w:t>497 094.9</w:t>
            </w:r>
          </w:p>
        </w:tc>
        <w:tc>
          <w:tcPr>
            <w:tcW w:w="2442" w:type="dxa"/>
            <w:vAlign w:val="center"/>
          </w:tcPr>
          <w:p w:rsidR="00DE24AB" w:rsidRPr="009307FE" w:rsidRDefault="00DE24AB" w:rsidP="009307FE">
            <w:pPr>
              <w:jc w:val="center"/>
              <w:rPr>
                <w:rFonts w:ascii="Arial" w:eastAsia="Calibri" w:hAnsi="Arial" w:cs="Arial"/>
              </w:rPr>
            </w:pPr>
            <w:r w:rsidRPr="009307FE">
              <w:rPr>
                <w:rFonts w:ascii="Arial" w:eastAsia="Calibri" w:hAnsi="Arial" w:cs="Arial"/>
              </w:rPr>
              <w:t>33.5%</w:t>
            </w:r>
          </w:p>
        </w:tc>
      </w:tr>
    </w:tbl>
    <w:p w:rsidR="00986223" w:rsidRPr="009307FE" w:rsidRDefault="00DE24AB" w:rsidP="009307FE">
      <w:pPr>
        <w:ind w:left="720"/>
        <w:rPr>
          <w:rFonts w:ascii="Arial" w:eastAsia="Calibri" w:hAnsi="Arial" w:cs="Arial"/>
          <w:sz w:val="18"/>
          <w:szCs w:val="18"/>
        </w:rPr>
      </w:pPr>
      <w:r w:rsidRPr="009307FE">
        <w:rPr>
          <w:rFonts w:ascii="Arial" w:eastAsia="Calibri" w:hAnsi="Arial" w:cs="Arial"/>
          <w:sz w:val="18"/>
          <w:szCs w:val="18"/>
        </w:rPr>
        <w:t>1 Budget Review (2017, pp 214-215)</w:t>
      </w:r>
    </w:p>
    <w:p w:rsidR="00986223" w:rsidRDefault="00986223" w:rsidP="009307FE">
      <w:pPr>
        <w:rPr>
          <w:rFonts w:ascii="Arial" w:eastAsia="Calibri" w:hAnsi="Arial" w:cs="Arial"/>
          <w:sz w:val="16"/>
        </w:rPr>
      </w:pPr>
      <w:bookmarkStart w:id="0" w:name="_GoBack"/>
      <w:bookmarkEnd w:id="0"/>
    </w:p>
    <w:sectPr w:rsidR="00986223" w:rsidSect="009307FE">
      <w:pgSz w:w="11909" w:h="16834" w:code="9"/>
      <w:pgMar w:top="1440" w:right="1440" w:bottom="11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760"/>
    <w:multiLevelType w:val="hybridMultilevel"/>
    <w:tmpl w:val="361C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09F0"/>
    <w:multiLevelType w:val="hybridMultilevel"/>
    <w:tmpl w:val="E72E7B3A"/>
    <w:lvl w:ilvl="0" w:tplc="FA961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812843"/>
    <w:multiLevelType w:val="hybridMultilevel"/>
    <w:tmpl w:val="0C081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6270"/>
    <w:multiLevelType w:val="hybridMultilevel"/>
    <w:tmpl w:val="CEEA92DA"/>
    <w:lvl w:ilvl="0" w:tplc="C63C87D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ECD7C1D"/>
    <w:multiLevelType w:val="hybridMultilevel"/>
    <w:tmpl w:val="A8B0F552"/>
    <w:lvl w:ilvl="0" w:tplc="3F0AE11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F78A4"/>
    <w:multiLevelType w:val="hybridMultilevel"/>
    <w:tmpl w:val="C494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A1346"/>
    <w:multiLevelType w:val="hybridMultilevel"/>
    <w:tmpl w:val="0D2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D6805"/>
    <w:multiLevelType w:val="hybridMultilevel"/>
    <w:tmpl w:val="020CDAEA"/>
    <w:lvl w:ilvl="0" w:tplc="6D8E6B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B16CA9"/>
    <w:multiLevelType w:val="hybridMultilevel"/>
    <w:tmpl w:val="020CDAEA"/>
    <w:lvl w:ilvl="0" w:tplc="6D8E6B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20"/>
  </w:num>
  <w:num w:numId="5">
    <w:abstractNumId w:val="21"/>
  </w:num>
  <w:num w:numId="6">
    <w:abstractNumId w:val="8"/>
  </w:num>
  <w:num w:numId="7">
    <w:abstractNumId w:val="30"/>
  </w:num>
  <w:num w:numId="8">
    <w:abstractNumId w:val="1"/>
  </w:num>
  <w:num w:numId="9">
    <w:abstractNumId w:val="4"/>
  </w:num>
  <w:num w:numId="10">
    <w:abstractNumId w:val="0"/>
  </w:num>
  <w:num w:numId="11">
    <w:abstractNumId w:val="26"/>
  </w:num>
  <w:num w:numId="12">
    <w:abstractNumId w:val="25"/>
  </w:num>
  <w:num w:numId="13">
    <w:abstractNumId w:val="12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6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7"/>
  </w:num>
  <w:num w:numId="27">
    <w:abstractNumId w:val="13"/>
  </w:num>
  <w:num w:numId="28">
    <w:abstractNumId w:val="7"/>
  </w:num>
  <w:num w:numId="29">
    <w:abstractNumId w:val="22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3171D"/>
    <w:rsid w:val="000412E0"/>
    <w:rsid w:val="00063BEC"/>
    <w:rsid w:val="000652CF"/>
    <w:rsid w:val="000A0468"/>
    <w:rsid w:val="000B0B7B"/>
    <w:rsid w:val="000F066D"/>
    <w:rsid w:val="00104D29"/>
    <w:rsid w:val="001131D9"/>
    <w:rsid w:val="00120022"/>
    <w:rsid w:val="001344C4"/>
    <w:rsid w:val="00135478"/>
    <w:rsid w:val="001433AE"/>
    <w:rsid w:val="00152E82"/>
    <w:rsid w:val="001547A5"/>
    <w:rsid w:val="00166953"/>
    <w:rsid w:val="001745D1"/>
    <w:rsid w:val="00175842"/>
    <w:rsid w:val="001837AD"/>
    <w:rsid w:val="001C068D"/>
    <w:rsid w:val="001C51A3"/>
    <w:rsid w:val="001C524C"/>
    <w:rsid w:val="001E6902"/>
    <w:rsid w:val="001F1163"/>
    <w:rsid w:val="001F223B"/>
    <w:rsid w:val="002101C0"/>
    <w:rsid w:val="0021081B"/>
    <w:rsid w:val="00216C1E"/>
    <w:rsid w:val="0022061D"/>
    <w:rsid w:val="00232604"/>
    <w:rsid w:val="00242243"/>
    <w:rsid w:val="00246E89"/>
    <w:rsid w:val="00247658"/>
    <w:rsid w:val="00250D70"/>
    <w:rsid w:val="00252C87"/>
    <w:rsid w:val="002549F9"/>
    <w:rsid w:val="00257D88"/>
    <w:rsid w:val="002722CF"/>
    <w:rsid w:val="00277A47"/>
    <w:rsid w:val="002C0647"/>
    <w:rsid w:val="002F5E69"/>
    <w:rsid w:val="00303310"/>
    <w:rsid w:val="00310C5A"/>
    <w:rsid w:val="00323CC8"/>
    <w:rsid w:val="00366412"/>
    <w:rsid w:val="003863FD"/>
    <w:rsid w:val="003A52EE"/>
    <w:rsid w:val="003B5D8E"/>
    <w:rsid w:val="003D36F1"/>
    <w:rsid w:val="003F0AC4"/>
    <w:rsid w:val="00407361"/>
    <w:rsid w:val="004267EF"/>
    <w:rsid w:val="0043153A"/>
    <w:rsid w:val="00433463"/>
    <w:rsid w:val="00465369"/>
    <w:rsid w:val="004771FB"/>
    <w:rsid w:val="0048061D"/>
    <w:rsid w:val="004836B9"/>
    <w:rsid w:val="00487065"/>
    <w:rsid w:val="004A3B9E"/>
    <w:rsid w:val="004A5ED5"/>
    <w:rsid w:val="004A7C34"/>
    <w:rsid w:val="004B4052"/>
    <w:rsid w:val="004C5679"/>
    <w:rsid w:val="004C7422"/>
    <w:rsid w:val="004E02F2"/>
    <w:rsid w:val="00501C0E"/>
    <w:rsid w:val="005141B3"/>
    <w:rsid w:val="005222C9"/>
    <w:rsid w:val="00524983"/>
    <w:rsid w:val="00530F50"/>
    <w:rsid w:val="005335E8"/>
    <w:rsid w:val="0054111D"/>
    <w:rsid w:val="00595FE8"/>
    <w:rsid w:val="005A2E36"/>
    <w:rsid w:val="005A30FB"/>
    <w:rsid w:val="005D46ED"/>
    <w:rsid w:val="00603762"/>
    <w:rsid w:val="00613FC6"/>
    <w:rsid w:val="00624CBE"/>
    <w:rsid w:val="00642A1D"/>
    <w:rsid w:val="00653DC0"/>
    <w:rsid w:val="00684AAB"/>
    <w:rsid w:val="00695A9A"/>
    <w:rsid w:val="006B1504"/>
    <w:rsid w:val="006B5828"/>
    <w:rsid w:val="00702034"/>
    <w:rsid w:val="00716D12"/>
    <w:rsid w:val="00720680"/>
    <w:rsid w:val="007326D4"/>
    <w:rsid w:val="00736CFE"/>
    <w:rsid w:val="0076129D"/>
    <w:rsid w:val="0076584C"/>
    <w:rsid w:val="0079063F"/>
    <w:rsid w:val="007B2F99"/>
    <w:rsid w:val="007B66A0"/>
    <w:rsid w:val="007C366D"/>
    <w:rsid w:val="007D6C35"/>
    <w:rsid w:val="007E09DE"/>
    <w:rsid w:val="00807F57"/>
    <w:rsid w:val="00810D64"/>
    <w:rsid w:val="00814F3C"/>
    <w:rsid w:val="00815E0B"/>
    <w:rsid w:val="00823EA9"/>
    <w:rsid w:val="0087366B"/>
    <w:rsid w:val="0087557B"/>
    <w:rsid w:val="00875E12"/>
    <w:rsid w:val="008803B7"/>
    <w:rsid w:val="00892134"/>
    <w:rsid w:val="008B5B10"/>
    <w:rsid w:val="008B7AE7"/>
    <w:rsid w:val="008D26AB"/>
    <w:rsid w:val="008D419D"/>
    <w:rsid w:val="008E55B9"/>
    <w:rsid w:val="00905B37"/>
    <w:rsid w:val="0091205F"/>
    <w:rsid w:val="009307FE"/>
    <w:rsid w:val="00932D09"/>
    <w:rsid w:val="00956BFC"/>
    <w:rsid w:val="00957F87"/>
    <w:rsid w:val="0096291A"/>
    <w:rsid w:val="00986223"/>
    <w:rsid w:val="009A18A7"/>
    <w:rsid w:val="009C43A5"/>
    <w:rsid w:val="009D33D8"/>
    <w:rsid w:val="009D71C6"/>
    <w:rsid w:val="00A11776"/>
    <w:rsid w:val="00A139DE"/>
    <w:rsid w:val="00A30604"/>
    <w:rsid w:val="00A32409"/>
    <w:rsid w:val="00A42134"/>
    <w:rsid w:val="00A52D24"/>
    <w:rsid w:val="00A61AD6"/>
    <w:rsid w:val="00A6413D"/>
    <w:rsid w:val="00A65EA0"/>
    <w:rsid w:val="00A72104"/>
    <w:rsid w:val="00A86AE1"/>
    <w:rsid w:val="00A959A6"/>
    <w:rsid w:val="00A97CE4"/>
    <w:rsid w:val="00AA1288"/>
    <w:rsid w:val="00AA17BB"/>
    <w:rsid w:val="00AA3CAA"/>
    <w:rsid w:val="00AA5C67"/>
    <w:rsid w:val="00AB4FAB"/>
    <w:rsid w:val="00AD0537"/>
    <w:rsid w:val="00AF50AE"/>
    <w:rsid w:val="00B1550C"/>
    <w:rsid w:val="00B20992"/>
    <w:rsid w:val="00B409C6"/>
    <w:rsid w:val="00B57B7A"/>
    <w:rsid w:val="00B65B48"/>
    <w:rsid w:val="00B75338"/>
    <w:rsid w:val="00B77298"/>
    <w:rsid w:val="00B8631E"/>
    <w:rsid w:val="00B940DF"/>
    <w:rsid w:val="00BA121D"/>
    <w:rsid w:val="00BA1416"/>
    <w:rsid w:val="00BB1CB3"/>
    <w:rsid w:val="00BC3017"/>
    <w:rsid w:val="00BE0961"/>
    <w:rsid w:val="00BF6291"/>
    <w:rsid w:val="00C02CE0"/>
    <w:rsid w:val="00C330AD"/>
    <w:rsid w:val="00C416DF"/>
    <w:rsid w:val="00C44C35"/>
    <w:rsid w:val="00C540F1"/>
    <w:rsid w:val="00C77AEF"/>
    <w:rsid w:val="00CA56BB"/>
    <w:rsid w:val="00CB3CED"/>
    <w:rsid w:val="00CD70B1"/>
    <w:rsid w:val="00CD717F"/>
    <w:rsid w:val="00CE2CC4"/>
    <w:rsid w:val="00D0120D"/>
    <w:rsid w:val="00D252CF"/>
    <w:rsid w:val="00D26B3A"/>
    <w:rsid w:val="00D32984"/>
    <w:rsid w:val="00D41ED0"/>
    <w:rsid w:val="00D71DE6"/>
    <w:rsid w:val="00D747FF"/>
    <w:rsid w:val="00D96460"/>
    <w:rsid w:val="00DA2D92"/>
    <w:rsid w:val="00DB6B3C"/>
    <w:rsid w:val="00DB795A"/>
    <w:rsid w:val="00DC684E"/>
    <w:rsid w:val="00DE24AB"/>
    <w:rsid w:val="00DF1DDB"/>
    <w:rsid w:val="00E1631D"/>
    <w:rsid w:val="00E21152"/>
    <w:rsid w:val="00E26C88"/>
    <w:rsid w:val="00E32136"/>
    <w:rsid w:val="00E44AF7"/>
    <w:rsid w:val="00E451F2"/>
    <w:rsid w:val="00E57150"/>
    <w:rsid w:val="00E6523B"/>
    <w:rsid w:val="00E710E6"/>
    <w:rsid w:val="00E72933"/>
    <w:rsid w:val="00E77DF6"/>
    <w:rsid w:val="00E84384"/>
    <w:rsid w:val="00E84B1C"/>
    <w:rsid w:val="00EA5314"/>
    <w:rsid w:val="00EA6440"/>
    <w:rsid w:val="00EB0EA7"/>
    <w:rsid w:val="00EC15F2"/>
    <w:rsid w:val="00ED4459"/>
    <w:rsid w:val="00ED5918"/>
    <w:rsid w:val="00ED6014"/>
    <w:rsid w:val="00EE38AD"/>
    <w:rsid w:val="00F004E3"/>
    <w:rsid w:val="00F1697A"/>
    <w:rsid w:val="00F24B8C"/>
    <w:rsid w:val="00F24EF0"/>
    <w:rsid w:val="00F44D10"/>
    <w:rsid w:val="00F45A93"/>
    <w:rsid w:val="00F51BF4"/>
    <w:rsid w:val="00F71DB2"/>
    <w:rsid w:val="00F871DE"/>
    <w:rsid w:val="00F9368F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F004E3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1"/>
      <w:szCs w:val="20"/>
      <w:lang w:val="en-ZA"/>
    </w:rPr>
  </w:style>
  <w:style w:type="character" w:customStyle="1" w:styleId="ParagraphChar">
    <w:name w:val="Paragraph Char"/>
    <w:link w:val="Paragraph"/>
    <w:rsid w:val="00F004E3"/>
    <w:rPr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F004E3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1"/>
      <w:szCs w:val="20"/>
      <w:lang w:val="en-ZA"/>
    </w:rPr>
  </w:style>
  <w:style w:type="character" w:customStyle="1" w:styleId="ParagraphChar">
    <w:name w:val="Paragraph Char"/>
    <w:link w:val="Paragraph"/>
    <w:rsid w:val="00F004E3"/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10A9-A503-4D50-B331-6118C949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2017-11-16T11:32:00Z</cp:lastPrinted>
  <dcterms:created xsi:type="dcterms:W3CDTF">2017-11-24T17:45:00Z</dcterms:created>
  <dcterms:modified xsi:type="dcterms:W3CDTF">2017-11-24T17:45:00Z</dcterms:modified>
</cp:coreProperties>
</file>