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4A" w:rsidRDefault="0051294A" w:rsidP="00C4429F"/>
    <w:p w:rsidR="00026E8B" w:rsidRPr="004C58F4" w:rsidRDefault="00026E8B" w:rsidP="00F43796">
      <w:pPr>
        <w:tabs>
          <w:tab w:val="left" w:pos="7020"/>
        </w:tabs>
        <w:rPr>
          <w:rFonts w:ascii="Arial" w:hAnsi="Arial" w:cs="Arial"/>
          <w:b/>
          <w:sz w:val="24"/>
          <w:szCs w:val="24"/>
          <w:u w:val="single"/>
        </w:rPr>
      </w:pPr>
      <w:r w:rsidRPr="004C58F4">
        <w:rPr>
          <w:rFonts w:ascii="Arial" w:hAnsi="Arial" w:cs="Arial"/>
          <w:b/>
          <w:sz w:val="24"/>
          <w:szCs w:val="24"/>
          <w:u w:val="single"/>
        </w:rPr>
        <w:t>NATIONAL ASSEMBLY</w:t>
      </w:r>
    </w:p>
    <w:p w:rsidR="00026E8B" w:rsidRDefault="00026E8B" w:rsidP="00F43796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7A64D9" w:rsidRDefault="007A64D9" w:rsidP="00F43796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7A64D9" w:rsidRPr="00662F7C" w:rsidRDefault="007A64D9" w:rsidP="00F43796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026E8B" w:rsidRPr="004C58F4" w:rsidRDefault="00026E8B" w:rsidP="00F43796">
      <w:pPr>
        <w:tabs>
          <w:tab w:val="left" w:pos="7020"/>
        </w:tabs>
        <w:rPr>
          <w:rFonts w:ascii="Arial" w:hAnsi="Arial" w:cs="Arial"/>
          <w:b/>
          <w:sz w:val="24"/>
          <w:szCs w:val="24"/>
          <w:u w:val="single"/>
        </w:rPr>
      </w:pPr>
      <w:r w:rsidRPr="004C58F4">
        <w:rPr>
          <w:rFonts w:ascii="Arial" w:hAnsi="Arial" w:cs="Arial"/>
          <w:b/>
          <w:sz w:val="24"/>
          <w:szCs w:val="24"/>
          <w:u w:val="single"/>
        </w:rPr>
        <w:t>WRITTEN REPLY</w:t>
      </w:r>
    </w:p>
    <w:p w:rsidR="00026E8B" w:rsidRDefault="00026E8B" w:rsidP="00F43796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7A64D9" w:rsidRDefault="007A64D9" w:rsidP="00F43796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7A64D9" w:rsidRPr="00662F7C" w:rsidRDefault="007A64D9" w:rsidP="00F43796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026E8B" w:rsidRPr="004C58F4" w:rsidRDefault="00026E8B" w:rsidP="00F43796">
      <w:pPr>
        <w:tabs>
          <w:tab w:val="left" w:pos="7020"/>
        </w:tabs>
        <w:rPr>
          <w:rFonts w:ascii="Arial" w:hAnsi="Arial" w:cs="Arial"/>
          <w:b/>
          <w:sz w:val="24"/>
          <w:szCs w:val="24"/>
          <w:u w:val="single"/>
        </w:rPr>
      </w:pPr>
      <w:r w:rsidRPr="004C58F4">
        <w:rPr>
          <w:rFonts w:ascii="Arial" w:hAnsi="Arial" w:cs="Arial"/>
          <w:b/>
          <w:sz w:val="24"/>
          <w:szCs w:val="24"/>
          <w:u w:val="single"/>
        </w:rPr>
        <w:t xml:space="preserve">QUESTION NO. </w:t>
      </w:r>
      <w:r w:rsidR="00C30744">
        <w:rPr>
          <w:rFonts w:ascii="Arial" w:hAnsi="Arial" w:cs="Arial"/>
          <w:b/>
          <w:sz w:val="24"/>
          <w:szCs w:val="24"/>
          <w:u w:val="single"/>
        </w:rPr>
        <w:t>3080</w:t>
      </w:r>
    </w:p>
    <w:p w:rsidR="00026E8B" w:rsidRDefault="00026E8B" w:rsidP="00F43796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4C58F4" w:rsidRDefault="004C58F4" w:rsidP="00F43796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F43796" w:rsidRDefault="00F43796" w:rsidP="00F43796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4C58F4" w:rsidRDefault="004C58F4" w:rsidP="00F43796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  <w:r w:rsidRPr="004C58F4">
        <w:rPr>
          <w:rFonts w:ascii="Arial" w:hAnsi="Arial" w:cs="Arial"/>
          <w:b/>
          <w:sz w:val="24"/>
          <w:szCs w:val="24"/>
        </w:rPr>
        <w:t>DATE OF PUBLICATION IN THE INTERNAL QUESTION PAPER</w:t>
      </w:r>
      <w:r w:rsidR="00F43796">
        <w:rPr>
          <w:rFonts w:ascii="Arial" w:hAnsi="Arial" w:cs="Arial"/>
          <w:b/>
          <w:sz w:val="24"/>
          <w:szCs w:val="24"/>
        </w:rPr>
        <w:t xml:space="preserve">:  </w:t>
      </w:r>
      <w:r w:rsidR="008D6347">
        <w:rPr>
          <w:rFonts w:ascii="Arial" w:hAnsi="Arial" w:cs="Arial"/>
          <w:b/>
          <w:sz w:val="24"/>
          <w:szCs w:val="24"/>
        </w:rPr>
        <w:t>2</w:t>
      </w:r>
      <w:r w:rsidR="00C30744">
        <w:rPr>
          <w:rFonts w:ascii="Arial" w:hAnsi="Arial" w:cs="Arial"/>
          <w:b/>
          <w:sz w:val="24"/>
          <w:szCs w:val="24"/>
        </w:rPr>
        <w:t>1</w:t>
      </w:r>
      <w:r w:rsidR="00DB1341">
        <w:rPr>
          <w:rFonts w:ascii="Arial" w:hAnsi="Arial" w:cs="Arial"/>
          <w:b/>
          <w:sz w:val="24"/>
          <w:szCs w:val="24"/>
        </w:rPr>
        <w:t xml:space="preserve"> </w:t>
      </w:r>
      <w:r w:rsidR="00C30744">
        <w:rPr>
          <w:rFonts w:ascii="Arial" w:hAnsi="Arial" w:cs="Arial"/>
          <w:b/>
          <w:sz w:val="24"/>
          <w:szCs w:val="24"/>
        </w:rPr>
        <w:t>AUGUST</w:t>
      </w:r>
      <w:r w:rsidRPr="004C58F4">
        <w:rPr>
          <w:rFonts w:ascii="Arial" w:hAnsi="Arial" w:cs="Arial"/>
          <w:b/>
          <w:sz w:val="24"/>
          <w:szCs w:val="24"/>
        </w:rPr>
        <w:t xml:space="preserve"> 201</w:t>
      </w:r>
      <w:r w:rsidR="0013719E">
        <w:rPr>
          <w:rFonts w:ascii="Arial" w:hAnsi="Arial" w:cs="Arial"/>
          <w:b/>
          <w:sz w:val="24"/>
          <w:szCs w:val="24"/>
        </w:rPr>
        <w:t>5</w:t>
      </w:r>
      <w:r w:rsidR="00F43796">
        <w:rPr>
          <w:rFonts w:ascii="Arial" w:hAnsi="Arial" w:cs="Arial"/>
          <w:b/>
          <w:sz w:val="24"/>
          <w:szCs w:val="24"/>
        </w:rPr>
        <w:t xml:space="preserve">:  </w:t>
      </w:r>
      <w:r w:rsidRPr="004C58F4">
        <w:rPr>
          <w:rFonts w:ascii="Arial" w:hAnsi="Arial" w:cs="Arial"/>
          <w:b/>
          <w:sz w:val="24"/>
          <w:szCs w:val="24"/>
        </w:rPr>
        <w:t xml:space="preserve"> QUESTION PAPER </w:t>
      </w:r>
      <w:r w:rsidR="00F43796">
        <w:rPr>
          <w:rFonts w:ascii="Arial" w:hAnsi="Arial" w:cs="Arial"/>
          <w:b/>
          <w:sz w:val="24"/>
          <w:szCs w:val="24"/>
        </w:rPr>
        <w:t xml:space="preserve">NO </w:t>
      </w:r>
      <w:r w:rsidR="008D6347">
        <w:rPr>
          <w:rFonts w:ascii="Arial" w:hAnsi="Arial" w:cs="Arial"/>
          <w:b/>
          <w:sz w:val="24"/>
          <w:szCs w:val="24"/>
        </w:rPr>
        <w:t>3</w:t>
      </w:r>
      <w:r w:rsidR="00C30744">
        <w:rPr>
          <w:rFonts w:ascii="Arial" w:hAnsi="Arial" w:cs="Arial"/>
          <w:b/>
          <w:sz w:val="24"/>
          <w:szCs w:val="24"/>
        </w:rPr>
        <w:t>2</w:t>
      </w:r>
      <w:r w:rsidR="0013719E">
        <w:rPr>
          <w:rFonts w:ascii="Arial" w:hAnsi="Arial" w:cs="Arial"/>
          <w:b/>
          <w:sz w:val="24"/>
          <w:szCs w:val="24"/>
        </w:rPr>
        <w:t xml:space="preserve"> </w:t>
      </w:r>
      <w:r w:rsidRPr="004C58F4">
        <w:rPr>
          <w:rFonts w:ascii="Arial" w:hAnsi="Arial" w:cs="Arial"/>
          <w:b/>
          <w:sz w:val="24"/>
          <w:szCs w:val="24"/>
        </w:rPr>
        <w:t>-</w:t>
      </w:r>
      <w:r w:rsidR="0013719E">
        <w:rPr>
          <w:rFonts w:ascii="Arial" w:hAnsi="Arial" w:cs="Arial"/>
          <w:b/>
          <w:sz w:val="24"/>
          <w:szCs w:val="24"/>
        </w:rPr>
        <w:t xml:space="preserve"> </w:t>
      </w:r>
      <w:r w:rsidRPr="004C58F4">
        <w:rPr>
          <w:rFonts w:ascii="Arial" w:hAnsi="Arial" w:cs="Arial"/>
          <w:b/>
          <w:sz w:val="24"/>
          <w:szCs w:val="24"/>
        </w:rPr>
        <w:t>201</w:t>
      </w:r>
      <w:r w:rsidR="0013719E">
        <w:rPr>
          <w:rFonts w:ascii="Arial" w:hAnsi="Arial" w:cs="Arial"/>
          <w:b/>
          <w:sz w:val="24"/>
          <w:szCs w:val="24"/>
        </w:rPr>
        <w:t>5</w:t>
      </w:r>
    </w:p>
    <w:p w:rsidR="004C58F4" w:rsidRDefault="004C58F4" w:rsidP="00F43796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F43796" w:rsidRDefault="00F43796" w:rsidP="00F43796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F43796" w:rsidRDefault="00F43796" w:rsidP="00F43796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4C58F4" w:rsidRDefault="004C58F4" w:rsidP="00F43796">
      <w:pPr>
        <w:tabs>
          <w:tab w:val="left" w:pos="1134"/>
        </w:tabs>
        <w:ind w:left="180" w:hanging="9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C30744">
        <w:rPr>
          <w:rFonts w:ascii="Arial" w:hAnsi="Arial" w:cs="Arial"/>
          <w:b/>
          <w:sz w:val="24"/>
          <w:szCs w:val="24"/>
        </w:rPr>
        <w:t>3080</w:t>
      </w:r>
      <w:r w:rsidR="00F43796">
        <w:rPr>
          <w:rFonts w:ascii="Arial" w:hAnsi="Arial" w:cs="Arial"/>
          <w:b/>
          <w:sz w:val="24"/>
          <w:szCs w:val="24"/>
        </w:rPr>
        <w:t>.</w:t>
      </w:r>
      <w:r w:rsidR="00F43796">
        <w:rPr>
          <w:rFonts w:ascii="Arial" w:hAnsi="Arial" w:cs="Arial"/>
          <w:b/>
          <w:sz w:val="24"/>
          <w:szCs w:val="24"/>
        </w:rPr>
        <w:tab/>
      </w:r>
      <w:r w:rsidR="00C30744">
        <w:rPr>
          <w:rFonts w:ascii="Arial" w:hAnsi="Arial" w:cs="Arial"/>
          <w:b/>
          <w:sz w:val="24"/>
          <w:szCs w:val="24"/>
        </w:rPr>
        <w:t>Dr A Lotriet</w:t>
      </w:r>
      <w:r>
        <w:rPr>
          <w:rFonts w:ascii="Arial" w:hAnsi="Arial" w:cs="Arial"/>
          <w:b/>
          <w:sz w:val="24"/>
          <w:szCs w:val="24"/>
        </w:rPr>
        <w:t xml:space="preserve"> (DA) to ask the Minister of Science and Technology:</w:t>
      </w:r>
    </w:p>
    <w:p w:rsidR="00F43796" w:rsidRDefault="00F43796" w:rsidP="00F43796">
      <w:pPr>
        <w:tabs>
          <w:tab w:val="left" w:pos="1134"/>
        </w:tabs>
        <w:ind w:left="180" w:hanging="90"/>
        <w:jc w:val="both"/>
        <w:rPr>
          <w:rFonts w:ascii="Arial" w:hAnsi="Arial" w:cs="Arial"/>
          <w:b/>
          <w:sz w:val="24"/>
          <w:szCs w:val="24"/>
        </w:rPr>
      </w:pPr>
    </w:p>
    <w:p w:rsidR="00DB1341" w:rsidRPr="00704F39" w:rsidRDefault="00F43796" w:rsidP="00F43796">
      <w:pPr>
        <w:tabs>
          <w:tab w:val="left" w:pos="180"/>
          <w:tab w:val="left" w:pos="540"/>
        </w:tabs>
        <w:ind w:left="1134" w:hanging="95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D6347">
        <w:rPr>
          <w:rFonts w:ascii="Arial" w:hAnsi="Arial" w:cs="Arial"/>
          <w:b/>
          <w:sz w:val="24"/>
          <w:szCs w:val="24"/>
        </w:rPr>
        <w:t xml:space="preserve">(a) </w:t>
      </w:r>
      <w:r w:rsidR="00C30744">
        <w:rPr>
          <w:rFonts w:ascii="Arial" w:hAnsi="Arial" w:cs="Arial"/>
          <w:b/>
          <w:sz w:val="24"/>
          <w:szCs w:val="24"/>
        </w:rPr>
        <w:t xml:space="preserve">How does (i) </w:t>
      </w:r>
      <w:r w:rsidR="008D6347">
        <w:rPr>
          <w:rFonts w:ascii="Arial" w:hAnsi="Arial" w:cs="Arial"/>
          <w:b/>
          <w:sz w:val="24"/>
          <w:szCs w:val="24"/>
        </w:rPr>
        <w:t>her department and (</w:t>
      </w:r>
      <w:r w:rsidR="00C30744">
        <w:rPr>
          <w:rFonts w:ascii="Arial" w:hAnsi="Arial" w:cs="Arial"/>
          <w:b/>
          <w:sz w:val="24"/>
          <w:szCs w:val="24"/>
        </w:rPr>
        <w:t>ii</w:t>
      </w:r>
      <w:r w:rsidR="008D6347">
        <w:rPr>
          <w:rFonts w:ascii="Arial" w:hAnsi="Arial" w:cs="Arial"/>
          <w:b/>
          <w:sz w:val="24"/>
          <w:szCs w:val="24"/>
        </w:rPr>
        <w:t>) entit</w:t>
      </w:r>
      <w:r w:rsidR="00C30744">
        <w:rPr>
          <w:rFonts w:ascii="Arial" w:hAnsi="Arial" w:cs="Arial"/>
          <w:b/>
          <w:sz w:val="24"/>
          <w:szCs w:val="24"/>
        </w:rPr>
        <w:t>ies</w:t>
      </w:r>
      <w:r w:rsidR="008D6347">
        <w:rPr>
          <w:rFonts w:ascii="Arial" w:hAnsi="Arial" w:cs="Arial"/>
          <w:b/>
          <w:sz w:val="24"/>
          <w:szCs w:val="24"/>
        </w:rPr>
        <w:t xml:space="preserve"> reporting to her </w:t>
      </w:r>
      <w:r w:rsidR="00C30744">
        <w:rPr>
          <w:rFonts w:ascii="Arial" w:hAnsi="Arial" w:cs="Arial"/>
          <w:b/>
          <w:sz w:val="24"/>
          <w:szCs w:val="24"/>
        </w:rPr>
        <w:t xml:space="preserve">define red tape and </w:t>
      </w:r>
      <w:r w:rsidR="008D6347">
        <w:rPr>
          <w:rFonts w:ascii="Arial" w:hAnsi="Arial" w:cs="Arial"/>
          <w:b/>
          <w:sz w:val="24"/>
          <w:szCs w:val="24"/>
        </w:rPr>
        <w:t>(</w:t>
      </w:r>
      <w:r w:rsidR="00C30744">
        <w:rPr>
          <w:rFonts w:ascii="Arial" w:hAnsi="Arial" w:cs="Arial"/>
          <w:b/>
          <w:sz w:val="24"/>
          <w:szCs w:val="24"/>
        </w:rPr>
        <w:t>b</w:t>
      </w:r>
      <w:r w:rsidR="008D6347">
        <w:rPr>
          <w:rFonts w:ascii="Arial" w:hAnsi="Arial" w:cs="Arial"/>
          <w:b/>
          <w:sz w:val="24"/>
          <w:szCs w:val="24"/>
        </w:rPr>
        <w:t xml:space="preserve">) </w:t>
      </w:r>
      <w:r w:rsidR="00C30744">
        <w:rPr>
          <w:rFonts w:ascii="Arial" w:hAnsi="Arial" w:cs="Arial"/>
          <w:b/>
          <w:sz w:val="24"/>
          <w:szCs w:val="24"/>
        </w:rPr>
        <w:t>what</w:t>
      </w:r>
      <w:r w:rsidR="008D6347">
        <w:rPr>
          <w:rFonts w:ascii="Arial" w:hAnsi="Arial" w:cs="Arial"/>
          <w:b/>
          <w:sz w:val="24"/>
          <w:szCs w:val="24"/>
        </w:rPr>
        <w:t xml:space="preserve"> (i) </w:t>
      </w:r>
      <w:r w:rsidR="00C30744">
        <w:rPr>
          <w:rFonts w:ascii="Arial" w:hAnsi="Arial" w:cs="Arial"/>
          <w:b/>
          <w:sz w:val="24"/>
          <w:szCs w:val="24"/>
        </w:rPr>
        <w:t>specific interventions and/or</w:t>
      </w:r>
      <w:r w:rsidR="008D6347">
        <w:rPr>
          <w:rFonts w:ascii="Arial" w:hAnsi="Arial" w:cs="Arial"/>
          <w:b/>
          <w:sz w:val="24"/>
          <w:szCs w:val="24"/>
        </w:rPr>
        <w:t xml:space="preserve"> (</w:t>
      </w:r>
      <w:r w:rsidR="00C30744">
        <w:rPr>
          <w:rFonts w:ascii="Arial" w:hAnsi="Arial" w:cs="Arial"/>
          <w:b/>
          <w:sz w:val="24"/>
          <w:szCs w:val="24"/>
        </w:rPr>
        <w:t>ii</w:t>
      </w:r>
      <w:r w:rsidR="008D6347">
        <w:rPr>
          <w:rFonts w:ascii="Arial" w:hAnsi="Arial" w:cs="Arial"/>
          <w:b/>
          <w:sz w:val="24"/>
          <w:szCs w:val="24"/>
        </w:rPr>
        <w:t xml:space="preserve">) </w:t>
      </w:r>
      <w:r w:rsidR="00C30744">
        <w:rPr>
          <w:rFonts w:ascii="Arial" w:hAnsi="Arial" w:cs="Arial"/>
          <w:b/>
          <w:sz w:val="24"/>
          <w:szCs w:val="24"/>
        </w:rPr>
        <w:t>systems have been implemented to</w:t>
      </w:r>
      <w:r w:rsidR="008D6347">
        <w:rPr>
          <w:rFonts w:ascii="Arial" w:hAnsi="Arial" w:cs="Arial"/>
          <w:b/>
          <w:sz w:val="24"/>
          <w:szCs w:val="24"/>
        </w:rPr>
        <w:t xml:space="preserve"> (</w:t>
      </w:r>
      <w:r w:rsidR="00C30744">
        <w:rPr>
          <w:rFonts w:ascii="Arial" w:hAnsi="Arial" w:cs="Arial"/>
          <w:b/>
          <w:sz w:val="24"/>
          <w:szCs w:val="24"/>
        </w:rPr>
        <w:t>aa</w:t>
      </w:r>
      <w:r w:rsidR="008D6347">
        <w:rPr>
          <w:rFonts w:ascii="Arial" w:hAnsi="Arial" w:cs="Arial"/>
          <w:b/>
          <w:sz w:val="24"/>
          <w:szCs w:val="24"/>
        </w:rPr>
        <w:t xml:space="preserve">) </w:t>
      </w:r>
      <w:r w:rsidR="00C30744">
        <w:rPr>
          <w:rFonts w:ascii="Arial" w:hAnsi="Arial" w:cs="Arial"/>
          <w:b/>
          <w:sz w:val="24"/>
          <w:szCs w:val="24"/>
        </w:rPr>
        <w:t xml:space="preserve">identify and </w:t>
      </w:r>
      <w:r w:rsidR="008D6347">
        <w:rPr>
          <w:rFonts w:ascii="Arial" w:hAnsi="Arial" w:cs="Arial"/>
          <w:b/>
          <w:sz w:val="24"/>
          <w:szCs w:val="24"/>
        </w:rPr>
        <w:t>(</w:t>
      </w:r>
      <w:r w:rsidR="00C30744">
        <w:rPr>
          <w:rFonts w:ascii="Arial" w:hAnsi="Arial" w:cs="Arial"/>
          <w:b/>
          <w:sz w:val="24"/>
          <w:szCs w:val="24"/>
        </w:rPr>
        <w:t>bb</w:t>
      </w:r>
      <w:r w:rsidR="008D6347">
        <w:rPr>
          <w:rFonts w:ascii="Arial" w:hAnsi="Arial" w:cs="Arial"/>
          <w:b/>
          <w:sz w:val="24"/>
          <w:szCs w:val="24"/>
        </w:rPr>
        <w:t xml:space="preserve">) </w:t>
      </w:r>
      <w:r w:rsidR="00C30744">
        <w:rPr>
          <w:rFonts w:ascii="Arial" w:hAnsi="Arial" w:cs="Arial"/>
          <w:b/>
          <w:sz w:val="24"/>
          <w:szCs w:val="24"/>
        </w:rPr>
        <w:t>reduce red tape in (aaa) her department and (bbb) the entities reporting to her</w:t>
      </w:r>
      <w:r w:rsidR="003B51EA">
        <w:rPr>
          <w:rFonts w:ascii="Arial" w:hAnsi="Arial" w:cs="Arial"/>
          <w:b/>
          <w:sz w:val="24"/>
          <w:szCs w:val="24"/>
        </w:rPr>
        <w:t>?</w:t>
      </w:r>
      <w:r w:rsidR="0010023B" w:rsidRPr="00704F39">
        <w:rPr>
          <w:rFonts w:ascii="Arial" w:hAnsi="Arial" w:cs="Arial"/>
          <w:b/>
          <w:sz w:val="24"/>
          <w:szCs w:val="24"/>
        </w:rPr>
        <w:t>”</w:t>
      </w:r>
    </w:p>
    <w:p w:rsidR="00663540" w:rsidRDefault="004C58F4" w:rsidP="00F43796">
      <w:pPr>
        <w:tabs>
          <w:tab w:val="left" w:pos="18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NW</w:t>
      </w:r>
      <w:r w:rsidR="008D6347">
        <w:rPr>
          <w:rFonts w:ascii="Arial" w:hAnsi="Arial" w:cs="Arial"/>
          <w:b/>
          <w:sz w:val="24"/>
          <w:szCs w:val="24"/>
        </w:rPr>
        <w:t>3</w:t>
      </w:r>
      <w:r w:rsidR="00C30744">
        <w:rPr>
          <w:rFonts w:ascii="Arial" w:hAnsi="Arial" w:cs="Arial"/>
          <w:b/>
          <w:sz w:val="24"/>
          <w:szCs w:val="24"/>
        </w:rPr>
        <w:t>621</w:t>
      </w:r>
      <w:r>
        <w:rPr>
          <w:rFonts w:ascii="Arial" w:hAnsi="Arial" w:cs="Arial"/>
          <w:b/>
          <w:sz w:val="24"/>
          <w:szCs w:val="24"/>
        </w:rPr>
        <w:t>E</w:t>
      </w:r>
    </w:p>
    <w:p w:rsidR="00663540" w:rsidRDefault="00663540" w:rsidP="00663540">
      <w:pPr>
        <w:rPr>
          <w:rFonts w:ascii="Arial" w:hAnsi="Arial" w:cs="Arial"/>
          <w:sz w:val="24"/>
          <w:szCs w:val="24"/>
        </w:rPr>
      </w:pPr>
    </w:p>
    <w:p w:rsidR="00663540" w:rsidRPr="00663540" w:rsidRDefault="00663540" w:rsidP="00663540">
      <w:pPr>
        <w:rPr>
          <w:rFonts w:ascii="Arial" w:hAnsi="Arial" w:cs="Arial"/>
          <w:sz w:val="24"/>
          <w:szCs w:val="24"/>
        </w:rPr>
      </w:pPr>
    </w:p>
    <w:p w:rsidR="008A0AED" w:rsidRPr="00C95FBB" w:rsidRDefault="00C5712B" w:rsidP="004C58F4">
      <w:pPr>
        <w:tabs>
          <w:tab w:val="left" w:pos="18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C95FBB">
        <w:rPr>
          <w:rFonts w:ascii="Arial" w:hAnsi="Arial" w:cs="Arial"/>
          <w:b/>
          <w:sz w:val="24"/>
          <w:szCs w:val="24"/>
        </w:rPr>
        <w:t>R</w:t>
      </w:r>
      <w:r w:rsidR="008A0AED" w:rsidRPr="00C95FBB">
        <w:rPr>
          <w:rFonts w:ascii="Arial" w:hAnsi="Arial" w:cs="Arial"/>
          <w:b/>
          <w:sz w:val="24"/>
          <w:szCs w:val="24"/>
        </w:rPr>
        <w:t>E</w:t>
      </w:r>
      <w:r w:rsidR="000313F2">
        <w:rPr>
          <w:rFonts w:ascii="Arial" w:hAnsi="Arial" w:cs="Arial"/>
          <w:b/>
          <w:sz w:val="24"/>
          <w:szCs w:val="24"/>
        </w:rPr>
        <w:t>PLY</w:t>
      </w:r>
    </w:p>
    <w:p w:rsidR="00C95FBB" w:rsidRDefault="00C95FBB" w:rsidP="004C58F4">
      <w:pPr>
        <w:tabs>
          <w:tab w:val="left" w:pos="18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663540" w:rsidRDefault="008A0AED" w:rsidP="00F43796">
      <w:pPr>
        <w:tabs>
          <w:tab w:val="left" w:pos="180"/>
          <w:tab w:val="left" w:pos="709"/>
        </w:tabs>
        <w:spacing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 w:rsidR="002A7098">
        <w:rPr>
          <w:rFonts w:ascii="Arial" w:hAnsi="Arial" w:cs="Arial"/>
          <w:sz w:val="24"/>
          <w:szCs w:val="24"/>
        </w:rPr>
        <w:tab/>
      </w:r>
      <w:r w:rsidRPr="00A35819">
        <w:rPr>
          <w:rFonts w:ascii="Arial" w:hAnsi="Arial" w:cs="Arial"/>
          <w:sz w:val="24"/>
          <w:szCs w:val="24"/>
        </w:rPr>
        <w:t>(i)</w:t>
      </w:r>
      <w:r w:rsidR="002A7098">
        <w:rPr>
          <w:rFonts w:ascii="Arial" w:hAnsi="Arial" w:cs="Arial"/>
          <w:sz w:val="24"/>
          <w:szCs w:val="24"/>
        </w:rPr>
        <w:tab/>
      </w:r>
      <w:r w:rsidR="000356BB" w:rsidRPr="00F43796">
        <w:rPr>
          <w:rFonts w:ascii="Arial" w:hAnsi="Arial" w:cs="Arial"/>
          <w:sz w:val="24"/>
          <w:szCs w:val="24"/>
        </w:rPr>
        <w:t xml:space="preserve">The Department of Science and Technology defines “red tape” as </w:t>
      </w:r>
      <w:r w:rsidR="001158D6" w:rsidRPr="00F43796">
        <w:rPr>
          <w:rFonts w:ascii="Arial" w:hAnsi="Arial" w:cs="Arial"/>
          <w:sz w:val="24"/>
          <w:szCs w:val="24"/>
        </w:rPr>
        <w:t>any process or administrative requirement that hinders the effective operation and implementation of policies, programmes that seek to deliver on the mandate of the department.</w:t>
      </w:r>
      <w:r w:rsidR="001158D6">
        <w:rPr>
          <w:rFonts w:ascii="Arial" w:hAnsi="Arial" w:cs="Arial"/>
          <w:sz w:val="24"/>
          <w:szCs w:val="24"/>
        </w:rPr>
        <w:t xml:space="preserve"> </w:t>
      </w:r>
    </w:p>
    <w:p w:rsidR="008A0AED" w:rsidRDefault="00663540" w:rsidP="00F43796">
      <w:pPr>
        <w:tabs>
          <w:tab w:val="left" w:pos="180"/>
          <w:tab w:val="left" w:pos="709"/>
        </w:tabs>
        <w:spacing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90885" w:rsidRDefault="008A0AED" w:rsidP="00A35819">
      <w:pPr>
        <w:tabs>
          <w:tab w:val="left" w:pos="284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A70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(ii)</w:t>
      </w:r>
      <w:r w:rsidR="002A7098">
        <w:rPr>
          <w:rFonts w:ascii="Arial" w:hAnsi="Arial" w:cs="Arial"/>
          <w:sz w:val="24"/>
          <w:szCs w:val="24"/>
        </w:rPr>
        <w:tab/>
      </w:r>
      <w:r w:rsidR="00701B85">
        <w:rPr>
          <w:rFonts w:ascii="Arial" w:hAnsi="Arial" w:cs="Arial"/>
          <w:sz w:val="24"/>
          <w:szCs w:val="24"/>
        </w:rPr>
        <w:t xml:space="preserve">The response </w:t>
      </w:r>
      <w:r w:rsidR="002A7098">
        <w:rPr>
          <w:rFonts w:ascii="Arial" w:hAnsi="Arial" w:cs="Arial"/>
          <w:sz w:val="24"/>
          <w:szCs w:val="24"/>
        </w:rPr>
        <w:t>regarding</w:t>
      </w:r>
      <w:r w:rsidR="00701B85">
        <w:rPr>
          <w:rFonts w:ascii="Arial" w:hAnsi="Arial" w:cs="Arial"/>
          <w:sz w:val="24"/>
          <w:szCs w:val="24"/>
        </w:rPr>
        <w:t xml:space="preserve"> the definition of red tape </w:t>
      </w:r>
      <w:r w:rsidR="002A7098">
        <w:rPr>
          <w:rFonts w:ascii="Arial" w:hAnsi="Arial" w:cs="Arial"/>
          <w:sz w:val="24"/>
          <w:szCs w:val="24"/>
        </w:rPr>
        <w:t xml:space="preserve">by entities is presented </w:t>
      </w:r>
      <w:r w:rsidR="002A7098">
        <w:rPr>
          <w:rFonts w:ascii="Arial" w:hAnsi="Arial" w:cs="Arial"/>
          <w:sz w:val="24"/>
          <w:szCs w:val="24"/>
        </w:rPr>
        <w:tab/>
      </w:r>
      <w:r w:rsidR="002A7098">
        <w:rPr>
          <w:rFonts w:ascii="Arial" w:hAnsi="Arial" w:cs="Arial"/>
          <w:sz w:val="24"/>
          <w:szCs w:val="24"/>
        </w:rPr>
        <w:tab/>
      </w:r>
      <w:r w:rsidR="002A7098">
        <w:rPr>
          <w:rFonts w:ascii="Arial" w:hAnsi="Arial" w:cs="Arial"/>
          <w:sz w:val="24"/>
          <w:szCs w:val="24"/>
        </w:rPr>
        <w:tab/>
        <w:t>below: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754"/>
      </w:tblGrid>
      <w:tr w:rsidR="00490885" w:rsidTr="00A35819">
        <w:tc>
          <w:tcPr>
            <w:tcW w:w="4361" w:type="dxa"/>
          </w:tcPr>
          <w:p w:rsidR="00490885" w:rsidRPr="00A35819" w:rsidRDefault="00701B85" w:rsidP="00A35819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35819">
              <w:rPr>
                <w:rFonts w:ascii="Arial" w:hAnsi="Arial" w:cs="Arial"/>
                <w:b/>
                <w:sz w:val="22"/>
                <w:szCs w:val="22"/>
              </w:rPr>
              <w:t xml:space="preserve">Entities </w:t>
            </w:r>
          </w:p>
        </w:tc>
        <w:tc>
          <w:tcPr>
            <w:tcW w:w="4754" w:type="dxa"/>
          </w:tcPr>
          <w:p w:rsidR="00490885" w:rsidRPr="00A35819" w:rsidRDefault="00701B85" w:rsidP="00A35819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35819">
              <w:rPr>
                <w:rFonts w:ascii="Arial" w:hAnsi="Arial" w:cs="Arial"/>
                <w:b/>
                <w:sz w:val="22"/>
                <w:szCs w:val="22"/>
              </w:rPr>
              <w:t>Definition of red tape</w:t>
            </w:r>
          </w:p>
        </w:tc>
      </w:tr>
      <w:tr w:rsidR="00490885" w:rsidTr="00A35819">
        <w:tc>
          <w:tcPr>
            <w:tcW w:w="4361" w:type="dxa"/>
          </w:tcPr>
          <w:p w:rsidR="00490885" w:rsidRPr="00A35819" w:rsidRDefault="00490885" w:rsidP="00A35819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Type">
              <w:r w:rsidRPr="00A35819">
                <w:rPr>
                  <w:rFonts w:ascii="Arial" w:hAnsi="Arial" w:cs="Arial"/>
                  <w:sz w:val="22"/>
                  <w:szCs w:val="22"/>
                </w:rPr>
                <w:t>Academy</w:t>
              </w:r>
            </w:smartTag>
            <w:r w:rsidRPr="00A35819">
              <w:rPr>
                <w:rFonts w:ascii="Arial" w:hAnsi="Arial" w:cs="Arial"/>
                <w:sz w:val="22"/>
                <w:szCs w:val="22"/>
              </w:rPr>
              <w:t xml:space="preserve"> of </w:t>
            </w:r>
            <w:smartTag w:uri="urn:schemas-microsoft-com:office:smarttags" w:element="PlaceName">
              <w:r w:rsidRPr="00A35819">
                <w:rPr>
                  <w:rFonts w:ascii="Arial" w:hAnsi="Arial" w:cs="Arial"/>
                  <w:sz w:val="22"/>
                  <w:szCs w:val="22"/>
                </w:rPr>
                <w:t>Science</w:t>
              </w:r>
            </w:smartTag>
            <w:r w:rsidRPr="00A35819">
              <w:rPr>
                <w:rFonts w:ascii="Arial" w:hAnsi="Arial" w:cs="Arial"/>
                <w:sz w:val="22"/>
                <w:szCs w:val="22"/>
              </w:rPr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 w:rsidRPr="00A35819">
                  <w:rPr>
                    <w:rFonts w:ascii="Arial" w:hAnsi="Arial" w:cs="Arial"/>
                    <w:sz w:val="22"/>
                    <w:szCs w:val="22"/>
                  </w:rPr>
                  <w:t>South Africa</w:t>
                </w:r>
              </w:smartTag>
            </w:smartTag>
            <w:r w:rsidRPr="00A35819">
              <w:rPr>
                <w:rFonts w:ascii="Arial" w:hAnsi="Arial" w:cs="Arial"/>
                <w:sz w:val="22"/>
                <w:szCs w:val="22"/>
              </w:rPr>
              <w:t xml:space="preserve"> (ASSAf)</w:t>
            </w:r>
          </w:p>
          <w:p w:rsidR="00490885" w:rsidRPr="00A35819" w:rsidRDefault="00490885" w:rsidP="00A35819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4" w:type="dxa"/>
          </w:tcPr>
          <w:p w:rsidR="00490885" w:rsidRPr="00A35819" w:rsidRDefault="00701B85" w:rsidP="00A35819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>Process that entails some restrictive processes or hindrance that have to be followed or complied with in the performance of an activity.</w:t>
            </w:r>
          </w:p>
        </w:tc>
      </w:tr>
      <w:tr w:rsidR="00490885" w:rsidTr="00A35819">
        <w:tc>
          <w:tcPr>
            <w:tcW w:w="4361" w:type="dxa"/>
          </w:tcPr>
          <w:p w:rsidR="00490885" w:rsidRPr="00A35819" w:rsidRDefault="00490885" w:rsidP="00A35819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>Council for Scientific and Industrial Research (CSIR)</w:t>
            </w:r>
          </w:p>
          <w:p w:rsidR="00490885" w:rsidRPr="00A35819" w:rsidRDefault="00490885" w:rsidP="00A35819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4" w:type="dxa"/>
          </w:tcPr>
          <w:p w:rsidR="00490885" w:rsidRPr="00A35819" w:rsidRDefault="00701B85" w:rsidP="00A35819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 xml:space="preserve">Rules, processes and procedures that impose unnecessary delay, and inaction or cost to the supplier(s) and/or potential beneficiaries. </w:t>
            </w:r>
          </w:p>
        </w:tc>
      </w:tr>
      <w:tr w:rsidR="00490885" w:rsidTr="00A35819">
        <w:tc>
          <w:tcPr>
            <w:tcW w:w="4361" w:type="dxa"/>
          </w:tcPr>
          <w:p w:rsidR="00490885" w:rsidRPr="00A35819" w:rsidRDefault="00490885" w:rsidP="00A35819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>Human Sciences Research Council (HSRC)</w:t>
            </w:r>
          </w:p>
        </w:tc>
        <w:tc>
          <w:tcPr>
            <w:tcW w:w="4754" w:type="dxa"/>
          </w:tcPr>
          <w:p w:rsidR="00490885" w:rsidRPr="00A35819" w:rsidRDefault="00A35819" w:rsidP="00A35819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>Unnecessary</w:t>
            </w:r>
            <w:r w:rsidR="000B4687" w:rsidRPr="00A35819">
              <w:rPr>
                <w:rFonts w:ascii="Arial" w:hAnsi="Arial" w:cs="Arial"/>
                <w:sz w:val="22"/>
                <w:szCs w:val="22"/>
              </w:rPr>
              <w:t xml:space="preserve"> bureaucratic practices which adds no value to desired outcomes, but are imposed on processes nonetheless.</w:t>
            </w:r>
          </w:p>
        </w:tc>
      </w:tr>
      <w:tr w:rsidR="00490885" w:rsidTr="00A35819">
        <w:tc>
          <w:tcPr>
            <w:tcW w:w="4361" w:type="dxa"/>
          </w:tcPr>
          <w:p w:rsidR="00490885" w:rsidRPr="00A35819" w:rsidRDefault="00490885" w:rsidP="00A35819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>National Research Foundation (NRF)</w:t>
            </w:r>
          </w:p>
          <w:p w:rsidR="00490885" w:rsidRPr="00A35819" w:rsidRDefault="00490885" w:rsidP="00A35819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4" w:type="dxa"/>
          </w:tcPr>
          <w:p w:rsidR="00490885" w:rsidRPr="00A35819" w:rsidRDefault="00701B85" w:rsidP="00A35819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>Additional administrative measure, over and above the established policies and procedures of the organisation that are implemented through legislated authorities</w:t>
            </w:r>
            <w:r w:rsidR="00A35819" w:rsidRPr="00A3581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90885" w:rsidTr="00A35819">
        <w:tc>
          <w:tcPr>
            <w:tcW w:w="4361" w:type="dxa"/>
          </w:tcPr>
          <w:p w:rsidR="00490885" w:rsidRPr="00A35819" w:rsidRDefault="00490885" w:rsidP="00A35819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>South African National Space Agency (SANSA)</w:t>
            </w:r>
          </w:p>
          <w:p w:rsidR="00490885" w:rsidRPr="00A35819" w:rsidRDefault="00490885" w:rsidP="00A35819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4" w:type="dxa"/>
          </w:tcPr>
          <w:p w:rsidR="00490885" w:rsidRPr="00A35819" w:rsidRDefault="00701B85" w:rsidP="00A35819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 xml:space="preserve">Unnecessary and cumbersome rules, regulations, requirements, processes or procedures that result in unacceptable and unnecessary delays in business processes and decision making. </w:t>
            </w:r>
          </w:p>
        </w:tc>
      </w:tr>
      <w:tr w:rsidR="00490885" w:rsidTr="00A35819">
        <w:tc>
          <w:tcPr>
            <w:tcW w:w="4361" w:type="dxa"/>
          </w:tcPr>
          <w:p w:rsidR="00490885" w:rsidRPr="00A35819" w:rsidRDefault="00490885" w:rsidP="00A35819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>Technology Innovation Agency (TIA)</w:t>
            </w:r>
          </w:p>
        </w:tc>
        <w:tc>
          <w:tcPr>
            <w:tcW w:w="4754" w:type="dxa"/>
          </w:tcPr>
          <w:p w:rsidR="00490885" w:rsidRPr="00A35819" w:rsidRDefault="00744C24" w:rsidP="00A35819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>E</w:t>
            </w:r>
            <w:r w:rsidR="00CA6994" w:rsidRPr="00A35819">
              <w:rPr>
                <w:rFonts w:ascii="Arial" w:hAnsi="Arial" w:cs="Arial"/>
                <w:sz w:val="22"/>
                <w:szCs w:val="22"/>
              </w:rPr>
              <w:t>xcessive regulation or rigid conformity          to formal rules that is considered redundant or bureaucratic and hinders or prevents action or decision-making.</w:t>
            </w:r>
          </w:p>
        </w:tc>
      </w:tr>
    </w:tbl>
    <w:p w:rsidR="00C95FBB" w:rsidRDefault="00C95FBB" w:rsidP="008A0AED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</w:p>
    <w:p w:rsidR="006D2C8B" w:rsidRDefault="006D2C8B" w:rsidP="002A7098">
      <w:pPr>
        <w:tabs>
          <w:tab w:val="left" w:pos="540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  <w:sectPr w:rsidR="006D2C8B" w:rsidSect="006D2C8B">
          <w:headerReference w:type="even" r:id="rId7"/>
          <w:headerReference w:type="default" r:id="rId8"/>
          <w:pgSz w:w="12240" w:h="15840"/>
          <w:pgMar w:top="1418" w:right="1361" w:bottom="1134" w:left="1588" w:header="709" w:footer="709" w:gutter="0"/>
          <w:cols w:space="708"/>
          <w:titlePg/>
          <w:docGrid w:linePitch="360"/>
        </w:sectPr>
      </w:pPr>
    </w:p>
    <w:p w:rsidR="00C95FBB" w:rsidRDefault="0039370B" w:rsidP="00A35819">
      <w:pPr>
        <w:tabs>
          <w:tab w:val="left" w:pos="540"/>
        </w:tabs>
        <w:spacing w:after="12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(b)</w:t>
      </w:r>
      <w:r>
        <w:rPr>
          <w:rFonts w:ascii="Arial" w:hAnsi="Arial" w:cs="Arial"/>
          <w:sz w:val="24"/>
          <w:szCs w:val="24"/>
        </w:rPr>
        <w:tab/>
        <w:t xml:space="preserve">Response to the specific interventions and systems </w:t>
      </w:r>
      <w:r w:rsidR="00B17499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have been </w:t>
      </w:r>
      <w:r w:rsidR="00B17499">
        <w:rPr>
          <w:rFonts w:ascii="Arial" w:hAnsi="Arial" w:cs="Arial"/>
          <w:sz w:val="24"/>
          <w:szCs w:val="24"/>
        </w:rPr>
        <w:t>implemented</w:t>
      </w:r>
      <w:r w:rsidR="00A358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identify and reduce red tape is provided below:</w:t>
      </w:r>
    </w:p>
    <w:tbl>
      <w:tblPr>
        <w:tblW w:w="133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2630"/>
        <w:gridCol w:w="1980"/>
        <w:gridCol w:w="2194"/>
        <w:gridCol w:w="2126"/>
        <w:gridCol w:w="2268"/>
      </w:tblGrid>
      <w:tr w:rsidR="0036706B" w:rsidRPr="00701B85" w:rsidTr="00663540">
        <w:trPr>
          <w:tblHeader/>
        </w:trPr>
        <w:tc>
          <w:tcPr>
            <w:tcW w:w="2126" w:type="dxa"/>
            <w:vMerge w:val="restart"/>
          </w:tcPr>
          <w:p w:rsidR="0039370B" w:rsidRPr="00A35819" w:rsidRDefault="0039370B" w:rsidP="00F43796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35819">
              <w:rPr>
                <w:rFonts w:ascii="Arial" w:hAnsi="Arial" w:cs="Arial"/>
                <w:b/>
                <w:sz w:val="22"/>
                <w:szCs w:val="22"/>
              </w:rPr>
              <w:t>Entities/ Department</w:t>
            </w:r>
          </w:p>
        </w:tc>
        <w:tc>
          <w:tcPr>
            <w:tcW w:w="2630" w:type="dxa"/>
            <w:vMerge w:val="restart"/>
          </w:tcPr>
          <w:p w:rsidR="0039370B" w:rsidRPr="00A35819" w:rsidRDefault="0039370B" w:rsidP="00F43796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35819">
              <w:rPr>
                <w:rFonts w:ascii="Arial" w:hAnsi="Arial" w:cs="Arial"/>
                <w:b/>
                <w:sz w:val="22"/>
                <w:szCs w:val="22"/>
              </w:rPr>
              <w:t>(i)</w:t>
            </w:r>
            <w:r w:rsidR="00B17499" w:rsidRPr="00A35819">
              <w:rPr>
                <w:rFonts w:ascii="Arial" w:hAnsi="Arial" w:cs="Arial"/>
                <w:b/>
                <w:sz w:val="22"/>
                <w:szCs w:val="22"/>
              </w:rPr>
              <w:t xml:space="preserve"> Interventions</w:t>
            </w:r>
          </w:p>
        </w:tc>
        <w:tc>
          <w:tcPr>
            <w:tcW w:w="8568" w:type="dxa"/>
            <w:gridSpan w:val="4"/>
          </w:tcPr>
          <w:p w:rsidR="0039370B" w:rsidRPr="00A35819" w:rsidRDefault="0039370B" w:rsidP="00F4379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5819">
              <w:rPr>
                <w:rFonts w:ascii="Arial" w:hAnsi="Arial" w:cs="Arial"/>
                <w:b/>
                <w:sz w:val="22"/>
                <w:szCs w:val="22"/>
              </w:rPr>
              <w:t>(ii)</w:t>
            </w:r>
            <w:r w:rsidR="00B17499" w:rsidRPr="00A35819">
              <w:rPr>
                <w:rFonts w:ascii="Arial" w:hAnsi="Arial" w:cs="Arial"/>
                <w:b/>
                <w:sz w:val="22"/>
                <w:szCs w:val="22"/>
              </w:rPr>
              <w:t xml:space="preserve"> Systems</w:t>
            </w:r>
          </w:p>
        </w:tc>
      </w:tr>
      <w:tr w:rsidR="0036706B" w:rsidRPr="00701B85" w:rsidTr="00663540">
        <w:trPr>
          <w:tblHeader/>
        </w:trPr>
        <w:tc>
          <w:tcPr>
            <w:tcW w:w="2126" w:type="dxa"/>
            <w:vMerge/>
          </w:tcPr>
          <w:p w:rsidR="0039370B" w:rsidRPr="00A35819" w:rsidRDefault="0039370B" w:rsidP="00F43796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0" w:type="dxa"/>
            <w:vMerge/>
          </w:tcPr>
          <w:p w:rsidR="0039370B" w:rsidRPr="00A35819" w:rsidRDefault="0039370B" w:rsidP="00F43796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39370B" w:rsidRPr="00A35819" w:rsidRDefault="0039370B" w:rsidP="00F43796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35819">
              <w:rPr>
                <w:rFonts w:ascii="Arial" w:hAnsi="Arial" w:cs="Arial"/>
                <w:b/>
                <w:sz w:val="22"/>
                <w:szCs w:val="22"/>
              </w:rPr>
              <w:t>(aa)</w:t>
            </w:r>
            <w:r w:rsidR="00B17499" w:rsidRPr="00A35819">
              <w:rPr>
                <w:rFonts w:ascii="Arial" w:hAnsi="Arial" w:cs="Arial"/>
                <w:b/>
                <w:sz w:val="22"/>
                <w:szCs w:val="22"/>
              </w:rPr>
              <w:t xml:space="preserve"> Identify</w:t>
            </w:r>
          </w:p>
        </w:tc>
        <w:tc>
          <w:tcPr>
            <w:tcW w:w="2194" w:type="dxa"/>
          </w:tcPr>
          <w:p w:rsidR="0039370B" w:rsidRPr="00A35819" w:rsidRDefault="0039370B" w:rsidP="00F43796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35819">
              <w:rPr>
                <w:rFonts w:ascii="Arial" w:hAnsi="Arial" w:cs="Arial"/>
                <w:b/>
                <w:sz w:val="22"/>
                <w:szCs w:val="22"/>
              </w:rPr>
              <w:t>(bb)</w:t>
            </w:r>
            <w:r w:rsidR="00B17499" w:rsidRPr="00A35819">
              <w:rPr>
                <w:rFonts w:ascii="Arial" w:hAnsi="Arial" w:cs="Arial"/>
                <w:b/>
                <w:sz w:val="22"/>
                <w:szCs w:val="22"/>
              </w:rPr>
              <w:t xml:space="preserve"> Reduce</w:t>
            </w:r>
          </w:p>
        </w:tc>
        <w:tc>
          <w:tcPr>
            <w:tcW w:w="2126" w:type="dxa"/>
          </w:tcPr>
          <w:p w:rsidR="0039370B" w:rsidRPr="00A35819" w:rsidRDefault="0039370B" w:rsidP="00F43796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35819">
              <w:rPr>
                <w:rFonts w:ascii="Arial" w:hAnsi="Arial" w:cs="Arial"/>
                <w:b/>
                <w:sz w:val="22"/>
                <w:szCs w:val="22"/>
              </w:rPr>
              <w:t>(aa)</w:t>
            </w:r>
            <w:r w:rsidR="00B17499" w:rsidRPr="00A35819">
              <w:rPr>
                <w:rFonts w:ascii="Arial" w:hAnsi="Arial" w:cs="Arial"/>
                <w:b/>
                <w:sz w:val="22"/>
                <w:szCs w:val="22"/>
              </w:rPr>
              <w:t xml:space="preserve"> Identify</w:t>
            </w:r>
          </w:p>
        </w:tc>
        <w:tc>
          <w:tcPr>
            <w:tcW w:w="2268" w:type="dxa"/>
          </w:tcPr>
          <w:p w:rsidR="0039370B" w:rsidRPr="00A35819" w:rsidRDefault="0039370B" w:rsidP="00F43796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35819">
              <w:rPr>
                <w:rFonts w:ascii="Arial" w:hAnsi="Arial" w:cs="Arial"/>
                <w:b/>
                <w:sz w:val="22"/>
                <w:szCs w:val="22"/>
              </w:rPr>
              <w:t>(bb)</w:t>
            </w:r>
            <w:r w:rsidR="00B17499" w:rsidRPr="00A35819">
              <w:rPr>
                <w:rFonts w:ascii="Arial" w:hAnsi="Arial" w:cs="Arial"/>
                <w:b/>
                <w:sz w:val="22"/>
                <w:szCs w:val="22"/>
              </w:rPr>
              <w:t xml:space="preserve"> Reduce</w:t>
            </w:r>
          </w:p>
        </w:tc>
      </w:tr>
      <w:tr w:rsidR="0036706B" w:rsidRPr="00701B85" w:rsidTr="00663540">
        <w:trPr>
          <w:tblHeader/>
        </w:trPr>
        <w:tc>
          <w:tcPr>
            <w:tcW w:w="2126" w:type="dxa"/>
            <w:vMerge/>
          </w:tcPr>
          <w:p w:rsidR="0039370B" w:rsidRPr="00A35819" w:rsidRDefault="0039370B" w:rsidP="00F43796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0" w:type="dxa"/>
            <w:vMerge/>
          </w:tcPr>
          <w:p w:rsidR="0039370B" w:rsidRPr="00A35819" w:rsidRDefault="0039370B" w:rsidP="00F43796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4" w:type="dxa"/>
            <w:gridSpan w:val="2"/>
          </w:tcPr>
          <w:p w:rsidR="0039370B" w:rsidRPr="00A35819" w:rsidRDefault="0039370B" w:rsidP="00F4379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5819">
              <w:rPr>
                <w:rFonts w:ascii="Arial" w:hAnsi="Arial" w:cs="Arial"/>
                <w:b/>
                <w:sz w:val="22"/>
                <w:szCs w:val="22"/>
              </w:rPr>
              <w:t>(aaa) Department</w:t>
            </w:r>
          </w:p>
        </w:tc>
        <w:tc>
          <w:tcPr>
            <w:tcW w:w="4394" w:type="dxa"/>
            <w:gridSpan w:val="2"/>
          </w:tcPr>
          <w:p w:rsidR="0039370B" w:rsidRPr="00A35819" w:rsidRDefault="0039370B" w:rsidP="00F4379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5819">
              <w:rPr>
                <w:rFonts w:ascii="Arial" w:hAnsi="Arial" w:cs="Arial"/>
                <w:b/>
                <w:sz w:val="22"/>
                <w:szCs w:val="22"/>
              </w:rPr>
              <w:t>(bbb) Entities</w:t>
            </w:r>
          </w:p>
        </w:tc>
      </w:tr>
      <w:tr w:rsidR="0036706B" w:rsidRPr="00701B85" w:rsidTr="00663540">
        <w:tc>
          <w:tcPr>
            <w:tcW w:w="2126" w:type="dxa"/>
          </w:tcPr>
          <w:p w:rsidR="006928E6" w:rsidRPr="00F43796" w:rsidRDefault="006928E6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796">
              <w:rPr>
                <w:rFonts w:ascii="Arial" w:hAnsi="Arial" w:cs="Arial"/>
                <w:sz w:val="22"/>
                <w:szCs w:val="22"/>
              </w:rPr>
              <w:t>Department of Science and Technology</w:t>
            </w:r>
          </w:p>
        </w:tc>
        <w:tc>
          <w:tcPr>
            <w:tcW w:w="2630" w:type="dxa"/>
          </w:tcPr>
          <w:p w:rsidR="006928E6" w:rsidRPr="00F43796" w:rsidRDefault="001158D6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796">
              <w:rPr>
                <w:rFonts w:ascii="Arial" w:hAnsi="Arial" w:cs="Arial"/>
                <w:sz w:val="22"/>
                <w:szCs w:val="22"/>
              </w:rPr>
              <w:t>Establishment of an Operations Committee to address operational matters</w:t>
            </w:r>
            <w:r w:rsidR="006635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6928E6" w:rsidRPr="00F43796" w:rsidRDefault="001158D6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796">
              <w:rPr>
                <w:rFonts w:ascii="Arial" w:hAnsi="Arial" w:cs="Arial"/>
                <w:sz w:val="22"/>
                <w:szCs w:val="22"/>
              </w:rPr>
              <w:t>Review of policies and procedures every two years (or as required) as part of continuous improvement or with the introduction of new/ legislative amendments</w:t>
            </w:r>
            <w:r w:rsidR="006635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4" w:type="dxa"/>
          </w:tcPr>
          <w:p w:rsidR="006928E6" w:rsidRPr="00F43796" w:rsidRDefault="001158D6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796">
              <w:rPr>
                <w:rFonts w:ascii="Arial" w:hAnsi="Arial" w:cs="Arial"/>
                <w:sz w:val="22"/>
                <w:szCs w:val="22"/>
              </w:rPr>
              <w:t xml:space="preserve">Document adverse effects of policy implementation to inform future reviews and amendments. Development of standard operating procedures (as applicable) to maximise efficiencies.  </w:t>
            </w:r>
          </w:p>
        </w:tc>
        <w:tc>
          <w:tcPr>
            <w:tcW w:w="2126" w:type="dxa"/>
          </w:tcPr>
          <w:p w:rsidR="006928E6" w:rsidRPr="00A35819" w:rsidRDefault="006928E6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6928E6" w:rsidRPr="00A35819" w:rsidRDefault="006928E6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6706B" w:rsidRPr="00701B85" w:rsidTr="00663540">
        <w:tc>
          <w:tcPr>
            <w:tcW w:w="2126" w:type="dxa"/>
          </w:tcPr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Type">
              <w:r w:rsidRPr="00A35819">
                <w:rPr>
                  <w:rFonts w:ascii="Arial" w:hAnsi="Arial" w:cs="Arial"/>
                  <w:sz w:val="22"/>
                  <w:szCs w:val="22"/>
                </w:rPr>
                <w:t>Academy</w:t>
              </w:r>
            </w:smartTag>
            <w:r w:rsidRPr="00A35819">
              <w:rPr>
                <w:rFonts w:ascii="Arial" w:hAnsi="Arial" w:cs="Arial"/>
                <w:sz w:val="22"/>
                <w:szCs w:val="22"/>
              </w:rPr>
              <w:t xml:space="preserve"> of </w:t>
            </w:r>
            <w:smartTag w:uri="urn:schemas-microsoft-com:office:smarttags" w:element="PlaceName">
              <w:r w:rsidRPr="00A35819">
                <w:rPr>
                  <w:rFonts w:ascii="Arial" w:hAnsi="Arial" w:cs="Arial"/>
                  <w:sz w:val="22"/>
                  <w:szCs w:val="22"/>
                </w:rPr>
                <w:t>Science</w:t>
              </w:r>
            </w:smartTag>
            <w:r w:rsidRPr="00A35819">
              <w:rPr>
                <w:rFonts w:ascii="Arial" w:hAnsi="Arial" w:cs="Arial"/>
                <w:sz w:val="22"/>
                <w:szCs w:val="22"/>
              </w:rPr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 w:rsidRPr="00A35819">
                  <w:rPr>
                    <w:rFonts w:ascii="Arial" w:hAnsi="Arial" w:cs="Arial"/>
                    <w:sz w:val="22"/>
                    <w:szCs w:val="22"/>
                  </w:rPr>
                  <w:t>South Africa</w:t>
                </w:r>
              </w:smartTag>
            </w:smartTag>
            <w:r w:rsidRPr="00A35819">
              <w:rPr>
                <w:rFonts w:ascii="Arial" w:hAnsi="Arial" w:cs="Arial"/>
                <w:sz w:val="22"/>
                <w:szCs w:val="22"/>
              </w:rPr>
              <w:t xml:space="preserve"> (ASSAf)</w:t>
            </w:r>
          </w:p>
        </w:tc>
        <w:tc>
          <w:tcPr>
            <w:tcW w:w="2630" w:type="dxa"/>
          </w:tcPr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>There are no specific interventions</w:t>
            </w:r>
            <w:r w:rsidR="006635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4" w:type="dxa"/>
          </w:tcPr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>No systems to identify red tape</w:t>
            </w:r>
            <w:r w:rsidR="006635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>No systems to reduce red tape</w:t>
            </w:r>
            <w:r w:rsidR="006635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6706B" w:rsidRPr="00701B85" w:rsidTr="00663540">
        <w:tc>
          <w:tcPr>
            <w:tcW w:w="2126" w:type="dxa"/>
          </w:tcPr>
          <w:p w:rsidR="000F0273" w:rsidRPr="00A35819" w:rsidRDefault="000F0273" w:rsidP="00F43796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>Council for Scientific and Industrial Research (CSIR)</w:t>
            </w:r>
          </w:p>
        </w:tc>
        <w:tc>
          <w:tcPr>
            <w:tcW w:w="2630" w:type="dxa"/>
          </w:tcPr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>There are no specific interventions</w:t>
            </w:r>
            <w:r w:rsidR="006635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4" w:type="dxa"/>
          </w:tcPr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>Continually review processes to incorporate improvements and to align to new legislative requirements</w:t>
            </w:r>
            <w:r w:rsidR="006635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>Developed systems and processes to maximise its efficiencies and effectiveness</w:t>
            </w:r>
            <w:r w:rsidR="00663540">
              <w:rPr>
                <w:rFonts w:ascii="Arial" w:hAnsi="Arial" w:cs="Arial"/>
                <w:sz w:val="22"/>
                <w:szCs w:val="22"/>
              </w:rPr>
              <w:t>.</w:t>
            </w:r>
            <w:r w:rsidRPr="00A358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6706B" w:rsidRPr="00701B85" w:rsidTr="00663540">
        <w:tc>
          <w:tcPr>
            <w:tcW w:w="2126" w:type="dxa"/>
          </w:tcPr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>Human Sciences Research Council (HSRC)</w:t>
            </w:r>
          </w:p>
        </w:tc>
        <w:tc>
          <w:tcPr>
            <w:tcW w:w="2630" w:type="dxa"/>
          </w:tcPr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>There are no specific interventions</w:t>
            </w:r>
            <w:r w:rsidR="006635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4" w:type="dxa"/>
          </w:tcPr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 xml:space="preserve">Identify these through internal consultation and by working closely with the Internal and External Auditors and then </w:t>
            </w:r>
            <w:r w:rsidRPr="00A35819">
              <w:rPr>
                <w:rFonts w:ascii="Arial" w:hAnsi="Arial" w:cs="Arial"/>
                <w:sz w:val="22"/>
                <w:szCs w:val="22"/>
              </w:rPr>
              <w:lastRenderedPageBreak/>
              <w:t>determine what is required to adhere to in order to remain compliant</w:t>
            </w:r>
            <w:r w:rsidR="006635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lastRenderedPageBreak/>
              <w:t>No systems to reduce red tape</w:t>
            </w:r>
            <w:r w:rsidR="006635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6706B" w:rsidRPr="00701B85" w:rsidTr="00663540">
        <w:tc>
          <w:tcPr>
            <w:tcW w:w="2126" w:type="dxa"/>
          </w:tcPr>
          <w:p w:rsidR="000F0273" w:rsidRPr="00A35819" w:rsidRDefault="000F0273" w:rsidP="00F43796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lastRenderedPageBreak/>
              <w:t>National Research Foundation (NRF)</w:t>
            </w:r>
          </w:p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</w:tcPr>
          <w:p w:rsidR="000F0273" w:rsidRPr="00A35819" w:rsidRDefault="00841EA2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>There are no specific interventions</w:t>
            </w:r>
            <w:r w:rsidR="006635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4" w:type="dxa"/>
          </w:tcPr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>No systems to identify red tape</w:t>
            </w:r>
            <w:r w:rsidR="006635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>No systems to reduce red tape</w:t>
            </w:r>
            <w:r w:rsidR="006635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6706B" w:rsidRPr="00701B85" w:rsidTr="00663540">
        <w:tc>
          <w:tcPr>
            <w:tcW w:w="2126" w:type="dxa"/>
          </w:tcPr>
          <w:p w:rsidR="000F0273" w:rsidRPr="00A35819" w:rsidRDefault="000F0273" w:rsidP="00F43796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>South African National Space Agency (SANSA)</w:t>
            </w:r>
          </w:p>
        </w:tc>
        <w:tc>
          <w:tcPr>
            <w:tcW w:w="2630" w:type="dxa"/>
          </w:tcPr>
          <w:p w:rsidR="000F0273" w:rsidRPr="00A35819" w:rsidRDefault="00841EA2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>There are no specific interventions</w:t>
            </w:r>
            <w:r w:rsidR="006635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4" w:type="dxa"/>
          </w:tcPr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0F0273" w:rsidRPr="00A35819" w:rsidRDefault="00A35819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>Identify through service level standards or turnaround time targets that are set for key processes</w:t>
            </w:r>
            <w:r w:rsidR="006635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F0273" w:rsidRDefault="006D2C8B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>Regularly review policies, procedures and systems with a view to continually assess their effectiveness.</w:t>
            </w:r>
          </w:p>
          <w:p w:rsidR="007767B4" w:rsidRDefault="007767B4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767B4" w:rsidRPr="00A35819" w:rsidRDefault="007767B4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706B" w:rsidRPr="00701B85" w:rsidTr="00663540">
        <w:tc>
          <w:tcPr>
            <w:tcW w:w="2126" w:type="dxa"/>
          </w:tcPr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>Technology Innovation Agency (TIA)</w:t>
            </w:r>
          </w:p>
        </w:tc>
        <w:tc>
          <w:tcPr>
            <w:tcW w:w="2630" w:type="dxa"/>
          </w:tcPr>
          <w:p w:rsidR="000F0273" w:rsidRDefault="00614F5B" w:rsidP="00F43796">
            <w:pPr>
              <w:pStyle w:val="BodyNew"/>
              <w:tabs>
                <w:tab w:val="left" w:pos="6855"/>
              </w:tabs>
              <w:spacing w:line="240" w:lineRule="auto"/>
              <w:ind w:left="72" w:hanging="7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="00430C03"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="007767B4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="000F0273" w:rsidRPr="00A35819">
              <w:rPr>
                <w:rFonts w:ascii="Arial" w:hAnsi="Arial" w:cs="Arial"/>
                <w:color w:val="auto"/>
                <w:sz w:val="22"/>
                <w:szCs w:val="22"/>
              </w:rPr>
              <w:t>teriality framework was amended to enhance decision</w:t>
            </w:r>
            <w:r w:rsidR="00ED5DF8" w:rsidRPr="00A3581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0F0273" w:rsidRPr="00A35819">
              <w:rPr>
                <w:rFonts w:ascii="Arial" w:hAnsi="Arial" w:cs="Arial"/>
                <w:color w:val="auto"/>
                <w:sz w:val="22"/>
                <w:szCs w:val="22"/>
              </w:rPr>
              <w:t>making and execution of decisions</w:t>
            </w:r>
            <w:r w:rsidR="0066354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430C03" w:rsidRPr="00A35819" w:rsidRDefault="00430C03" w:rsidP="00F43796">
            <w:pPr>
              <w:pStyle w:val="BodyNew"/>
              <w:tabs>
                <w:tab w:val="left" w:pos="6855"/>
              </w:tabs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F0273" w:rsidRDefault="00430C03" w:rsidP="00F43796">
            <w:pPr>
              <w:pStyle w:val="BodyNew"/>
              <w:tabs>
                <w:tab w:val="left" w:pos="6855"/>
              </w:tabs>
              <w:spacing w:line="240" w:lineRule="auto"/>
              <w:ind w:left="72" w:hanging="7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-D</w:t>
            </w:r>
            <w:r w:rsidR="000F0273" w:rsidRPr="00A35819">
              <w:rPr>
                <w:rFonts w:ascii="Arial" w:hAnsi="Arial" w:cs="Arial"/>
                <w:color w:val="auto"/>
                <w:sz w:val="22"/>
                <w:szCs w:val="22"/>
              </w:rPr>
              <w:t>elegation of authority was refined</w:t>
            </w:r>
            <w:r w:rsidR="0066354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614F5B" w:rsidRPr="00A35819" w:rsidRDefault="00614F5B" w:rsidP="00F43796">
            <w:pPr>
              <w:pStyle w:val="BodyNew"/>
              <w:tabs>
                <w:tab w:val="left" w:pos="6855"/>
              </w:tabs>
              <w:spacing w:line="240" w:lineRule="auto"/>
              <w:ind w:left="72" w:hanging="7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F0273" w:rsidRDefault="00430C03" w:rsidP="00F43796">
            <w:pPr>
              <w:pStyle w:val="BodyNew"/>
              <w:tabs>
                <w:tab w:val="left" w:pos="6855"/>
              </w:tabs>
              <w:spacing w:line="240" w:lineRule="auto"/>
              <w:ind w:left="72" w:hanging="7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-R</w:t>
            </w:r>
            <w:r w:rsidR="000F0273" w:rsidRPr="00A35819">
              <w:rPr>
                <w:rFonts w:ascii="Arial" w:hAnsi="Arial" w:cs="Arial"/>
                <w:color w:val="auto"/>
                <w:sz w:val="22"/>
                <w:szCs w:val="22"/>
              </w:rPr>
              <w:t>evision of Investment framework policy</w:t>
            </w:r>
            <w:r w:rsidR="0066354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614F5B" w:rsidRDefault="00614F5B" w:rsidP="00F43796">
            <w:pPr>
              <w:pStyle w:val="BodyNew"/>
              <w:tabs>
                <w:tab w:val="left" w:pos="6855"/>
              </w:tabs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F0273" w:rsidRDefault="00614F5B" w:rsidP="00F43796">
            <w:pPr>
              <w:pStyle w:val="BodyNew"/>
              <w:tabs>
                <w:tab w:val="left" w:pos="6855"/>
              </w:tabs>
              <w:spacing w:line="240" w:lineRule="auto"/>
              <w:ind w:left="72" w:hanging="7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="00430C03">
              <w:rPr>
                <w:rFonts w:ascii="Arial" w:hAnsi="Arial" w:cs="Arial"/>
                <w:color w:val="auto"/>
                <w:sz w:val="22"/>
                <w:szCs w:val="22"/>
              </w:rPr>
              <w:t>B</w:t>
            </w:r>
            <w:r w:rsidR="000F0273" w:rsidRPr="00A35819">
              <w:rPr>
                <w:rFonts w:ascii="Arial" w:hAnsi="Arial" w:cs="Arial"/>
                <w:color w:val="auto"/>
                <w:sz w:val="22"/>
                <w:szCs w:val="22"/>
              </w:rPr>
              <w:t>i-monthly Exco meetings</w:t>
            </w:r>
            <w:r w:rsidR="0066354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614F5B" w:rsidRDefault="00614F5B" w:rsidP="00F43796">
            <w:pPr>
              <w:pStyle w:val="BodyNew"/>
              <w:tabs>
                <w:tab w:val="left" w:pos="6855"/>
              </w:tabs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614F5B" w:rsidRDefault="00430C03" w:rsidP="00F43796">
            <w:pPr>
              <w:pStyle w:val="BodyNew"/>
              <w:tabs>
                <w:tab w:val="left" w:pos="6855"/>
              </w:tabs>
              <w:spacing w:line="240" w:lineRule="auto"/>
              <w:ind w:left="72" w:hanging="7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-S</w:t>
            </w:r>
            <w:r w:rsidR="000F0273" w:rsidRPr="00A35819">
              <w:rPr>
                <w:rFonts w:ascii="Arial" w:hAnsi="Arial" w:cs="Arial"/>
                <w:color w:val="auto"/>
                <w:sz w:val="22"/>
                <w:szCs w:val="22"/>
              </w:rPr>
              <w:t>pecial board meetings to expedite decisions made</w:t>
            </w:r>
            <w:r w:rsidR="0066354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614F5B" w:rsidRDefault="00614F5B" w:rsidP="00F43796">
            <w:pPr>
              <w:pStyle w:val="BodyNew"/>
              <w:tabs>
                <w:tab w:val="left" w:pos="6855"/>
              </w:tabs>
              <w:spacing w:line="240" w:lineRule="auto"/>
              <w:ind w:left="72" w:hanging="7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F0273" w:rsidRPr="00A35819" w:rsidRDefault="00614F5B" w:rsidP="00F43796">
            <w:pPr>
              <w:pStyle w:val="BodyNew"/>
              <w:tabs>
                <w:tab w:val="left" w:pos="6855"/>
              </w:tabs>
              <w:spacing w:line="240" w:lineRule="auto"/>
              <w:ind w:left="72" w:hanging="7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="00430C03"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 w:rsidR="000F0273" w:rsidRPr="00A35819">
              <w:rPr>
                <w:rFonts w:ascii="Arial" w:hAnsi="Arial" w:cs="Arial"/>
                <w:color w:val="auto"/>
                <w:sz w:val="22"/>
                <w:szCs w:val="22"/>
              </w:rPr>
              <w:t xml:space="preserve">he operational </w:t>
            </w:r>
            <w:r w:rsidR="00A35819" w:rsidRPr="00A35819">
              <w:rPr>
                <w:rFonts w:ascii="Arial" w:hAnsi="Arial" w:cs="Arial"/>
                <w:color w:val="auto"/>
                <w:sz w:val="22"/>
                <w:szCs w:val="22"/>
              </w:rPr>
              <w:t>team in the Supply Chain Management Unit has</w:t>
            </w:r>
            <w:r w:rsidR="000F0273" w:rsidRPr="00A35819">
              <w:rPr>
                <w:rFonts w:ascii="Arial" w:hAnsi="Arial" w:cs="Arial"/>
                <w:color w:val="auto"/>
                <w:sz w:val="22"/>
                <w:szCs w:val="22"/>
              </w:rPr>
              <w:t xml:space="preserve"> been expanded to meet business’ needs quicker and more efficient.</w:t>
            </w:r>
          </w:p>
          <w:p w:rsidR="00430C03" w:rsidRDefault="00430C03" w:rsidP="00F43796">
            <w:pPr>
              <w:pStyle w:val="BodyNew"/>
              <w:tabs>
                <w:tab w:val="left" w:pos="6855"/>
              </w:tabs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F0273" w:rsidRDefault="00430C03" w:rsidP="00F43796">
            <w:pPr>
              <w:pStyle w:val="BodyNew"/>
              <w:tabs>
                <w:tab w:val="left" w:pos="6855"/>
              </w:tabs>
              <w:spacing w:line="240" w:lineRule="auto"/>
              <w:ind w:left="72" w:hanging="7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-E</w:t>
            </w:r>
            <w:r w:rsidR="000F0273" w:rsidRPr="00A35819">
              <w:rPr>
                <w:rFonts w:ascii="Arial" w:hAnsi="Arial" w:cs="Arial"/>
                <w:color w:val="auto"/>
                <w:sz w:val="22"/>
                <w:szCs w:val="22"/>
              </w:rPr>
              <w:t>mployee culture survey</w:t>
            </w:r>
            <w:r w:rsidR="0066354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430C03" w:rsidRDefault="00430C03" w:rsidP="00F43796">
            <w:pPr>
              <w:pStyle w:val="BodyNew"/>
              <w:tabs>
                <w:tab w:val="left" w:pos="6855"/>
              </w:tabs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614F5B" w:rsidRDefault="00430C03" w:rsidP="00F43796">
            <w:pPr>
              <w:pStyle w:val="BodyNew"/>
              <w:tabs>
                <w:tab w:val="left" w:pos="6855"/>
              </w:tabs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-Complaints review</w:t>
            </w:r>
            <w:r w:rsidR="0066354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9B74CE" w:rsidRDefault="009B74CE" w:rsidP="00F43796">
            <w:pPr>
              <w:pStyle w:val="BodyNew"/>
              <w:tabs>
                <w:tab w:val="left" w:pos="6855"/>
              </w:tabs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F0273" w:rsidRPr="00A35819" w:rsidRDefault="00614F5B" w:rsidP="00F43796">
            <w:pPr>
              <w:pStyle w:val="BodyNew"/>
              <w:tabs>
                <w:tab w:val="left" w:pos="6855"/>
              </w:tabs>
              <w:spacing w:line="240" w:lineRule="auto"/>
              <w:ind w:left="72" w:hanging="7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="000F0273" w:rsidRPr="00A35819">
              <w:rPr>
                <w:rFonts w:ascii="Arial" w:hAnsi="Arial" w:cs="Arial"/>
                <w:color w:val="auto"/>
                <w:sz w:val="22"/>
                <w:szCs w:val="22"/>
              </w:rPr>
              <w:t>Customer satisfaction surveys</w:t>
            </w:r>
            <w:r w:rsidR="0066354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4" w:type="dxa"/>
          </w:tcPr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 xml:space="preserve">Operational inefficiencies are identified through inadequate turnaround times of approval and payment of projects and expenditure. </w:t>
            </w:r>
            <w:r w:rsidR="006635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5819">
              <w:rPr>
                <w:rFonts w:ascii="Arial" w:hAnsi="Arial" w:cs="Arial"/>
                <w:sz w:val="22"/>
                <w:szCs w:val="22"/>
              </w:rPr>
              <w:t>It is also identified through employee engagement surveys and customer satisfaction surveys</w:t>
            </w:r>
            <w:r w:rsidR="006635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5819">
              <w:rPr>
                <w:rFonts w:ascii="Arial" w:hAnsi="Arial" w:cs="Arial"/>
                <w:sz w:val="22"/>
                <w:szCs w:val="22"/>
              </w:rPr>
              <w:t>Investment management system has been designed and implemented</w:t>
            </w:r>
            <w:r w:rsidR="00663540">
              <w:rPr>
                <w:rFonts w:ascii="Arial" w:hAnsi="Arial" w:cs="Arial"/>
                <w:sz w:val="22"/>
                <w:szCs w:val="22"/>
              </w:rPr>
              <w:t>.</w:t>
            </w:r>
            <w:r w:rsidRPr="00A3581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F0273" w:rsidRPr="00A35819" w:rsidRDefault="000F0273" w:rsidP="00F4379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1B67" w:rsidRDefault="00D31B67" w:rsidP="00F43796">
      <w:pPr>
        <w:tabs>
          <w:tab w:val="left" w:pos="540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  <w:sectPr w:rsidR="00D31B67" w:rsidSect="006D2C8B">
          <w:pgSz w:w="15840" w:h="12240" w:orient="landscape"/>
          <w:pgMar w:top="1588" w:right="1418" w:bottom="1361" w:left="1134" w:header="709" w:footer="709" w:gutter="0"/>
          <w:cols w:space="708"/>
          <w:titlePg/>
          <w:docGrid w:linePitch="360"/>
        </w:sectPr>
      </w:pPr>
    </w:p>
    <w:p w:rsidR="00FD02D3" w:rsidRPr="00AE7AD0" w:rsidRDefault="00FD02D3" w:rsidP="004E2E5B">
      <w:pPr>
        <w:tabs>
          <w:tab w:val="left" w:pos="465"/>
          <w:tab w:val="left" w:pos="540"/>
        </w:tabs>
        <w:spacing w:after="120" w:line="360" w:lineRule="auto"/>
        <w:jc w:val="center"/>
      </w:pPr>
    </w:p>
    <w:sectPr w:rsidR="00FD02D3" w:rsidRPr="00AE7AD0" w:rsidSect="006D2C8B"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E3C" w:rsidRDefault="005F1E3C">
      <w:r>
        <w:separator/>
      </w:r>
    </w:p>
  </w:endnote>
  <w:endnote w:type="continuationSeparator" w:id="0">
    <w:p w:rsidR="005F1E3C" w:rsidRDefault="005F1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E3C" w:rsidRDefault="005F1E3C">
      <w:r>
        <w:separator/>
      </w:r>
    </w:p>
  </w:footnote>
  <w:footnote w:type="continuationSeparator" w:id="0">
    <w:p w:rsidR="005F1E3C" w:rsidRDefault="005F1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D2" w:rsidRDefault="0019733C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2E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2ED2" w:rsidRDefault="004B2ED2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D2" w:rsidRPr="005613B5" w:rsidRDefault="004B2ED2" w:rsidP="005613B5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4"/>
        <w:szCs w:val="24"/>
      </w:rPr>
    </w:pPr>
  </w:p>
  <w:p w:rsidR="004B2ED2" w:rsidRDefault="004B2ED2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789"/>
    <w:multiLevelType w:val="hybridMultilevel"/>
    <w:tmpl w:val="72AE1D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50922"/>
    <w:multiLevelType w:val="hybridMultilevel"/>
    <w:tmpl w:val="3F306BC6"/>
    <w:lvl w:ilvl="0" w:tplc="01DC8C96">
      <w:start w:val="1"/>
      <w:numFmt w:val="decimal"/>
      <w:lvlText w:val="%1."/>
      <w:lvlJc w:val="left"/>
      <w:pPr>
        <w:ind w:left="3240" w:hanging="360"/>
      </w:pPr>
      <w:rPr>
        <w:rFonts w:ascii="Arial" w:hAnsi="Arial" w:cs="Arial" w:hint="default"/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3960" w:hanging="360"/>
      </w:pPr>
    </w:lvl>
    <w:lvl w:ilvl="2" w:tplc="1C09001B">
      <w:start w:val="1"/>
      <w:numFmt w:val="lowerRoman"/>
      <w:lvlText w:val="%3."/>
      <w:lvlJc w:val="right"/>
      <w:pPr>
        <w:ind w:left="4680" w:hanging="180"/>
      </w:pPr>
    </w:lvl>
    <w:lvl w:ilvl="3" w:tplc="1C09000F">
      <w:start w:val="1"/>
      <w:numFmt w:val="decimal"/>
      <w:lvlText w:val="%4."/>
      <w:lvlJc w:val="left"/>
      <w:pPr>
        <w:ind w:left="5400" w:hanging="360"/>
      </w:pPr>
    </w:lvl>
    <w:lvl w:ilvl="4" w:tplc="1C090019">
      <w:start w:val="1"/>
      <w:numFmt w:val="lowerLetter"/>
      <w:lvlText w:val="%5."/>
      <w:lvlJc w:val="left"/>
      <w:pPr>
        <w:ind w:left="6120" w:hanging="360"/>
      </w:pPr>
    </w:lvl>
    <w:lvl w:ilvl="5" w:tplc="1C09001B">
      <w:start w:val="1"/>
      <w:numFmt w:val="lowerRoman"/>
      <w:lvlText w:val="%6."/>
      <w:lvlJc w:val="right"/>
      <w:pPr>
        <w:ind w:left="6840" w:hanging="180"/>
      </w:pPr>
    </w:lvl>
    <w:lvl w:ilvl="6" w:tplc="1C09000F">
      <w:start w:val="1"/>
      <w:numFmt w:val="decimal"/>
      <w:lvlText w:val="%7."/>
      <w:lvlJc w:val="left"/>
      <w:pPr>
        <w:ind w:left="7560" w:hanging="360"/>
      </w:pPr>
    </w:lvl>
    <w:lvl w:ilvl="7" w:tplc="1C090019">
      <w:start w:val="1"/>
      <w:numFmt w:val="lowerLetter"/>
      <w:lvlText w:val="%8."/>
      <w:lvlJc w:val="left"/>
      <w:pPr>
        <w:ind w:left="8280" w:hanging="360"/>
      </w:pPr>
    </w:lvl>
    <w:lvl w:ilvl="8" w:tplc="1C09001B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B5610E9"/>
    <w:multiLevelType w:val="multilevel"/>
    <w:tmpl w:val="8A4A9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0F7906"/>
    <w:multiLevelType w:val="hybridMultilevel"/>
    <w:tmpl w:val="ACE09B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EC0F01"/>
    <w:multiLevelType w:val="hybridMultilevel"/>
    <w:tmpl w:val="9634D6B2"/>
    <w:lvl w:ilvl="0" w:tplc="1C09000F">
      <w:start w:val="1"/>
      <w:numFmt w:val="decimal"/>
      <w:lvlText w:val="%1."/>
      <w:lvlJc w:val="left"/>
      <w:pPr>
        <w:ind w:left="3240" w:hanging="360"/>
      </w:pPr>
    </w:lvl>
    <w:lvl w:ilvl="1" w:tplc="1C090019">
      <w:start w:val="1"/>
      <w:numFmt w:val="lowerLetter"/>
      <w:lvlText w:val="%2."/>
      <w:lvlJc w:val="left"/>
      <w:pPr>
        <w:ind w:left="3960" w:hanging="360"/>
      </w:pPr>
    </w:lvl>
    <w:lvl w:ilvl="2" w:tplc="1C09001B">
      <w:start w:val="1"/>
      <w:numFmt w:val="lowerRoman"/>
      <w:lvlText w:val="%3."/>
      <w:lvlJc w:val="right"/>
      <w:pPr>
        <w:ind w:left="4680" w:hanging="180"/>
      </w:pPr>
    </w:lvl>
    <w:lvl w:ilvl="3" w:tplc="1C09000F">
      <w:start w:val="1"/>
      <w:numFmt w:val="decimal"/>
      <w:lvlText w:val="%4."/>
      <w:lvlJc w:val="left"/>
      <w:pPr>
        <w:ind w:left="5400" w:hanging="360"/>
      </w:pPr>
    </w:lvl>
    <w:lvl w:ilvl="4" w:tplc="1C090019">
      <w:start w:val="1"/>
      <w:numFmt w:val="lowerLetter"/>
      <w:lvlText w:val="%5."/>
      <w:lvlJc w:val="left"/>
      <w:pPr>
        <w:ind w:left="6120" w:hanging="360"/>
      </w:pPr>
    </w:lvl>
    <w:lvl w:ilvl="5" w:tplc="1C09001B">
      <w:start w:val="1"/>
      <w:numFmt w:val="lowerRoman"/>
      <w:lvlText w:val="%6."/>
      <w:lvlJc w:val="right"/>
      <w:pPr>
        <w:ind w:left="6840" w:hanging="180"/>
      </w:pPr>
    </w:lvl>
    <w:lvl w:ilvl="6" w:tplc="1C09000F">
      <w:start w:val="1"/>
      <w:numFmt w:val="decimal"/>
      <w:lvlText w:val="%7."/>
      <w:lvlJc w:val="left"/>
      <w:pPr>
        <w:ind w:left="7560" w:hanging="360"/>
      </w:pPr>
    </w:lvl>
    <w:lvl w:ilvl="7" w:tplc="1C090019">
      <w:start w:val="1"/>
      <w:numFmt w:val="lowerLetter"/>
      <w:lvlText w:val="%8."/>
      <w:lvlJc w:val="left"/>
      <w:pPr>
        <w:ind w:left="8280" w:hanging="360"/>
      </w:pPr>
    </w:lvl>
    <w:lvl w:ilvl="8" w:tplc="1C0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0D02745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AC959CC"/>
    <w:multiLevelType w:val="hybridMultilevel"/>
    <w:tmpl w:val="70F6E880"/>
    <w:lvl w:ilvl="0" w:tplc="11E27B1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FFA6074"/>
    <w:multiLevelType w:val="hybridMultilevel"/>
    <w:tmpl w:val="2E7A695E"/>
    <w:lvl w:ilvl="0" w:tplc="B4246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680E0">
      <w:numFmt w:val="none"/>
      <w:lvlText w:val=""/>
      <w:lvlJc w:val="left"/>
      <w:pPr>
        <w:tabs>
          <w:tab w:val="num" w:pos="360"/>
        </w:tabs>
      </w:pPr>
    </w:lvl>
    <w:lvl w:ilvl="2" w:tplc="987402BE">
      <w:numFmt w:val="none"/>
      <w:lvlText w:val=""/>
      <w:lvlJc w:val="left"/>
      <w:pPr>
        <w:tabs>
          <w:tab w:val="num" w:pos="360"/>
        </w:tabs>
      </w:pPr>
    </w:lvl>
    <w:lvl w:ilvl="3" w:tplc="AEF67FCA">
      <w:numFmt w:val="none"/>
      <w:lvlText w:val=""/>
      <w:lvlJc w:val="left"/>
      <w:pPr>
        <w:tabs>
          <w:tab w:val="num" w:pos="360"/>
        </w:tabs>
      </w:pPr>
    </w:lvl>
    <w:lvl w:ilvl="4" w:tplc="DF347F36">
      <w:numFmt w:val="none"/>
      <w:lvlText w:val=""/>
      <w:lvlJc w:val="left"/>
      <w:pPr>
        <w:tabs>
          <w:tab w:val="num" w:pos="360"/>
        </w:tabs>
      </w:pPr>
    </w:lvl>
    <w:lvl w:ilvl="5" w:tplc="DFA08736">
      <w:numFmt w:val="none"/>
      <w:lvlText w:val=""/>
      <w:lvlJc w:val="left"/>
      <w:pPr>
        <w:tabs>
          <w:tab w:val="num" w:pos="360"/>
        </w:tabs>
      </w:pPr>
    </w:lvl>
    <w:lvl w:ilvl="6" w:tplc="A4F86CE6">
      <w:numFmt w:val="none"/>
      <w:lvlText w:val=""/>
      <w:lvlJc w:val="left"/>
      <w:pPr>
        <w:tabs>
          <w:tab w:val="num" w:pos="360"/>
        </w:tabs>
      </w:pPr>
    </w:lvl>
    <w:lvl w:ilvl="7" w:tplc="446E91A6">
      <w:numFmt w:val="none"/>
      <w:lvlText w:val=""/>
      <w:lvlJc w:val="left"/>
      <w:pPr>
        <w:tabs>
          <w:tab w:val="num" w:pos="360"/>
        </w:tabs>
      </w:pPr>
    </w:lvl>
    <w:lvl w:ilvl="8" w:tplc="1366A8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ED611D2"/>
    <w:multiLevelType w:val="hybridMultilevel"/>
    <w:tmpl w:val="D292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10453D"/>
    <w:multiLevelType w:val="hybridMultilevel"/>
    <w:tmpl w:val="89504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37D88"/>
    <w:multiLevelType w:val="hybridMultilevel"/>
    <w:tmpl w:val="520E496A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>
    <w:nsid w:val="40D31005"/>
    <w:multiLevelType w:val="multilevel"/>
    <w:tmpl w:val="B5945F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1534385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6F0D94"/>
    <w:multiLevelType w:val="hybridMultilevel"/>
    <w:tmpl w:val="1EEC98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8F3CAB"/>
    <w:multiLevelType w:val="hybridMultilevel"/>
    <w:tmpl w:val="397A7268"/>
    <w:lvl w:ilvl="0" w:tplc="8160BE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7474C"/>
    <w:multiLevelType w:val="hybridMultilevel"/>
    <w:tmpl w:val="22A2EB12"/>
    <w:lvl w:ilvl="0" w:tplc="658C22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655D7"/>
    <w:multiLevelType w:val="hybridMultilevel"/>
    <w:tmpl w:val="5FD4C1B2"/>
    <w:lvl w:ilvl="0" w:tplc="FC2CD79E">
      <w:start w:val="1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7FD0A8E"/>
    <w:multiLevelType w:val="hybridMultilevel"/>
    <w:tmpl w:val="84F66F20"/>
    <w:lvl w:ilvl="0" w:tplc="AB24F6A0">
      <w:start w:val="1"/>
      <w:numFmt w:val="lowerLetter"/>
      <w:lvlText w:val="(%1)"/>
      <w:lvlJc w:val="left"/>
      <w:pPr>
        <w:ind w:left="5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9AF7D1C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6D728C"/>
    <w:multiLevelType w:val="hybridMultilevel"/>
    <w:tmpl w:val="8508115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B233944"/>
    <w:multiLevelType w:val="multilevel"/>
    <w:tmpl w:val="FA5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4BB2353A"/>
    <w:multiLevelType w:val="hybridMultilevel"/>
    <w:tmpl w:val="4BAC71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52AF4B63"/>
    <w:multiLevelType w:val="hybridMultilevel"/>
    <w:tmpl w:val="5C6AA0D6"/>
    <w:lvl w:ilvl="0" w:tplc="5A96A5F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58A54B4"/>
    <w:multiLevelType w:val="hybridMultilevel"/>
    <w:tmpl w:val="904E7F6A"/>
    <w:lvl w:ilvl="0" w:tplc="FCC6E4D8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6558D2"/>
    <w:multiLevelType w:val="hybridMultilevel"/>
    <w:tmpl w:val="C3E82574"/>
    <w:lvl w:ilvl="0" w:tplc="448621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0945"/>
    <w:multiLevelType w:val="hybridMultilevel"/>
    <w:tmpl w:val="B5945FDC"/>
    <w:lvl w:ilvl="0" w:tplc="FCC6E4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F5C048E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FF0B13"/>
    <w:multiLevelType w:val="hybridMultilevel"/>
    <w:tmpl w:val="29060F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60D3DB0"/>
    <w:multiLevelType w:val="hybridMultilevel"/>
    <w:tmpl w:val="8FAAD566"/>
    <w:lvl w:ilvl="0" w:tplc="BF64EAEC">
      <w:start w:val="32"/>
      <w:numFmt w:val="bullet"/>
      <w:lvlText w:val="-"/>
      <w:lvlJc w:val="left"/>
      <w:pPr>
        <w:tabs>
          <w:tab w:val="num" w:pos="5060"/>
        </w:tabs>
        <w:ind w:left="50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EC24B4"/>
    <w:multiLevelType w:val="hybridMultilevel"/>
    <w:tmpl w:val="8A4A9F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DA2864"/>
    <w:multiLevelType w:val="hybridMultilevel"/>
    <w:tmpl w:val="417A56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9F6474D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8D0DC4"/>
    <w:multiLevelType w:val="hybridMultilevel"/>
    <w:tmpl w:val="E27C6F1E"/>
    <w:lvl w:ilvl="0" w:tplc="3662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E81112">
      <w:numFmt w:val="none"/>
      <w:lvlText w:val=""/>
      <w:lvlJc w:val="left"/>
      <w:pPr>
        <w:tabs>
          <w:tab w:val="num" w:pos="360"/>
        </w:tabs>
      </w:pPr>
    </w:lvl>
    <w:lvl w:ilvl="2" w:tplc="4BCA0330">
      <w:numFmt w:val="none"/>
      <w:lvlText w:val=""/>
      <w:lvlJc w:val="left"/>
      <w:pPr>
        <w:tabs>
          <w:tab w:val="num" w:pos="360"/>
        </w:tabs>
      </w:pPr>
    </w:lvl>
    <w:lvl w:ilvl="3" w:tplc="ACDAD6C6">
      <w:numFmt w:val="none"/>
      <w:lvlText w:val=""/>
      <w:lvlJc w:val="left"/>
      <w:pPr>
        <w:tabs>
          <w:tab w:val="num" w:pos="360"/>
        </w:tabs>
      </w:pPr>
    </w:lvl>
    <w:lvl w:ilvl="4" w:tplc="0DBAF9EA">
      <w:numFmt w:val="none"/>
      <w:lvlText w:val=""/>
      <w:lvlJc w:val="left"/>
      <w:pPr>
        <w:tabs>
          <w:tab w:val="num" w:pos="360"/>
        </w:tabs>
      </w:pPr>
    </w:lvl>
    <w:lvl w:ilvl="5" w:tplc="4754EBC4">
      <w:numFmt w:val="none"/>
      <w:lvlText w:val=""/>
      <w:lvlJc w:val="left"/>
      <w:pPr>
        <w:tabs>
          <w:tab w:val="num" w:pos="360"/>
        </w:tabs>
      </w:pPr>
    </w:lvl>
    <w:lvl w:ilvl="6" w:tplc="4960449C">
      <w:numFmt w:val="none"/>
      <w:lvlText w:val=""/>
      <w:lvlJc w:val="left"/>
      <w:pPr>
        <w:tabs>
          <w:tab w:val="num" w:pos="360"/>
        </w:tabs>
      </w:pPr>
    </w:lvl>
    <w:lvl w:ilvl="7" w:tplc="719E259A">
      <w:numFmt w:val="none"/>
      <w:lvlText w:val=""/>
      <w:lvlJc w:val="left"/>
      <w:pPr>
        <w:tabs>
          <w:tab w:val="num" w:pos="360"/>
        </w:tabs>
      </w:pPr>
    </w:lvl>
    <w:lvl w:ilvl="8" w:tplc="D9505BE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3844E88"/>
    <w:multiLevelType w:val="multilevel"/>
    <w:tmpl w:val="92E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2A6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77A65AFE"/>
    <w:multiLevelType w:val="hybridMultilevel"/>
    <w:tmpl w:val="FD0C3BE6"/>
    <w:lvl w:ilvl="0" w:tplc="A1C0B4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E43FA"/>
    <w:multiLevelType w:val="hybridMultilevel"/>
    <w:tmpl w:val="45EC0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CC0D0D"/>
    <w:multiLevelType w:val="hybridMultilevel"/>
    <w:tmpl w:val="B6A2E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F55CD4"/>
    <w:multiLevelType w:val="hybridMultilevel"/>
    <w:tmpl w:val="E86041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CE06498"/>
    <w:multiLevelType w:val="hybridMultilevel"/>
    <w:tmpl w:val="F422777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EB06B8F"/>
    <w:multiLevelType w:val="hybridMultilevel"/>
    <w:tmpl w:val="946A36AC"/>
    <w:lvl w:ilvl="0" w:tplc="5AB09D3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0"/>
  </w:num>
  <w:num w:numId="4">
    <w:abstractNumId w:val="7"/>
  </w:num>
  <w:num w:numId="5">
    <w:abstractNumId w:val="29"/>
  </w:num>
  <w:num w:numId="6">
    <w:abstractNumId w:val="2"/>
  </w:num>
  <w:num w:numId="7">
    <w:abstractNumId w:val="39"/>
  </w:num>
  <w:num w:numId="8">
    <w:abstractNumId w:val="18"/>
  </w:num>
  <w:num w:numId="9">
    <w:abstractNumId w:val="25"/>
  </w:num>
  <w:num w:numId="10">
    <w:abstractNumId w:val="11"/>
  </w:num>
  <w:num w:numId="11">
    <w:abstractNumId w:val="19"/>
  </w:num>
  <w:num w:numId="12">
    <w:abstractNumId w:val="5"/>
  </w:num>
  <w:num w:numId="13">
    <w:abstractNumId w:val="13"/>
  </w:num>
  <w:num w:numId="14">
    <w:abstractNumId w:val="37"/>
  </w:num>
  <w:num w:numId="15">
    <w:abstractNumId w:val="8"/>
  </w:num>
  <w:num w:numId="16">
    <w:abstractNumId w:val="34"/>
  </w:num>
  <w:num w:numId="17">
    <w:abstractNumId w:val="36"/>
  </w:num>
  <w:num w:numId="18">
    <w:abstractNumId w:val="27"/>
  </w:num>
  <w:num w:numId="19">
    <w:abstractNumId w:val="23"/>
  </w:num>
  <w:num w:numId="20">
    <w:abstractNumId w:val="26"/>
  </w:num>
  <w:num w:numId="21">
    <w:abstractNumId w:val="28"/>
  </w:num>
  <w:num w:numId="22">
    <w:abstractNumId w:val="31"/>
  </w:num>
  <w:num w:numId="23">
    <w:abstractNumId w:val="6"/>
  </w:num>
  <w:num w:numId="24">
    <w:abstractNumId w:val="12"/>
  </w:num>
  <w:num w:numId="25">
    <w:abstractNumId w:val="38"/>
  </w:num>
  <w:num w:numId="26">
    <w:abstractNumId w:val="21"/>
  </w:num>
  <w:num w:numId="27">
    <w:abstractNumId w:val="3"/>
  </w:num>
  <w:num w:numId="28">
    <w:abstractNumId w:val="30"/>
  </w:num>
  <w:num w:numId="29">
    <w:abstractNumId w:val="0"/>
  </w:num>
  <w:num w:numId="30">
    <w:abstractNumId w:val="16"/>
  </w:num>
  <w:num w:numId="31">
    <w:abstractNumId w:val="17"/>
  </w:num>
  <w:num w:numId="32">
    <w:abstractNumId w:val="10"/>
  </w:num>
  <w:num w:numId="33">
    <w:abstractNumId w:val="22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40"/>
  </w:num>
  <w:num w:numId="38">
    <w:abstractNumId w:val="35"/>
  </w:num>
  <w:num w:numId="39">
    <w:abstractNumId w:val="15"/>
  </w:num>
  <w:num w:numId="40">
    <w:abstractNumId w:val="24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6ABF"/>
    <w:rsid w:val="0001278B"/>
    <w:rsid w:val="000138FC"/>
    <w:rsid w:val="00017D09"/>
    <w:rsid w:val="0002014E"/>
    <w:rsid w:val="00024CD2"/>
    <w:rsid w:val="00024E08"/>
    <w:rsid w:val="0002660A"/>
    <w:rsid w:val="00026E8B"/>
    <w:rsid w:val="00030282"/>
    <w:rsid w:val="000313F2"/>
    <w:rsid w:val="0003317A"/>
    <w:rsid w:val="000356BB"/>
    <w:rsid w:val="00036FBC"/>
    <w:rsid w:val="000442E9"/>
    <w:rsid w:val="00045960"/>
    <w:rsid w:val="000464EA"/>
    <w:rsid w:val="00052A2F"/>
    <w:rsid w:val="00053577"/>
    <w:rsid w:val="00055870"/>
    <w:rsid w:val="00057FB7"/>
    <w:rsid w:val="00061B0B"/>
    <w:rsid w:val="00065548"/>
    <w:rsid w:val="00074555"/>
    <w:rsid w:val="0007555D"/>
    <w:rsid w:val="00075890"/>
    <w:rsid w:val="00082674"/>
    <w:rsid w:val="00083307"/>
    <w:rsid w:val="000940BB"/>
    <w:rsid w:val="000974E2"/>
    <w:rsid w:val="000A5830"/>
    <w:rsid w:val="000A74E4"/>
    <w:rsid w:val="000B355D"/>
    <w:rsid w:val="000B4687"/>
    <w:rsid w:val="000C2BD8"/>
    <w:rsid w:val="000C347C"/>
    <w:rsid w:val="000C7545"/>
    <w:rsid w:val="000D2DC7"/>
    <w:rsid w:val="000D3FB5"/>
    <w:rsid w:val="000D4062"/>
    <w:rsid w:val="000D788E"/>
    <w:rsid w:val="000E0154"/>
    <w:rsid w:val="000E0870"/>
    <w:rsid w:val="000E1A7A"/>
    <w:rsid w:val="000E4A33"/>
    <w:rsid w:val="000E695A"/>
    <w:rsid w:val="000E7470"/>
    <w:rsid w:val="000F0273"/>
    <w:rsid w:val="000F3494"/>
    <w:rsid w:val="000F3AC8"/>
    <w:rsid w:val="0010023B"/>
    <w:rsid w:val="0010096B"/>
    <w:rsid w:val="00101DA6"/>
    <w:rsid w:val="001158D6"/>
    <w:rsid w:val="001164C6"/>
    <w:rsid w:val="00120BC0"/>
    <w:rsid w:val="001245F8"/>
    <w:rsid w:val="00124B75"/>
    <w:rsid w:val="00125A35"/>
    <w:rsid w:val="00126108"/>
    <w:rsid w:val="00134B64"/>
    <w:rsid w:val="0013719E"/>
    <w:rsid w:val="0014239F"/>
    <w:rsid w:val="001647BE"/>
    <w:rsid w:val="00164DD1"/>
    <w:rsid w:val="00166BE0"/>
    <w:rsid w:val="00167DCC"/>
    <w:rsid w:val="001709FA"/>
    <w:rsid w:val="00172A61"/>
    <w:rsid w:val="00174446"/>
    <w:rsid w:val="001768F2"/>
    <w:rsid w:val="00181B9A"/>
    <w:rsid w:val="00182A95"/>
    <w:rsid w:val="00183989"/>
    <w:rsid w:val="00187E97"/>
    <w:rsid w:val="0019733C"/>
    <w:rsid w:val="001A65F7"/>
    <w:rsid w:val="001B5EAE"/>
    <w:rsid w:val="001C1AEF"/>
    <w:rsid w:val="001C7AD4"/>
    <w:rsid w:val="001D2B6A"/>
    <w:rsid w:val="001D510B"/>
    <w:rsid w:val="001D5342"/>
    <w:rsid w:val="001D6B5D"/>
    <w:rsid w:val="001D7389"/>
    <w:rsid w:val="001E1170"/>
    <w:rsid w:val="001E4960"/>
    <w:rsid w:val="001E590A"/>
    <w:rsid w:val="001E6E9E"/>
    <w:rsid w:val="001E750C"/>
    <w:rsid w:val="001F3E80"/>
    <w:rsid w:val="001F7C6C"/>
    <w:rsid w:val="00202885"/>
    <w:rsid w:val="002055F9"/>
    <w:rsid w:val="0020747B"/>
    <w:rsid w:val="00207C19"/>
    <w:rsid w:val="00207C1A"/>
    <w:rsid w:val="00211547"/>
    <w:rsid w:val="00214E46"/>
    <w:rsid w:val="002171DB"/>
    <w:rsid w:val="0023490E"/>
    <w:rsid w:val="00237BF7"/>
    <w:rsid w:val="00245701"/>
    <w:rsid w:val="0024766E"/>
    <w:rsid w:val="00254101"/>
    <w:rsid w:val="002554C8"/>
    <w:rsid w:val="002565B8"/>
    <w:rsid w:val="00260228"/>
    <w:rsid w:val="00272F92"/>
    <w:rsid w:val="00280060"/>
    <w:rsid w:val="0028482E"/>
    <w:rsid w:val="002967B4"/>
    <w:rsid w:val="002A2954"/>
    <w:rsid w:val="002A337C"/>
    <w:rsid w:val="002A4115"/>
    <w:rsid w:val="002A5C5E"/>
    <w:rsid w:val="002A6B1B"/>
    <w:rsid w:val="002A7098"/>
    <w:rsid w:val="002B0E36"/>
    <w:rsid w:val="002B576C"/>
    <w:rsid w:val="002B79FA"/>
    <w:rsid w:val="002C0359"/>
    <w:rsid w:val="002C2F60"/>
    <w:rsid w:val="002D017D"/>
    <w:rsid w:val="002D5E8C"/>
    <w:rsid w:val="002E21F0"/>
    <w:rsid w:val="002E4397"/>
    <w:rsid w:val="002E4BFC"/>
    <w:rsid w:val="002F0052"/>
    <w:rsid w:val="002F2348"/>
    <w:rsid w:val="002F38E1"/>
    <w:rsid w:val="002F6BB2"/>
    <w:rsid w:val="003002D0"/>
    <w:rsid w:val="003041CA"/>
    <w:rsid w:val="00306257"/>
    <w:rsid w:val="00307116"/>
    <w:rsid w:val="00307E5C"/>
    <w:rsid w:val="00316BC8"/>
    <w:rsid w:val="0032004B"/>
    <w:rsid w:val="0032060C"/>
    <w:rsid w:val="00322095"/>
    <w:rsid w:val="0032278F"/>
    <w:rsid w:val="00331F90"/>
    <w:rsid w:val="00332C83"/>
    <w:rsid w:val="003356FA"/>
    <w:rsid w:val="00340B8C"/>
    <w:rsid w:val="00341CCC"/>
    <w:rsid w:val="00342236"/>
    <w:rsid w:val="00350269"/>
    <w:rsid w:val="00352C0F"/>
    <w:rsid w:val="00357EBE"/>
    <w:rsid w:val="003663B4"/>
    <w:rsid w:val="0036706B"/>
    <w:rsid w:val="003674FA"/>
    <w:rsid w:val="0037240E"/>
    <w:rsid w:val="003730D8"/>
    <w:rsid w:val="00374F10"/>
    <w:rsid w:val="003817B6"/>
    <w:rsid w:val="00382FFC"/>
    <w:rsid w:val="00383B4A"/>
    <w:rsid w:val="0039370B"/>
    <w:rsid w:val="003A3DB3"/>
    <w:rsid w:val="003A55B1"/>
    <w:rsid w:val="003A77F7"/>
    <w:rsid w:val="003A7A96"/>
    <w:rsid w:val="003B254A"/>
    <w:rsid w:val="003B51EA"/>
    <w:rsid w:val="003C3A4F"/>
    <w:rsid w:val="003C40D9"/>
    <w:rsid w:val="003C42A9"/>
    <w:rsid w:val="003C69B9"/>
    <w:rsid w:val="003D21A8"/>
    <w:rsid w:val="003D334A"/>
    <w:rsid w:val="003D3FB0"/>
    <w:rsid w:val="003D6944"/>
    <w:rsid w:val="003E16BF"/>
    <w:rsid w:val="003E1C8A"/>
    <w:rsid w:val="003F29AC"/>
    <w:rsid w:val="003F7585"/>
    <w:rsid w:val="00401B0F"/>
    <w:rsid w:val="00402865"/>
    <w:rsid w:val="00405C17"/>
    <w:rsid w:val="004063D9"/>
    <w:rsid w:val="004143ED"/>
    <w:rsid w:val="004178CE"/>
    <w:rsid w:val="00423429"/>
    <w:rsid w:val="00424766"/>
    <w:rsid w:val="00424FAF"/>
    <w:rsid w:val="00427FBC"/>
    <w:rsid w:val="00430C03"/>
    <w:rsid w:val="00437B82"/>
    <w:rsid w:val="0044317C"/>
    <w:rsid w:val="0045305C"/>
    <w:rsid w:val="00453B28"/>
    <w:rsid w:val="00457E46"/>
    <w:rsid w:val="0046469E"/>
    <w:rsid w:val="00467EA6"/>
    <w:rsid w:val="004715FB"/>
    <w:rsid w:val="00472430"/>
    <w:rsid w:val="00480C3E"/>
    <w:rsid w:val="0048567C"/>
    <w:rsid w:val="00490885"/>
    <w:rsid w:val="0049705A"/>
    <w:rsid w:val="004A75C4"/>
    <w:rsid w:val="004B1BEF"/>
    <w:rsid w:val="004B2ED2"/>
    <w:rsid w:val="004C062A"/>
    <w:rsid w:val="004C58F4"/>
    <w:rsid w:val="004E2E5B"/>
    <w:rsid w:val="004E3FF2"/>
    <w:rsid w:val="004E4F9C"/>
    <w:rsid w:val="004E65E3"/>
    <w:rsid w:val="00500640"/>
    <w:rsid w:val="0051065A"/>
    <w:rsid w:val="0051294A"/>
    <w:rsid w:val="00517AC3"/>
    <w:rsid w:val="00520940"/>
    <w:rsid w:val="0053209D"/>
    <w:rsid w:val="00540F2C"/>
    <w:rsid w:val="00542A7E"/>
    <w:rsid w:val="00543272"/>
    <w:rsid w:val="00546C0F"/>
    <w:rsid w:val="0054730B"/>
    <w:rsid w:val="00547EE0"/>
    <w:rsid w:val="00552E0E"/>
    <w:rsid w:val="00556B36"/>
    <w:rsid w:val="005613B5"/>
    <w:rsid w:val="00565B99"/>
    <w:rsid w:val="00565D1A"/>
    <w:rsid w:val="00565DB4"/>
    <w:rsid w:val="00580E98"/>
    <w:rsid w:val="005839F7"/>
    <w:rsid w:val="005853AF"/>
    <w:rsid w:val="00585B41"/>
    <w:rsid w:val="0058745C"/>
    <w:rsid w:val="00594AD1"/>
    <w:rsid w:val="005A223D"/>
    <w:rsid w:val="005A3B8A"/>
    <w:rsid w:val="005B17D5"/>
    <w:rsid w:val="005B39B3"/>
    <w:rsid w:val="005B5B32"/>
    <w:rsid w:val="005C2327"/>
    <w:rsid w:val="005C535F"/>
    <w:rsid w:val="005D5D4E"/>
    <w:rsid w:val="005D633B"/>
    <w:rsid w:val="005E1406"/>
    <w:rsid w:val="005E38EA"/>
    <w:rsid w:val="005E4B32"/>
    <w:rsid w:val="005F1B60"/>
    <w:rsid w:val="005F1E3C"/>
    <w:rsid w:val="005F3EAF"/>
    <w:rsid w:val="005F53FF"/>
    <w:rsid w:val="005F7C6E"/>
    <w:rsid w:val="00605443"/>
    <w:rsid w:val="0061081D"/>
    <w:rsid w:val="006110EA"/>
    <w:rsid w:val="00611EBD"/>
    <w:rsid w:val="00614F5B"/>
    <w:rsid w:val="00617091"/>
    <w:rsid w:val="00624033"/>
    <w:rsid w:val="00637C5E"/>
    <w:rsid w:val="00637E4F"/>
    <w:rsid w:val="00644D08"/>
    <w:rsid w:val="00645988"/>
    <w:rsid w:val="00650667"/>
    <w:rsid w:val="00651466"/>
    <w:rsid w:val="00657A77"/>
    <w:rsid w:val="0066092F"/>
    <w:rsid w:val="00662F7C"/>
    <w:rsid w:val="00663540"/>
    <w:rsid w:val="0066619F"/>
    <w:rsid w:val="00667DA9"/>
    <w:rsid w:val="0067179D"/>
    <w:rsid w:val="006830A0"/>
    <w:rsid w:val="00687A5E"/>
    <w:rsid w:val="006928E6"/>
    <w:rsid w:val="00694A3B"/>
    <w:rsid w:val="006A0B01"/>
    <w:rsid w:val="006A1978"/>
    <w:rsid w:val="006A4D0B"/>
    <w:rsid w:val="006B02A5"/>
    <w:rsid w:val="006B2371"/>
    <w:rsid w:val="006B383B"/>
    <w:rsid w:val="006B685F"/>
    <w:rsid w:val="006C25E7"/>
    <w:rsid w:val="006C2619"/>
    <w:rsid w:val="006D2C8B"/>
    <w:rsid w:val="006D6C78"/>
    <w:rsid w:val="006D6DC1"/>
    <w:rsid w:val="006F40E8"/>
    <w:rsid w:val="006F65F8"/>
    <w:rsid w:val="00700141"/>
    <w:rsid w:val="00701519"/>
    <w:rsid w:val="00701B85"/>
    <w:rsid w:val="00704F39"/>
    <w:rsid w:val="00707417"/>
    <w:rsid w:val="00714768"/>
    <w:rsid w:val="007150E1"/>
    <w:rsid w:val="0072292B"/>
    <w:rsid w:val="00724B2D"/>
    <w:rsid w:val="007401A4"/>
    <w:rsid w:val="007411B5"/>
    <w:rsid w:val="007443CA"/>
    <w:rsid w:val="00744929"/>
    <w:rsid w:val="00744B3F"/>
    <w:rsid w:val="00744C24"/>
    <w:rsid w:val="00746A34"/>
    <w:rsid w:val="0075101B"/>
    <w:rsid w:val="00751BC1"/>
    <w:rsid w:val="00757910"/>
    <w:rsid w:val="00760307"/>
    <w:rsid w:val="00763191"/>
    <w:rsid w:val="0076504C"/>
    <w:rsid w:val="00765CA7"/>
    <w:rsid w:val="00775C7F"/>
    <w:rsid w:val="007767B4"/>
    <w:rsid w:val="00781603"/>
    <w:rsid w:val="00781B03"/>
    <w:rsid w:val="00781C76"/>
    <w:rsid w:val="00782779"/>
    <w:rsid w:val="00786367"/>
    <w:rsid w:val="00792C5E"/>
    <w:rsid w:val="00793734"/>
    <w:rsid w:val="0079391F"/>
    <w:rsid w:val="00794127"/>
    <w:rsid w:val="00794384"/>
    <w:rsid w:val="007A4D53"/>
    <w:rsid w:val="007A64D9"/>
    <w:rsid w:val="007B0E8C"/>
    <w:rsid w:val="007C5C0F"/>
    <w:rsid w:val="007C681A"/>
    <w:rsid w:val="007C69E4"/>
    <w:rsid w:val="007C6EE0"/>
    <w:rsid w:val="007C6FA1"/>
    <w:rsid w:val="007D15DE"/>
    <w:rsid w:val="007D2B25"/>
    <w:rsid w:val="007D3744"/>
    <w:rsid w:val="007D3973"/>
    <w:rsid w:val="007D6740"/>
    <w:rsid w:val="007E403C"/>
    <w:rsid w:val="007E4967"/>
    <w:rsid w:val="007E64A8"/>
    <w:rsid w:val="007F313B"/>
    <w:rsid w:val="007F7F0F"/>
    <w:rsid w:val="0080197B"/>
    <w:rsid w:val="00801B08"/>
    <w:rsid w:val="00806416"/>
    <w:rsid w:val="008130F3"/>
    <w:rsid w:val="00822FA5"/>
    <w:rsid w:val="0083090D"/>
    <w:rsid w:val="0083450B"/>
    <w:rsid w:val="00835D10"/>
    <w:rsid w:val="00836F48"/>
    <w:rsid w:val="00841EA2"/>
    <w:rsid w:val="008467E6"/>
    <w:rsid w:val="00846861"/>
    <w:rsid w:val="0085168E"/>
    <w:rsid w:val="00854B97"/>
    <w:rsid w:val="008625E8"/>
    <w:rsid w:val="0087270B"/>
    <w:rsid w:val="0087340B"/>
    <w:rsid w:val="0087359F"/>
    <w:rsid w:val="00884000"/>
    <w:rsid w:val="008844AE"/>
    <w:rsid w:val="008865A2"/>
    <w:rsid w:val="008914BC"/>
    <w:rsid w:val="0089361A"/>
    <w:rsid w:val="008944D6"/>
    <w:rsid w:val="008A0AED"/>
    <w:rsid w:val="008A48AA"/>
    <w:rsid w:val="008B7C44"/>
    <w:rsid w:val="008C0EE3"/>
    <w:rsid w:val="008D614A"/>
    <w:rsid w:val="008D6347"/>
    <w:rsid w:val="008E4FD2"/>
    <w:rsid w:val="008F0948"/>
    <w:rsid w:val="008F245C"/>
    <w:rsid w:val="008F6051"/>
    <w:rsid w:val="009016F0"/>
    <w:rsid w:val="00905B36"/>
    <w:rsid w:val="00906D03"/>
    <w:rsid w:val="00907F64"/>
    <w:rsid w:val="00910F1E"/>
    <w:rsid w:val="00911ABF"/>
    <w:rsid w:val="00915D11"/>
    <w:rsid w:val="009175C1"/>
    <w:rsid w:val="009238AB"/>
    <w:rsid w:val="00927ABF"/>
    <w:rsid w:val="00930938"/>
    <w:rsid w:val="009313C9"/>
    <w:rsid w:val="009317AD"/>
    <w:rsid w:val="00932244"/>
    <w:rsid w:val="0094143D"/>
    <w:rsid w:val="00943D81"/>
    <w:rsid w:val="00946111"/>
    <w:rsid w:val="00946D78"/>
    <w:rsid w:val="00952142"/>
    <w:rsid w:val="009537F8"/>
    <w:rsid w:val="0096048C"/>
    <w:rsid w:val="009705F1"/>
    <w:rsid w:val="00973CE2"/>
    <w:rsid w:val="0097435C"/>
    <w:rsid w:val="009751C0"/>
    <w:rsid w:val="009752B6"/>
    <w:rsid w:val="00975379"/>
    <w:rsid w:val="00981D6F"/>
    <w:rsid w:val="009A3C54"/>
    <w:rsid w:val="009B74CE"/>
    <w:rsid w:val="009B7B70"/>
    <w:rsid w:val="009C1DF3"/>
    <w:rsid w:val="009C265C"/>
    <w:rsid w:val="009C5A3F"/>
    <w:rsid w:val="009C7437"/>
    <w:rsid w:val="009D379F"/>
    <w:rsid w:val="009D673A"/>
    <w:rsid w:val="009E0E61"/>
    <w:rsid w:val="009E736C"/>
    <w:rsid w:val="009F7692"/>
    <w:rsid w:val="00A03C58"/>
    <w:rsid w:val="00A1041D"/>
    <w:rsid w:val="00A13B80"/>
    <w:rsid w:val="00A20479"/>
    <w:rsid w:val="00A23D3D"/>
    <w:rsid w:val="00A25727"/>
    <w:rsid w:val="00A26B8F"/>
    <w:rsid w:val="00A31488"/>
    <w:rsid w:val="00A35819"/>
    <w:rsid w:val="00A3686A"/>
    <w:rsid w:val="00A40E7F"/>
    <w:rsid w:val="00A41237"/>
    <w:rsid w:val="00A42190"/>
    <w:rsid w:val="00A44383"/>
    <w:rsid w:val="00A46BE9"/>
    <w:rsid w:val="00A47652"/>
    <w:rsid w:val="00A6067D"/>
    <w:rsid w:val="00A60E06"/>
    <w:rsid w:val="00A61316"/>
    <w:rsid w:val="00A6289B"/>
    <w:rsid w:val="00A72742"/>
    <w:rsid w:val="00A73C8A"/>
    <w:rsid w:val="00A852D6"/>
    <w:rsid w:val="00A86D5A"/>
    <w:rsid w:val="00A8766D"/>
    <w:rsid w:val="00A928BB"/>
    <w:rsid w:val="00A933DC"/>
    <w:rsid w:val="00A93CFE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4678"/>
    <w:rsid w:val="00AB5A9F"/>
    <w:rsid w:val="00AC6537"/>
    <w:rsid w:val="00AD110E"/>
    <w:rsid w:val="00AD147C"/>
    <w:rsid w:val="00AD2847"/>
    <w:rsid w:val="00AD3EDA"/>
    <w:rsid w:val="00AD78FC"/>
    <w:rsid w:val="00AD7AAC"/>
    <w:rsid w:val="00AE1EAA"/>
    <w:rsid w:val="00AE24A3"/>
    <w:rsid w:val="00AE2EF8"/>
    <w:rsid w:val="00AE3474"/>
    <w:rsid w:val="00AE4797"/>
    <w:rsid w:val="00AE6CE4"/>
    <w:rsid w:val="00AE6F20"/>
    <w:rsid w:val="00AE7AD0"/>
    <w:rsid w:val="00B00528"/>
    <w:rsid w:val="00B03A61"/>
    <w:rsid w:val="00B04E3A"/>
    <w:rsid w:val="00B10FFB"/>
    <w:rsid w:val="00B11A66"/>
    <w:rsid w:val="00B1392D"/>
    <w:rsid w:val="00B14691"/>
    <w:rsid w:val="00B15644"/>
    <w:rsid w:val="00B157ED"/>
    <w:rsid w:val="00B158FB"/>
    <w:rsid w:val="00B17499"/>
    <w:rsid w:val="00B52FD5"/>
    <w:rsid w:val="00B5566F"/>
    <w:rsid w:val="00B56DA0"/>
    <w:rsid w:val="00B57016"/>
    <w:rsid w:val="00B62D0A"/>
    <w:rsid w:val="00B63EA0"/>
    <w:rsid w:val="00B64C0C"/>
    <w:rsid w:val="00B66155"/>
    <w:rsid w:val="00B75528"/>
    <w:rsid w:val="00B75F19"/>
    <w:rsid w:val="00B81A5D"/>
    <w:rsid w:val="00B93BA0"/>
    <w:rsid w:val="00BA3841"/>
    <w:rsid w:val="00BA452E"/>
    <w:rsid w:val="00BA5DAE"/>
    <w:rsid w:val="00BB1418"/>
    <w:rsid w:val="00BB3F30"/>
    <w:rsid w:val="00BC0F53"/>
    <w:rsid w:val="00BC416D"/>
    <w:rsid w:val="00BC56F0"/>
    <w:rsid w:val="00BC6172"/>
    <w:rsid w:val="00BD3469"/>
    <w:rsid w:val="00BD3607"/>
    <w:rsid w:val="00BE00C0"/>
    <w:rsid w:val="00BE2FC2"/>
    <w:rsid w:val="00BE41AF"/>
    <w:rsid w:val="00BE7E1A"/>
    <w:rsid w:val="00BF5E1E"/>
    <w:rsid w:val="00C05BDC"/>
    <w:rsid w:val="00C30744"/>
    <w:rsid w:val="00C3360E"/>
    <w:rsid w:val="00C339E1"/>
    <w:rsid w:val="00C340E1"/>
    <w:rsid w:val="00C406F0"/>
    <w:rsid w:val="00C41A9E"/>
    <w:rsid w:val="00C41FC7"/>
    <w:rsid w:val="00C4429F"/>
    <w:rsid w:val="00C46415"/>
    <w:rsid w:val="00C47785"/>
    <w:rsid w:val="00C47A02"/>
    <w:rsid w:val="00C51AE6"/>
    <w:rsid w:val="00C553E3"/>
    <w:rsid w:val="00C5712B"/>
    <w:rsid w:val="00C6598A"/>
    <w:rsid w:val="00C66875"/>
    <w:rsid w:val="00C66E22"/>
    <w:rsid w:val="00C670EB"/>
    <w:rsid w:val="00C76015"/>
    <w:rsid w:val="00C80B3A"/>
    <w:rsid w:val="00C82883"/>
    <w:rsid w:val="00C832B9"/>
    <w:rsid w:val="00C85EEF"/>
    <w:rsid w:val="00C922C3"/>
    <w:rsid w:val="00C95FBB"/>
    <w:rsid w:val="00C97D1B"/>
    <w:rsid w:val="00CA07AE"/>
    <w:rsid w:val="00CA1DE8"/>
    <w:rsid w:val="00CA446C"/>
    <w:rsid w:val="00CA6994"/>
    <w:rsid w:val="00CB7E56"/>
    <w:rsid w:val="00CC3570"/>
    <w:rsid w:val="00CC451B"/>
    <w:rsid w:val="00CD3CE1"/>
    <w:rsid w:val="00CD4243"/>
    <w:rsid w:val="00CE729B"/>
    <w:rsid w:val="00CF04D0"/>
    <w:rsid w:val="00CF055E"/>
    <w:rsid w:val="00CF4E75"/>
    <w:rsid w:val="00CF4F98"/>
    <w:rsid w:val="00D02206"/>
    <w:rsid w:val="00D04676"/>
    <w:rsid w:val="00D05733"/>
    <w:rsid w:val="00D12A64"/>
    <w:rsid w:val="00D146BD"/>
    <w:rsid w:val="00D152F2"/>
    <w:rsid w:val="00D16CA3"/>
    <w:rsid w:val="00D200E4"/>
    <w:rsid w:val="00D31B67"/>
    <w:rsid w:val="00D34632"/>
    <w:rsid w:val="00D47D19"/>
    <w:rsid w:val="00D630BD"/>
    <w:rsid w:val="00D66A8C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341"/>
    <w:rsid w:val="00DB501C"/>
    <w:rsid w:val="00DC03DF"/>
    <w:rsid w:val="00DC1241"/>
    <w:rsid w:val="00DC15FE"/>
    <w:rsid w:val="00DD1BB1"/>
    <w:rsid w:val="00DD55B8"/>
    <w:rsid w:val="00DD77C2"/>
    <w:rsid w:val="00DE2B17"/>
    <w:rsid w:val="00DF73E3"/>
    <w:rsid w:val="00E04080"/>
    <w:rsid w:val="00E04C8F"/>
    <w:rsid w:val="00E05624"/>
    <w:rsid w:val="00E05E93"/>
    <w:rsid w:val="00E062C2"/>
    <w:rsid w:val="00E1479D"/>
    <w:rsid w:val="00E15539"/>
    <w:rsid w:val="00E24F63"/>
    <w:rsid w:val="00E277AE"/>
    <w:rsid w:val="00E30EC1"/>
    <w:rsid w:val="00E310D7"/>
    <w:rsid w:val="00E368DE"/>
    <w:rsid w:val="00E409F8"/>
    <w:rsid w:val="00E431F6"/>
    <w:rsid w:val="00E45046"/>
    <w:rsid w:val="00E539D3"/>
    <w:rsid w:val="00E545D7"/>
    <w:rsid w:val="00E623D6"/>
    <w:rsid w:val="00E71094"/>
    <w:rsid w:val="00E7172E"/>
    <w:rsid w:val="00E72F92"/>
    <w:rsid w:val="00E92183"/>
    <w:rsid w:val="00E93D7F"/>
    <w:rsid w:val="00E96DF5"/>
    <w:rsid w:val="00EA0523"/>
    <w:rsid w:val="00EA40ED"/>
    <w:rsid w:val="00EA4EF9"/>
    <w:rsid w:val="00EB0229"/>
    <w:rsid w:val="00EB2ADB"/>
    <w:rsid w:val="00EB426B"/>
    <w:rsid w:val="00EB4D62"/>
    <w:rsid w:val="00EC2A4C"/>
    <w:rsid w:val="00EC635F"/>
    <w:rsid w:val="00EC6CA1"/>
    <w:rsid w:val="00EC6D09"/>
    <w:rsid w:val="00ED15E0"/>
    <w:rsid w:val="00ED20BA"/>
    <w:rsid w:val="00ED350A"/>
    <w:rsid w:val="00ED49B9"/>
    <w:rsid w:val="00ED5DF8"/>
    <w:rsid w:val="00ED63EF"/>
    <w:rsid w:val="00ED722E"/>
    <w:rsid w:val="00EE3576"/>
    <w:rsid w:val="00EF0FCD"/>
    <w:rsid w:val="00EF1BF1"/>
    <w:rsid w:val="00F03143"/>
    <w:rsid w:val="00F0396F"/>
    <w:rsid w:val="00F05529"/>
    <w:rsid w:val="00F10A4B"/>
    <w:rsid w:val="00F1578E"/>
    <w:rsid w:val="00F16CA5"/>
    <w:rsid w:val="00F2093A"/>
    <w:rsid w:val="00F31583"/>
    <w:rsid w:val="00F32262"/>
    <w:rsid w:val="00F35B85"/>
    <w:rsid w:val="00F36FBB"/>
    <w:rsid w:val="00F37A43"/>
    <w:rsid w:val="00F4103F"/>
    <w:rsid w:val="00F41D72"/>
    <w:rsid w:val="00F43796"/>
    <w:rsid w:val="00F43B53"/>
    <w:rsid w:val="00F44355"/>
    <w:rsid w:val="00F51459"/>
    <w:rsid w:val="00F52D97"/>
    <w:rsid w:val="00F54BB2"/>
    <w:rsid w:val="00F55FAB"/>
    <w:rsid w:val="00F57399"/>
    <w:rsid w:val="00F70EC5"/>
    <w:rsid w:val="00F7248C"/>
    <w:rsid w:val="00F74559"/>
    <w:rsid w:val="00F821EA"/>
    <w:rsid w:val="00F82745"/>
    <w:rsid w:val="00F90890"/>
    <w:rsid w:val="00F914EF"/>
    <w:rsid w:val="00F924C2"/>
    <w:rsid w:val="00F92E02"/>
    <w:rsid w:val="00F938EA"/>
    <w:rsid w:val="00F939FE"/>
    <w:rsid w:val="00F9453D"/>
    <w:rsid w:val="00F94705"/>
    <w:rsid w:val="00FB124B"/>
    <w:rsid w:val="00FB303F"/>
    <w:rsid w:val="00FB4AB8"/>
    <w:rsid w:val="00FB5126"/>
    <w:rsid w:val="00FC2035"/>
    <w:rsid w:val="00FC20F7"/>
    <w:rsid w:val="00FD02D3"/>
    <w:rsid w:val="00FD39B1"/>
    <w:rsid w:val="00FE234B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04C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51294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294A"/>
    <w:rPr>
      <w:lang w:eastAsia="en-US"/>
    </w:rPr>
  </w:style>
  <w:style w:type="paragraph" w:styleId="ListParagraph">
    <w:name w:val="List Paragraph"/>
    <w:basedOn w:val="Normal"/>
    <w:uiPriority w:val="34"/>
    <w:qFormat/>
    <w:rsid w:val="00DB134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C0EE3"/>
  </w:style>
  <w:style w:type="character" w:customStyle="1" w:styleId="FootnoteTextChar">
    <w:name w:val="Footnote Text Char"/>
    <w:basedOn w:val="DefaultParagraphFont"/>
    <w:link w:val="FootnoteText"/>
    <w:rsid w:val="008C0EE3"/>
    <w:rPr>
      <w:lang w:eastAsia="en-US"/>
    </w:rPr>
  </w:style>
  <w:style w:type="character" w:styleId="FootnoteReference">
    <w:name w:val="footnote reference"/>
    <w:basedOn w:val="DefaultParagraphFont"/>
    <w:rsid w:val="008C0EE3"/>
    <w:rPr>
      <w:vertAlign w:val="superscript"/>
    </w:rPr>
  </w:style>
  <w:style w:type="paragraph" w:customStyle="1" w:styleId="BodyNew">
    <w:name w:val="Body New"/>
    <w:basedOn w:val="Normal"/>
    <w:uiPriority w:val="99"/>
    <w:rsid w:val="00CA6994"/>
    <w:pPr>
      <w:suppressAutoHyphens/>
      <w:autoSpaceDE w:val="0"/>
      <w:autoSpaceDN w:val="0"/>
      <w:adjustRightInd w:val="0"/>
      <w:spacing w:line="400" w:lineRule="atLeast"/>
      <w:jc w:val="both"/>
      <w:textAlignment w:val="center"/>
    </w:pPr>
    <w:rPr>
      <w:rFonts w:ascii="Century Gothic" w:hAnsi="Century Gothic" w:cs="Century Gothic"/>
      <w:color w:val="000000"/>
      <w:sz w:val="24"/>
      <w:szCs w:val="24"/>
      <w:lang w:val="en-US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PUMZA</cp:lastModifiedBy>
  <cp:revision>2</cp:revision>
  <cp:lastPrinted>2015-09-01T07:33:00Z</cp:lastPrinted>
  <dcterms:created xsi:type="dcterms:W3CDTF">2015-09-16T09:08:00Z</dcterms:created>
  <dcterms:modified xsi:type="dcterms:W3CDTF">2015-09-16T09:08:00Z</dcterms:modified>
</cp:coreProperties>
</file>